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AC9" w:rsidRPr="00523443" w:rsidRDefault="00596E8C" w:rsidP="006B3AC9">
      <w:pPr>
        <w:rPr>
          <w:rFonts w:ascii="Arial" w:hAnsi="Arial" w:cs="Arial"/>
          <w:b/>
          <w:bCs/>
        </w:rPr>
      </w:pPr>
      <w:r w:rsidRPr="00523443">
        <w:rPr>
          <w:rFonts w:ascii="Arial" w:hAnsi="Arial" w:cs="Arial"/>
          <w:b/>
          <w:bCs/>
        </w:rPr>
        <w:t>ACUERDO QUE EMITE EL CONSEJO ESTATAL DEL INSTITUTO ELECTORAL Y DE PARTICIPACIÓN CIUDADANA DE TABASCO, MEDIANTE EL CUAL APRUEBA EL PROGRAMA ANUAL DE TRABAJO DE LA COMISIÓN PERMANENTE DE IGUALDAD DE GÉNERO Y NO DISCRIMINACIÓN PARA EL EJERCICIO 2025 PROPUESTO POR LA PROPIA COMISIÓN</w:t>
      </w:r>
    </w:p>
    <w:p w:rsidR="006B3AC9" w:rsidRPr="00523443" w:rsidRDefault="006B3AC9" w:rsidP="006B3AC9">
      <w:pPr>
        <w:rPr>
          <w:rFonts w:ascii="Arial" w:hAnsi="Arial" w:cs="Arial"/>
        </w:rPr>
      </w:pPr>
      <w:r w:rsidRPr="00523443">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Comisión:</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Comisión Permanente de Igualdad de Género y No Discriminación del Instituto Electoral y de Participación Ciudadana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Consejo Estatal: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Consejo Estatal del Instituto Electoral y de Participación Ciudadana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Constitución Federal: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Constitución Política de los Estados Unidos Mexicanos.</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Constitución Local: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Constitución Política del Estado Libre y Soberano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Instituto:</w:t>
            </w:r>
          </w:p>
        </w:tc>
        <w:tc>
          <w:tcPr>
            <w:tcW w:w="2958" w:type="pct"/>
            <w:shd w:val="clear" w:color="auto" w:fill="auto"/>
          </w:tcPr>
          <w:p w:rsidR="006B3AC9" w:rsidRPr="00523443" w:rsidRDefault="006B3AC9" w:rsidP="006B3AC9">
            <w:pPr>
              <w:spacing w:before="80" w:after="80"/>
              <w:ind w:left="113" w:right="113"/>
              <w:rPr>
                <w:rFonts w:ascii="Arial" w:hAnsi="Arial" w:cs="Arial"/>
              </w:rPr>
            </w:pPr>
            <w:r w:rsidRPr="00523443">
              <w:rPr>
                <w:rFonts w:ascii="Arial" w:hAnsi="Arial" w:cs="Arial"/>
              </w:rPr>
              <w:t>Instituto Electoral y de Participación Ciudadana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Ley Electoral: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Ley Electoral y de Partidos Políticos del Estado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Ley General: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Ley General de Instituciones y Procedimientos Electorales.</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Organismo electoral:</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 xml:space="preserve">Organismo(s) público(s) local(es) electoral(es). </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Reglamento de Comisiones:</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Reglamento de Comisiones del Consejo Estatal del Instituto Electoral y de Participación Ciudadana de Tabasco.</w:t>
            </w:r>
          </w:p>
        </w:tc>
      </w:tr>
      <w:tr w:rsidR="006B3AC9" w:rsidRPr="00523443" w:rsidTr="006B3AC9">
        <w:trPr>
          <w:trHeight w:val="624"/>
          <w:jc w:val="center"/>
        </w:trPr>
        <w:tc>
          <w:tcPr>
            <w:tcW w:w="2042" w:type="pct"/>
            <w:shd w:val="clear" w:color="auto" w:fill="auto"/>
            <w:vAlign w:val="center"/>
          </w:tcPr>
          <w:p w:rsidR="006B3AC9" w:rsidRPr="00523443" w:rsidRDefault="006B3AC9" w:rsidP="006B3AC9">
            <w:pPr>
              <w:spacing w:before="80" w:after="80"/>
              <w:jc w:val="right"/>
              <w:rPr>
                <w:rFonts w:ascii="Arial" w:hAnsi="Arial" w:cs="Arial"/>
                <w:b/>
              </w:rPr>
            </w:pPr>
            <w:r w:rsidRPr="00523443">
              <w:rPr>
                <w:rFonts w:ascii="Arial" w:hAnsi="Arial" w:cs="Arial"/>
                <w:b/>
              </w:rPr>
              <w:t>Secretaría Ejecutiva:</w:t>
            </w:r>
          </w:p>
        </w:tc>
        <w:tc>
          <w:tcPr>
            <w:tcW w:w="2958" w:type="pct"/>
            <w:shd w:val="clear" w:color="auto" w:fill="auto"/>
            <w:vAlign w:val="center"/>
          </w:tcPr>
          <w:p w:rsidR="006B3AC9" w:rsidRPr="00523443" w:rsidRDefault="006B3AC9" w:rsidP="006B3AC9">
            <w:pPr>
              <w:spacing w:before="80" w:after="80"/>
              <w:ind w:left="113" w:right="113"/>
              <w:rPr>
                <w:rFonts w:ascii="Arial" w:hAnsi="Arial" w:cs="Arial"/>
              </w:rPr>
            </w:pPr>
            <w:r w:rsidRPr="00523443">
              <w:rPr>
                <w:rFonts w:ascii="Arial" w:hAnsi="Arial" w:cs="Arial"/>
              </w:rPr>
              <w:t>Secretaría Ejecutiva del Instituto Electoral y de Participación Ciudadana de Tabasco.</w:t>
            </w:r>
          </w:p>
        </w:tc>
      </w:tr>
    </w:tbl>
    <w:p w:rsidR="007354FF" w:rsidRPr="00523443" w:rsidRDefault="00DF49B7" w:rsidP="0064055A">
      <w:pPr>
        <w:pStyle w:val="Ttulo1"/>
        <w:rPr>
          <w:rFonts w:ascii="Arial" w:hAnsi="Arial" w:cs="Arial"/>
          <w:sz w:val="24"/>
          <w:szCs w:val="24"/>
        </w:rPr>
      </w:pPr>
      <w:r w:rsidRPr="00523443">
        <w:rPr>
          <w:rFonts w:ascii="Arial" w:hAnsi="Arial" w:cs="Arial"/>
          <w:sz w:val="24"/>
          <w:szCs w:val="24"/>
        </w:rPr>
        <w:lastRenderedPageBreak/>
        <w:t>Antecedentes</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Fines del Instituto</w:t>
      </w:r>
    </w:p>
    <w:p w:rsidR="00DF49B7" w:rsidRPr="00523443" w:rsidRDefault="00DF49B7" w:rsidP="00DF49B7">
      <w:pPr>
        <w:rPr>
          <w:rFonts w:ascii="Arial" w:hAnsi="Arial" w:cs="Arial"/>
        </w:rPr>
      </w:pPr>
      <w:r w:rsidRPr="00523443">
        <w:rPr>
          <w:rFonts w:ascii="Arial" w:hAnsi="Arial" w:cs="Arial"/>
        </w:rPr>
        <w:t>De conformidad con la fracción I del Apartado C, del artículo 9, párrafo tercero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rsidR="00DF49B7" w:rsidRPr="00523443" w:rsidRDefault="00DF49B7" w:rsidP="00DF49B7">
      <w:pPr>
        <w:rPr>
          <w:rFonts w:ascii="Arial" w:hAnsi="Arial" w:cs="Arial"/>
        </w:rPr>
      </w:pPr>
      <w:r w:rsidRPr="00523443">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rsidR="00DF49B7" w:rsidRPr="00523443" w:rsidRDefault="00DF49B7" w:rsidP="00DF49B7">
      <w:pPr>
        <w:rPr>
          <w:rFonts w:ascii="Arial" w:hAnsi="Arial" w:cs="Arial"/>
        </w:rPr>
      </w:pPr>
      <w:r w:rsidRPr="00523443">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el artículo 101 de la Ley Electoral.</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Integración del órgano superior de dirección</w:t>
      </w:r>
    </w:p>
    <w:p w:rsidR="00DF49B7" w:rsidRPr="00523443" w:rsidRDefault="00DF49B7" w:rsidP="00DF49B7">
      <w:pPr>
        <w:rPr>
          <w:rFonts w:ascii="Arial" w:hAnsi="Arial" w:cs="Arial"/>
        </w:rPr>
      </w:pPr>
      <w:r w:rsidRPr="00523443">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DF49B7" w:rsidRPr="00523443" w:rsidRDefault="00DF49B7" w:rsidP="00DF49B7">
      <w:pPr>
        <w:rPr>
          <w:rFonts w:ascii="Arial" w:hAnsi="Arial" w:cs="Arial"/>
        </w:rPr>
      </w:pPr>
      <w:r w:rsidRPr="00523443">
        <w:rPr>
          <w:rFonts w:ascii="Arial" w:hAnsi="Arial" w:cs="Arial"/>
        </w:rPr>
        <w:lastRenderedPageBreak/>
        <w:t>Dicho órgano, de conformidad con los artículos 99 de la Ley General y 107 numeral 1 de la Ley Electoral, disponen que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Integración de la Comisión</w:t>
      </w:r>
    </w:p>
    <w:p w:rsidR="00DF49B7" w:rsidRPr="00523443" w:rsidRDefault="00DF49B7" w:rsidP="006A2F72">
      <w:pPr>
        <w:rPr>
          <w:rFonts w:ascii="Arial" w:hAnsi="Arial" w:cs="Arial"/>
        </w:rPr>
      </w:pPr>
      <w:r w:rsidRPr="00523443">
        <w:rPr>
          <w:rFonts w:ascii="Arial" w:hAnsi="Arial" w:cs="Arial"/>
        </w:rPr>
        <w:t xml:space="preserve">El 4 de octubre de 2024, mediante acuerdo CE/2024/090, el Consejo Estatal modificó la conformación de las Comisiones Permanentes, entre ellas la relativa a la </w:t>
      </w:r>
      <w:r w:rsidR="006A2F72" w:rsidRPr="00523443">
        <w:rPr>
          <w:rFonts w:ascii="Arial" w:hAnsi="Arial" w:cs="Arial"/>
        </w:rPr>
        <w:t>de Igualdad de Género y No Discriminación,</w:t>
      </w:r>
      <w:r w:rsidRPr="00523443">
        <w:rPr>
          <w:rFonts w:ascii="Arial" w:hAnsi="Arial" w:cs="Arial"/>
        </w:rPr>
        <w:t xml:space="preserve"> quedando integrada por las Consejeras Electorales</w:t>
      </w:r>
      <w:r w:rsidR="006B3AC9" w:rsidRPr="00523443">
        <w:rPr>
          <w:rFonts w:ascii="Arial" w:hAnsi="Arial" w:cs="Arial"/>
        </w:rPr>
        <w:t>, Licda. María Elvia Magaña Sandoval y Mtra. Ruth Lizette Toledo Peral;</w:t>
      </w:r>
      <w:r w:rsidRPr="00523443">
        <w:rPr>
          <w:rFonts w:ascii="Arial" w:hAnsi="Arial" w:cs="Arial"/>
        </w:rPr>
        <w:t xml:space="preserve"> y</w:t>
      </w:r>
      <w:r w:rsidR="006B3AC9" w:rsidRPr="00523443">
        <w:rPr>
          <w:rFonts w:ascii="Arial" w:hAnsi="Arial" w:cs="Arial"/>
        </w:rPr>
        <w:t>,</w:t>
      </w:r>
      <w:r w:rsidRPr="00523443">
        <w:rPr>
          <w:rFonts w:ascii="Arial" w:hAnsi="Arial" w:cs="Arial"/>
        </w:rPr>
        <w:t xml:space="preserve"> el Consejero Electoral, </w:t>
      </w:r>
      <w:r w:rsidR="006B3AC9" w:rsidRPr="00523443">
        <w:rPr>
          <w:rFonts w:ascii="Arial" w:hAnsi="Arial" w:cs="Arial"/>
        </w:rPr>
        <w:t>Mtro. Hernán González Sala</w:t>
      </w:r>
      <w:r w:rsidRPr="00523443">
        <w:rPr>
          <w:rFonts w:ascii="Arial" w:hAnsi="Arial" w:cs="Arial"/>
        </w:rPr>
        <w:t>, Presidente de la Comisión.</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Ratificación de las Presidencias de Comisiones</w:t>
      </w:r>
    </w:p>
    <w:p w:rsidR="00DF49B7" w:rsidRPr="00523443" w:rsidRDefault="00DF49B7" w:rsidP="00DF49B7">
      <w:pPr>
        <w:rPr>
          <w:rFonts w:ascii="Arial" w:hAnsi="Arial" w:cs="Arial"/>
        </w:rPr>
      </w:pPr>
      <w:r w:rsidRPr="00523443">
        <w:rPr>
          <w:rFonts w:ascii="Arial" w:hAnsi="Arial" w:cs="Arial"/>
        </w:rPr>
        <w:t>El 17 de octubre de 2024, el Consejo Estatal, mediante acuerdo CE/2024/092, ratificó a las Consejeras y Consejeros Electorales que asumieron las Presidencias de las Comisiones Permanentes de Organización Electoral y Educación Cívica, de Denuncias y Quejas, de Seguimiento al Servicio Profesional Electoral Nacional y de Igualdad de Género y no Discriminación.</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 xml:space="preserve">Reforma Constitucional </w:t>
      </w:r>
    </w:p>
    <w:p w:rsidR="00DF49B7" w:rsidRPr="00523443" w:rsidRDefault="00DF49B7" w:rsidP="00DF49B7">
      <w:pPr>
        <w:rPr>
          <w:rFonts w:ascii="Arial" w:hAnsi="Arial" w:cs="Arial"/>
        </w:rPr>
      </w:pPr>
      <w:r w:rsidRPr="00523443">
        <w:rPr>
          <w:rFonts w:ascii="Arial" w:hAnsi="Arial" w:cs="Arial"/>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rsidR="00DF49B7" w:rsidRPr="00523443" w:rsidRDefault="00DF49B7" w:rsidP="00DF49B7">
      <w:pPr>
        <w:rPr>
          <w:rFonts w:ascii="Arial" w:hAnsi="Arial" w:cs="Arial"/>
        </w:rPr>
      </w:pPr>
      <w:r w:rsidRPr="00523443">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lastRenderedPageBreak/>
        <w:t>Inicio del Proceso Electoral Extraordinario</w:t>
      </w:r>
    </w:p>
    <w:p w:rsidR="00DF49B7" w:rsidRPr="00523443" w:rsidRDefault="00DF49B7" w:rsidP="00DF49B7">
      <w:pPr>
        <w:rPr>
          <w:rFonts w:ascii="Arial" w:hAnsi="Arial" w:cs="Arial"/>
        </w:rPr>
      </w:pPr>
      <w:r w:rsidRPr="00523443">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Jornada electoral</w:t>
      </w:r>
    </w:p>
    <w:p w:rsidR="00DF49B7" w:rsidRPr="00523443" w:rsidRDefault="00DF49B7" w:rsidP="00DF49B7">
      <w:pPr>
        <w:rPr>
          <w:rFonts w:ascii="Arial" w:hAnsi="Arial" w:cs="Arial"/>
        </w:rPr>
      </w:pPr>
      <w:r w:rsidRPr="00523443">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rsidR="00DF49B7" w:rsidRPr="00523443" w:rsidRDefault="00DF49B7" w:rsidP="008A7087">
      <w:pPr>
        <w:pStyle w:val="Ttulo2"/>
        <w:rPr>
          <w:rFonts w:ascii="Arial" w:hAnsi="Arial" w:cs="Arial"/>
          <w:sz w:val="22"/>
          <w:szCs w:val="22"/>
        </w:rPr>
      </w:pPr>
      <w:r w:rsidRPr="00523443">
        <w:rPr>
          <w:rFonts w:ascii="Arial" w:hAnsi="Arial" w:cs="Arial"/>
          <w:sz w:val="22"/>
          <w:szCs w:val="22"/>
        </w:rPr>
        <w:t>Presentación de la propuesta de Programa Anual de Trabajo</w:t>
      </w:r>
    </w:p>
    <w:p w:rsidR="00DF49B7" w:rsidRPr="00523443" w:rsidRDefault="00DF49B7" w:rsidP="00DF49B7">
      <w:pPr>
        <w:rPr>
          <w:rFonts w:ascii="Arial" w:hAnsi="Arial" w:cs="Arial"/>
        </w:rPr>
      </w:pPr>
      <w:r w:rsidRPr="00523443">
        <w:rPr>
          <w:rFonts w:ascii="Arial" w:hAnsi="Arial" w:cs="Arial"/>
        </w:rPr>
        <w:t xml:space="preserve">El </w:t>
      </w:r>
      <w:r w:rsidR="002816FA" w:rsidRPr="00523443">
        <w:rPr>
          <w:rFonts w:ascii="Arial" w:hAnsi="Arial" w:cs="Arial"/>
        </w:rPr>
        <w:t>13</w:t>
      </w:r>
      <w:r w:rsidRPr="00523443">
        <w:rPr>
          <w:rFonts w:ascii="Arial" w:hAnsi="Arial" w:cs="Arial"/>
        </w:rPr>
        <w:t xml:space="preserve"> de enero de 202</w:t>
      </w:r>
      <w:r w:rsidR="002816FA" w:rsidRPr="00523443">
        <w:rPr>
          <w:rFonts w:ascii="Arial" w:hAnsi="Arial" w:cs="Arial"/>
        </w:rPr>
        <w:t>5</w:t>
      </w:r>
      <w:r w:rsidRPr="00523443">
        <w:rPr>
          <w:rFonts w:ascii="Arial" w:hAnsi="Arial" w:cs="Arial"/>
        </w:rPr>
        <w:t xml:space="preserve">, la secretaria técnica de la Comisión, mediante oficio </w:t>
      </w:r>
      <w:r w:rsidR="002816FA" w:rsidRPr="00523443">
        <w:rPr>
          <w:rFonts w:ascii="Arial" w:hAnsi="Arial" w:cs="Arial"/>
        </w:rPr>
        <w:t>ST/CIGYND/018/2025</w:t>
      </w:r>
      <w:r w:rsidRPr="00523443">
        <w:rPr>
          <w:rFonts w:ascii="Arial" w:hAnsi="Arial" w:cs="Arial"/>
        </w:rPr>
        <w:t>, remitió a la Presidencia del Consejo, el Programa Anual de Trabajo propuesto por dicha Comisión; lo anterior, para efectos de someterlo a la deliberación por parte de este Consejo Estatal.</w:t>
      </w:r>
    </w:p>
    <w:p w:rsidR="006B3AC9" w:rsidRPr="00523443" w:rsidRDefault="006B3AC9" w:rsidP="0064055A">
      <w:pPr>
        <w:pStyle w:val="Ttulo1"/>
        <w:rPr>
          <w:rFonts w:ascii="Arial" w:hAnsi="Arial" w:cs="Arial"/>
          <w:sz w:val="24"/>
          <w:szCs w:val="24"/>
        </w:rPr>
      </w:pPr>
      <w:r w:rsidRPr="00523443">
        <w:rPr>
          <w:rFonts w:ascii="Arial" w:hAnsi="Arial" w:cs="Arial"/>
          <w:sz w:val="24"/>
          <w:szCs w:val="24"/>
        </w:rPr>
        <w:t>Considerando</w:t>
      </w:r>
    </w:p>
    <w:p w:rsidR="006B3AC9" w:rsidRPr="00523443" w:rsidRDefault="006B3AC9" w:rsidP="008A7087">
      <w:pPr>
        <w:pStyle w:val="Ttulo2"/>
        <w:rPr>
          <w:rFonts w:ascii="Arial" w:hAnsi="Arial" w:cs="Arial"/>
          <w:sz w:val="22"/>
          <w:szCs w:val="22"/>
        </w:rPr>
      </w:pPr>
      <w:r w:rsidRPr="00523443">
        <w:rPr>
          <w:rFonts w:ascii="Arial" w:hAnsi="Arial" w:cs="Arial"/>
          <w:sz w:val="22"/>
          <w:szCs w:val="22"/>
        </w:rPr>
        <w:t>Competencia del Consejo Estatal</w:t>
      </w:r>
    </w:p>
    <w:p w:rsidR="006B3AC9" w:rsidRPr="00523443" w:rsidRDefault="006B3AC9" w:rsidP="006B3AC9">
      <w:pPr>
        <w:rPr>
          <w:rFonts w:ascii="Arial" w:hAnsi="Arial" w:cs="Arial"/>
        </w:rPr>
      </w:pPr>
      <w:r w:rsidRPr="00523443">
        <w:rPr>
          <w:rFonts w:ascii="Arial" w:hAnsi="Arial" w:cs="Arial"/>
        </w:rPr>
        <w:t>Que, de conformidad con el artículo 115 numeral 1 fracciones XI y XII de la Ley Electoral, el Consejo Estatal es competente para desarrollar y ejecutar los programas en la entidad, de educación cívica, paridad de género y respeto de los derechos humanos de las mujeres en el ámbito político electoral; y, orientar a las ciudadanas y ciudadanos para el ejercicio de sus derechos y cumplimiento de sus obligaciones político-electorales.</w:t>
      </w:r>
    </w:p>
    <w:p w:rsidR="006B3AC9" w:rsidRPr="00523443" w:rsidRDefault="006B3AC9" w:rsidP="006B3AC9">
      <w:pPr>
        <w:rPr>
          <w:rFonts w:ascii="Arial" w:hAnsi="Arial" w:cs="Arial"/>
        </w:rPr>
      </w:pPr>
      <w:r w:rsidRPr="00523443">
        <w:rPr>
          <w:rFonts w:ascii="Arial" w:hAnsi="Arial" w:cs="Arial"/>
        </w:rPr>
        <w:t xml:space="preserve">Acorde a lo anterior, el numeral 2 del artículo mencionado, señala que, para el debido ejercicio de las facultades y atribuciones del Instituto, derivados de caso fortuito o causa de fuerza mayor; o en situaciones de falta o insuficiencia de previsión normativa o </w:t>
      </w:r>
      <w:r w:rsidRPr="00523443">
        <w:rPr>
          <w:rFonts w:ascii="Arial" w:hAnsi="Arial" w:cs="Arial"/>
        </w:rPr>
        <w:lastRenderedPageBreak/>
        <w:t>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6B3AC9" w:rsidRPr="00523443" w:rsidRDefault="006B3AC9" w:rsidP="008A7087">
      <w:pPr>
        <w:pStyle w:val="Ttulo2"/>
        <w:rPr>
          <w:rFonts w:ascii="Arial" w:hAnsi="Arial" w:cs="Arial"/>
          <w:sz w:val="22"/>
          <w:szCs w:val="22"/>
        </w:rPr>
      </w:pPr>
      <w:r w:rsidRPr="00523443">
        <w:rPr>
          <w:rFonts w:ascii="Arial" w:hAnsi="Arial" w:cs="Arial"/>
          <w:sz w:val="22"/>
          <w:szCs w:val="22"/>
        </w:rPr>
        <w:t>Órganos auxiliares del Consejo Estatal</w:t>
      </w:r>
    </w:p>
    <w:p w:rsidR="006B3AC9" w:rsidRPr="00523443" w:rsidRDefault="006B3AC9" w:rsidP="006B3AC9">
      <w:pPr>
        <w:rPr>
          <w:rFonts w:ascii="Arial" w:hAnsi="Arial" w:cs="Arial"/>
        </w:rPr>
      </w:pPr>
      <w:r w:rsidRPr="00523443">
        <w:rPr>
          <w:rFonts w:ascii="Arial" w:hAnsi="Arial" w:cs="Arial"/>
        </w:rPr>
        <w:t>Que, el artículo 113 numeral 1 de la Ley Electoral establece que el Consejo Estatal, además de las comisiones permanentes de Vinculación con el INE, de Organización Electoral y Educación Cívica, de Denuncias y Quejas, y de Igualdad de Género y no Discriminación; podrá constituir las comisiones temporales que considere pertinentes para el desempeño de sus atribuciones, las que siempre serán presididas por una Consejera o un Consejero Electoral, salvo la de Vinculación con el Instituto Nacional Electoral, que será presidida por la Consejera o el Consejero Presidente.</w:t>
      </w:r>
    </w:p>
    <w:p w:rsidR="006B3AC9" w:rsidRPr="00523443" w:rsidRDefault="006B3AC9" w:rsidP="006B3AC9">
      <w:pPr>
        <w:rPr>
          <w:rFonts w:ascii="Arial" w:hAnsi="Arial" w:cs="Arial"/>
        </w:rPr>
      </w:pPr>
      <w:r w:rsidRPr="00523443">
        <w:rPr>
          <w:rFonts w:ascii="Arial" w:hAnsi="Arial" w:cs="Arial"/>
        </w:rPr>
        <w:t>Asimismo, en términos del numeral 2 del artículo mencionado, todas las comisiones se integrarán con un máximo de tres consejeras y consejeros electorales bajo el principio de paridad de género; podrán participar en ellas, con voz, pero sin voto, las consejeras y los consejeros representantes de los partidos políticos.</w:t>
      </w:r>
    </w:p>
    <w:p w:rsidR="006B3AC9" w:rsidRPr="00523443" w:rsidRDefault="006B3AC9" w:rsidP="008A7087">
      <w:pPr>
        <w:pStyle w:val="Ttulo2"/>
        <w:rPr>
          <w:rFonts w:ascii="Arial" w:hAnsi="Arial" w:cs="Arial"/>
          <w:sz w:val="22"/>
          <w:szCs w:val="22"/>
        </w:rPr>
      </w:pPr>
      <w:r w:rsidRPr="00523443">
        <w:rPr>
          <w:rFonts w:ascii="Arial" w:hAnsi="Arial" w:cs="Arial"/>
          <w:sz w:val="22"/>
          <w:szCs w:val="22"/>
        </w:rPr>
        <w:t>Obligación de presentar el Plan Anual de Trabajo</w:t>
      </w:r>
    </w:p>
    <w:p w:rsidR="006B3AC9" w:rsidRPr="00523443" w:rsidRDefault="006B3AC9" w:rsidP="006B3AC9">
      <w:pPr>
        <w:rPr>
          <w:rFonts w:ascii="Arial" w:hAnsi="Arial" w:cs="Arial"/>
        </w:rPr>
      </w:pPr>
      <w:r w:rsidRPr="00523443">
        <w:rPr>
          <w:rFonts w:ascii="Arial" w:hAnsi="Arial" w:cs="Arial"/>
        </w:rPr>
        <w:t>Que, el artículo 12 numeral 1, fracción I del Reglamento de Comisiones establece que, durante el mes de enero del año correspondiente, las Comisiones Permanentes deberán presentar al Consejo Estatal para su aprobación, un Programa Anual de Trabajo acorde a los programas y políticas previamente establecidos.</w:t>
      </w:r>
    </w:p>
    <w:p w:rsidR="006B3AC9" w:rsidRPr="00523443" w:rsidRDefault="006B3AC9" w:rsidP="008A7087">
      <w:pPr>
        <w:pStyle w:val="Ttulo2"/>
        <w:rPr>
          <w:rFonts w:ascii="Arial" w:hAnsi="Arial" w:cs="Arial"/>
          <w:sz w:val="22"/>
          <w:szCs w:val="22"/>
        </w:rPr>
      </w:pPr>
      <w:r w:rsidRPr="00523443">
        <w:rPr>
          <w:rFonts w:ascii="Arial" w:hAnsi="Arial" w:cs="Arial"/>
          <w:sz w:val="22"/>
          <w:szCs w:val="22"/>
        </w:rPr>
        <w:t xml:space="preserve">Atribuciones de la Comisión </w:t>
      </w:r>
    </w:p>
    <w:p w:rsidR="006B3AC9" w:rsidRPr="00523443" w:rsidRDefault="006B3AC9" w:rsidP="006B3AC9">
      <w:pPr>
        <w:rPr>
          <w:rFonts w:ascii="Arial" w:hAnsi="Arial" w:cs="Arial"/>
        </w:rPr>
      </w:pPr>
      <w:r w:rsidRPr="00523443">
        <w:rPr>
          <w:rFonts w:ascii="Arial" w:hAnsi="Arial" w:cs="Arial"/>
        </w:rPr>
        <w:t>Que, de la interpretación sistemática y funcional de los artículos 38, 113 numerales 1 y 3, 350 numeral 1 fracción II y numeral 3, 359 numeral 4, 360 numerales 3 y 4, 362 numeral 7 de la Ley Electoral, 6 del Reglamento de Denuncias y Quejas; y, 15 del Reglamento de Comisiones, se concluye que la Comisión es el órgano especializado del Consejo Estatal encargado, entre otras funciones, de resolver respecto a las solicitudes de medidas cautelares, de aprobar los proyectos de resolución presentados por la Secretaría Ejecutiva en los procedimientos sancionadores ordinarios, para turnarlos, en caso de ser aprobados, al Consejo Estatal, para su estudio y resolución.</w:t>
      </w:r>
    </w:p>
    <w:p w:rsidR="008A7087" w:rsidRPr="00523443" w:rsidRDefault="008A7087" w:rsidP="008A7087">
      <w:pPr>
        <w:pStyle w:val="Ttulo2"/>
        <w:rPr>
          <w:rFonts w:ascii="Arial" w:hAnsi="Arial" w:cs="Arial"/>
          <w:sz w:val="22"/>
          <w:szCs w:val="22"/>
        </w:rPr>
      </w:pPr>
      <w:r w:rsidRPr="00523443">
        <w:rPr>
          <w:rFonts w:ascii="Arial" w:hAnsi="Arial" w:cs="Arial"/>
          <w:sz w:val="22"/>
          <w:szCs w:val="22"/>
        </w:rPr>
        <w:lastRenderedPageBreak/>
        <w:t>Progresividad de los Derechos Humanos</w:t>
      </w:r>
    </w:p>
    <w:p w:rsidR="008A7087" w:rsidRPr="00523443" w:rsidRDefault="008A7087" w:rsidP="008A7087">
      <w:pPr>
        <w:rPr>
          <w:rFonts w:ascii="Arial" w:hAnsi="Arial" w:cs="Arial"/>
        </w:rPr>
      </w:pPr>
      <w:r w:rsidRPr="00523443">
        <w:rPr>
          <w:rFonts w:ascii="Arial" w:hAnsi="Arial" w:cs="Arial"/>
        </w:rPr>
        <w:t>Que, la Constitución Federal en su artículo 1° impone a todas las autoridades, en el ámbito de sus competencias, la obligación de promover, respetar, proteger y garantizar los derechos humanos de conformidad con los principios de universalidad, inalienabilidad, interdependencia, indivisibilidad y progresividad.</w:t>
      </w:r>
    </w:p>
    <w:p w:rsidR="008A7087" w:rsidRPr="00523443" w:rsidRDefault="008A7087" w:rsidP="008A7087">
      <w:pPr>
        <w:rPr>
          <w:rFonts w:ascii="Arial" w:hAnsi="Arial" w:cs="Arial"/>
        </w:rPr>
      </w:pPr>
      <w:r w:rsidRPr="00523443">
        <w:rPr>
          <w:rFonts w:ascii="Arial" w:hAnsi="Arial" w:cs="Arial"/>
        </w:rPr>
        <w:t>Asimismo, el párrafo quinto del citado artículo refiere que se encuentra prohibida toda discriminación motivada por origen étnico o nacional, el género, la edad, las discapacidades, la condición social, las condiciones de salud, la religión, las opiniones, la preferencia u orientación sexual, el estado civil o cualquier otra que atente contra la dignidad humana y tenga por objeto anular o menoscabar los derechos y libertades de las personas.</w:t>
      </w:r>
    </w:p>
    <w:p w:rsidR="008A7087" w:rsidRPr="00523443" w:rsidRDefault="008A7087" w:rsidP="008A7087">
      <w:pPr>
        <w:pStyle w:val="Ttulo2"/>
        <w:rPr>
          <w:rFonts w:ascii="Arial" w:hAnsi="Arial" w:cs="Arial"/>
          <w:sz w:val="22"/>
          <w:szCs w:val="22"/>
        </w:rPr>
      </w:pPr>
      <w:r w:rsidRPr="00523443">
        <w:rPr>
          <w:rFonts w:ascii="Arial" w:hAnsi="Arial" w:cs="Arial"/>
          <w:sz w:val="22"/>
          <w:szCs w:val="22"/>
        </w:rPr>
        <w:t>Igualdad de género como obligación del Estado Mexicano</w:t>
      </w:r>
    </w:p>
    <w:p w:rsidR="008A7087" w:rsidRPr="00523443" w:rsidRDefault="008A7087" w:rsidP="008A7087">
      <w:pPr>
        <w:rPr>
          <w:rFonts w:ascii="Arial" w:hAnsi="Arial" w:cs="Arial"/>
        </w:rPr>
      </w:pPr>
      <w:r w:rsidRPr="00523443">
        <w:rPr>
          <w:rFonts w:ascii="Arial" w:hAnsi="Arial" w:cs="Arial"/>
        </w:rPr>
        <w:t>Que, con motivo de la implementación, a nivel normativo e institucional, de diversas disposiciones encaminadas a promover la igualdad de género en las candidaturas a los cargos de elección popular y en las diferentes actividades relacionadas con los sistemas electorales, mismos que tienen su fundamento en lo dispuesto por el artículo 41, base I, de la Constitución Federal, resulta necesario que el Instituto Electoral, implemente las acciones necesarias que le permitan contar con un órgano colegiado que lleve a cabo todas las actividades encaminadas a promover la igualdad de géneros y no discriminación.</w:t>
      </w:r>
    </w:p>
    <w:p w:rsidR="008A7087" w:rsidRPr="00523443" w:rsidRDefault="008A7087" w:rsidP="008A7087">
      <w:pPr>
        <w:rPr>
          <w:rFonts w:ascii="Arial" w:hAnsi="Arial" w:cs="Arial"/>
        </w:rPr>
      </w:pPr>
      <w:r w:rsidRPr="00523443">
        <w:rPr>
          <w:rFonts w:ascii="Arial" w:hAnsi="Arial" w:cs="Arial"/>
        </w:rPr>
        <w:t>Trabajos que llevan implícit</w:t>
      </w:r>
      <w:r w:rsidR="00146A22" w:rsidRPr="00523443">
        <w:rPr>
          <w:rFonts w:ascii="Arial" w:hAnsi="Arial" w:cs="Arial"/>
        </w:rPr>
        <w:t>a</w:t>
      </w:r>
      <w:r w:rsidRPr="00523443">
        <w:rPr>
          <w:rFonts w:ascii="Arial" w:hAnsi="Arial" w:cs="Arial"/>
        </w:rPr>
        <w:t xml:space="preserve"> la necesidad de emitir lineamientos, promover campañas de difusión, conferencias, cursos, talleres y en general todo tipo de actividades tendientes a crear en la comunidad una nueva percepción y cultura de respeto, vigilancia y cumplimiento de las disposiciones que se emitan con el fin de garantizar la igualdad entre los géneros durante el desarrollo de todas las actividades relacionadas con la función electoral.</w:t>
      </w:r>
    </w:p>
    <w:p w:rsidR="008A7087" w:rsidRPr="00523443" w:rsidRDefault="008A7087" w:rsidP="008A7087">
      <w:pPr>
        <w:rPr>
          <w:rFonts w:ascii="Arial" w:hAnsi="Arial" w:cs="Arial"/>
        </w:rPr>
      </w:pPr>
    </w:p>
    <w:p w:rsidR="008A7087" w:rsidRPr="00523443" w:rsidRDefault="008A7087" w:rsidP="008A7087">
      <w:pPr>
        <w:rPr>
          <w:rFonts w:ascii="Arial" w:hAnsi="Arial" w:cs="Arial"/>
        </w:rPr>
      </w:pPr>
      <w:r w:rsidRPr="00523443">
        <w:rPr>
          <w:rFonts w:ascii="Arial" w:hAnsi="Arial" w:cs="Arial"/>
        </w:rPr>
        <w:t>La igualdad de género parte del reconocimiento de que históricamente las mujeres han sido discriminadas y es necesario llevar a cabo acciones que eliminen esa desigualdad y acorten las brechas entre mujeres y hombres, de manera que se sienten las bases para una efectiva igualdad de género, tomando en cuenta que la desigualdad que de facto padecen las mujeres puede agravarse en función de la edad, la raza, la pertenencia étnica, la orientación sexual y el nivel socioeconómico, entre otros.</w:t>
      </w:r>
    </w:p>
    <w:p w:rsidR="008A7087" w:rsidRPr="00523443" w:rsidRDefault="008A7087" w:rsidP="008A7087">
      <w:pPr>
        <w:rPr>
          <w:rFonts w:ascii="Arial" w:hAnsi="Arial" w:cs="Arial"/>
        </w:rPr>
      </w:pPr>
      <w:r w:rsidRPr="00523443">
        <w:rPr>
          <w:rFonts w:ascii="Arial" w:hAnsi="Arial" w:cs="Arial"/>
        </w:rPr>
        <w:t xml:space="preserve">El derecho a la igualdad y a la no discriminación se encuentra en la base del sistema internacional de protección de los derechos humanos. Se trata de un principio consagrado </w:t>
      </w:r>
      <w:r w:rsidRPr="00523443">
        <w:rPr>
          <w:rFonts w:ascii="Arial" w:hAnsi="Arial" w:cs="Arial"/>
        </w:rPr>
        <w:lastRenderedPageBreak/>
        <w:t xml:space="preserve">en distintos instrumentos internacionales como: la Carta de las Naciones Unidas, la Declaración Universal de los Derechos del Hombre, </w:t>
      </w:r>
      <w:r w:rsidR="00146A22" w:rsidRPr="00523443">
        <w:rPr>
          <w:rFonts w:ascii="Arial" w:hAnsi="Arial" w:cs="Arial"/>
        </w:rPr>
        <w:t xml:space="preserve">la </w:t>
      </w:r>
      <w:r w:rsidRPr="00523443">
        <w:rPr>
          <w:rFonts w:ascii="Arial" w:hAnsi="Arial" w:cs="Arial"/>
        </w:rPr>
        <w:t xml:space="preserve">Convención de los Derechos Políticos de las Mujeres, </w:t>
      </w:r>
      <w:r w:rsidR="00146A22" w:rsidRPr="00523443">
        <w:rPr>
          <w:rFonts w:ascii="Arial" w:hAnsi="Arial" w:cs="Arial"/>
        </w:rPr>
        <w:t xml:space="preserve">la </w:t>
      </w:r>
      <w:r w:rsidRPr="00523443">
        <w:rPr>
          <w:rFonts w:ascii="Arial" w:hAnsi="Arial" w:cs="Arial"/>
        </w:rPr>
        <w:t>Convención Internacional sobre la Eliminación de Todas las Formas de Discriminación Racial, el Pacto Internacional de los Derechos Civiles y Políticos y en el Pacto Internacional de Derechos Económicos, Sociales y Culturales.</w:t>
      </w:r>
    </w:p>
    <w:p w:rsidR="006B3AC9" w:rsidRPr="00523443" w:rsidRDefault="006B3AC9" w:rsidP="008A7087">
      <w:pPr>
        <w:pStyle w:val="Ttulo2"/>
        <w:rPr>
          <w:rFonts w:ascii="Arial" w:hAnsi="Arial" w:cs="Arial"/>
          <w:sz w:val="22"/>
          <w:szCs w:val="22"/>
        </w:rPr>
      </w:pPr>
      <w:r w:rsidRPr="00523443">
        <w:rPr>
          <w:rFonts w:ascii="Arial" w:hAnsi="Arial" w:cs="Arial"/>
          <w:sz w:val="22"/>
          <w:szCs w:val="22"/>
        </w:rPr>
        <w:t>Programa Anual de Trabajo</w:t>
      </w:r>
    </w:p>
    <w:p w:rsidR="00146A22" w:rsidRPr="00523443" w:rsidRDefault="006B3AC9" w:rsidP="00146A22">
      <w:pPr>
        <w:rPr>
          <w:rFonts w:ascii="Arial" w:hAnsi="Arial" w:cs="Arial"/>
        </w:rPr>
      </w:pPr>
      <w:r w:rsidRPr="00523443">
        <w:rPr>
          <w:rFonts w:ascii="Arial" w:hAnsi="Arial" w:cs="Arial"/>
        </w:rPr>
        <w:t xml:space="preserve">Que, conforme a las consideraciones mencionadas, la Comisión presentó su Programa Anual de Trabajo para el período 2025, </w:t>
      </w:r>
      <w:r w:rsidR="00146A22" w:rsidRPr="00523443">
        <w:rPr>
          <w:rFonts w:ascii="Arial" w:hAnsi="Arial" w:cs="Arial"/>
        </w:rPr>
        <w:t>el cual se estructura a partir de los compromisos y objetivos del Instituto, conexos a construir, desarrollar, fortalecer o consolidar la participación ciudadana, la cultura democrática inclusiva, la paridad de género sustantiva y la cultura de la promoción y respeto de los derechos humanos, particularmente los político electorales de las mujeres y las personas pertenecientes a grupos en situación de vulnerabilidad.</w:t>
      </w:r>
    </w:p>
    <w:p w:rsidR="00146A22" w:rsidRPr="00523443" w:rsidRDefault="00146A22" w:rsidP="00146A22">
      <w:pPr>
        <w:rPr>
          <w:rFonts w:ascii="Arial" w:hAnsi="Arial" w:cs="Arial"/>
        </w:rPr>
      </w:pPr>
      <w:r w:rsidRPr="00523443">
        <w:rPr>
          <w:rFonts w:ascii="Arial" w:hAnsi="Arial" w:cs="Arial"/>
        </w:rPr>
        <w:t>Todo lo anterior, con la finalidad de que las actividades plasmadas se integren con el mandato constitucional y los objetivos estratégicos institucionales e intersectoriales, y con el objeto de construir una política institucional integral en materia de igualdad sustantiva y no discriminación.</w:t>
      </w:r>
    </w:p>
    <w:p w:rsidR="00146A22" w:rsidRPr="00523443" w:rsidRDefault="00146A22" w:rsidP="00146A22">
      <w:pPr>
        <w:rPr>
          <w:rFonts w:ascii="Arial" w:hAnsi="Arial" w:cs="Arial"/>
        </w:rPr>
      </w:pPr>
      <w:r w:rsidRPr="00523443">
        <w:rPr>
          <w:rFonts w:ascii="Arial" w:hAnsi="Arial" w:cs="Arial"/>
        </w:rPr>
        <w:t>En ese contexto, el Programa Anual de Trabajo considera la inclusión de diversos temas con el propósito de generar, fortalecer y garantizar espacios de participación ciudadana libres de violencia, la aplicación de la perspectiva de género, equidad y paridad en la organización y desarrollo del Proceso Electoral Extraordinario, por lo que se consideraron, de manera enunciativa más no limitativa, los siguientes ejes transversales de trabajo:</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 xml:space="preserve">Paridad de género;  </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 xml:space="preserve">Violencia política contra las mujeres en razón de género;  </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 xml:space="preserve">Democracia Inclusiva, Inclusión, no discriminación y acciones afirmativas; </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Ejercicios democratizadores libres de violencia política contra las mujeres en razón de género;</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 xml:space="preserve">Transversalización e Institucionalización de la perspectiva de género y la inclusión y no discriminación; y </w:t>
      </w:r>
    </w:p>
    <w:p w:rsidR="00146A22" w:rsidRPr="00523443" w:rsidRDefault="00146A22" w:rsidP="00E73C6A">
      <w:pPr>
        <w:pStyle w:val="Prrafodelista"/>
        <w:numPr>
          <w:ilvl w:val="0"/>
          <w:numId w:val="1"/>
        </w:numPr>
        <w:rPr>
          <w:rFonts w:ascii="Arial" w:hAnsi="Arial" w:cs="Arial"/>
        </w:rPr>
      </w:pPr>
      <w:r w:rsidRPr="00523443">
        <w:rPr>
          <w:rFonts w:ascii="Arial" w:hAnsi="Arial" w:cs="Arial"/>
        </w:rPr>
        <w:t>La formación y capacitación a diversos grupos de personas en situación de vulnerabilidad, respecto al ejercicio de sus derechos político-electorales.</w:t>
      </w:r>
    </w:p>
    <w:p w:rsidR="00146A22" w:rsidRPr="00523443" w:rsidRDefault="00146A22" w:rsidP="00146A22">
      <w:pPr>
        <w:rPr>
          <w:rFonts w:ascii="Arial" w:hAnsi="Arial" w:cs="Arial"/>
        </w:rPr>
      </w:pPr>
      <w:r w:rsidRPr="00523443">
        <w:rPr>
          <w:rFonts w:ascii="Arial" w:hAnsi="Arial" w:cs="Arial"/>
        </w:rPr>
        <w:lastRenderedPageBreak/>
        <w:t>Para la implementación de las actividades concernientes a cada eje de trabajo, se considerarán las siguientes líneas estratégicas que abarcan procesos de vinculación, promoción, formación, difusión y análisis:</w:t>
      </w:r>
    </w:p>
    <w:p w:rsidR="00146A22" w:rsidRPr="00523443" w:rsidRDefault="00146A22" w:rsidP="00146A22">
      <w:pPr>
        <w:rPr>
          <w:rFonts w:ascii="Arial" w:hAnsi="Arial" w:cs="Arial"/>
        </w:rPr>
      </w:pPr>
      <w:r w:rsidRPr="00523443">
        <w:rPr>
          <w:rFonts w:ascii="Arial" w:hAnsi="Arial" w:cs="Arial"/>
          <w:b/>
        </w:rPr>
        <w:t>Vinculación:</w:t>
      </w:r>
      <w:r w:rsidRPr="00523443">
        <w:rPr>
          <w:rFonts w:ascii="Arial" w:hAnsi="Arial" w:cs="Arial"/>
        </w:rPr>
        <w:t xml:space="preserve"> Favorecer la colaboración con instancias y actores clave como:  los partidos políticos, las organizaciones de la sociedad civil, la academia, los órganos jurisdiccionales y las instituciones gubernamentales, así como la participación en distintos mecanismos interinstitucionales nacionales.</w:t>
      </w:r>
    </w:p>
    <w:p w:rsidR="00146A22" w:rsidRPr="00523443" w:rsidRDefault="00146A22" w:rsidP="00146A22">
      <w:pPr>
        <w:rPr>
          <w:rFonts w:ascii="Arial" w:hAnsi="Arial" w:cs="Arial"/>
        </w:rPr>
      </w:pPr>
      <w:r w:rsidRPr="00523443">
        <w:rPr>
          <w:rFonts w:ascii="Arial" w:hAnsi="Arial" w:cs="Arial"/>
          <w:b/>
        </w:rPr>
        <w:t>Promoción:</w:t>
      </w:r>
      <w:r w:rsidRPr="00523443">
        <w:rPr>
          <w:rFonts w:ascii="Arial" w:hAnsi="Arial" w:cs="Arial"/>
        </w:rPr>
        <w:t xml:space="preserve"> Proponer actividades para su desarrollo en el corto y mediano plazo, sin menoscabo de su potencial para la atención de objetivos de largo plazo, y dar puntual seguimiento a su implementación y, en su caso, evaluación.</w:t>
      </w:r>
    </w:p>
    <w:p w:rsidR="00146A22" w:rsidRPr="00523443" w:rsidRDefault="00146A22" w:rsidP="00146A22">
      <w:pPr>
        <w:rPr>
          <w:rFonts w:ascii="Arial" w:hAnsi="Arial" w:cs="Arial"/>
        </w:rPr>
      </w:pPr>
      <w:r w:rsidRPr="00523443">
        <w:rPr>
          <w:rFonts w:ascii="Arial" w:hAnsi="Arial" w:cs="Arial"/>
          <w:b/>
        </w:rPr>
        <w:t>Formación:</w:t>
      </w:r>
      <w:r w:rsidRPr="00523443">
        <w:rPr>
          <w:rFonts w:ascii="Arial" w:hAnsi="Arial" w:cs="Arial"/>
        </w:rPr>
        <w:t xml:space="preserve"> Facilitar herramientas a las y los diversos actores institucionales y políticos para el desarrollo de habilidades técnicas para el cumplimiento de su obligación de garantizar la igualdad de género, la inclusión, no discriminación y paridad, en condiciones equitativas y libres de violencia en razón de género.</w:t>
      </w:r>
    </w:p>
    <w:p w:rsidR="00146A22" w:rsidRPr="00523443" w:rsidRDefault="00146A22" w:rsidP="00146A22">
      <w:pPr>
        <w:rPr>
          <w:rFonts w:ascii="Arial" w:hAnsi="Arial" w:cs="Arial"/>
        </w:rPr>
      </w:pPr>
      <w:r w:rsidRPr="00523443">
        <w:rPr>
          <w:rFonts w:ascii="Arial" w:hAnsi="Arial" w:cs="Arial"/>
          <w:b/>
        </w:rPr>
        <w:t>Difusión:</w:t>
      </w:r>
      <w:r w:rsidRPr="00523443">
        <w:rPr>
          <w:rFonts w:ascii="Arial" w:hAnsi="Arial" w:cs="Arial"/>
        </w:rPr>
        <w:t xml:space="preserve"> Divulgar, hacia el interior y exterior del Instituto, las actividades realizadas en el marco de los trabajos de la Comisión y la Unidad de Igualdad de Género y No Discriminación.</w:t>
      </w:r>
    </w:p>
    <w:p w:rsidR="00146A22" w:rsidRPr="00523443" w:rsidRDefault="00146A22" w:rsidP="00146A22">
      <w:pPr>
        <w:rPr>
          <w:rFonts w:ascii="Arial" w:hAnsi="Arial" w:cs="Arial"/>
        </w:rPr>
      </w:pPr>
      <w:r w:rsidRPr="00523443">
        <w:rPr>
          <w:rFonts w:ascii="Arial" w:hAnsi="Arial" w:cs="Arial"/>
          <w:b/>
        </w:rPr>
        <w:t>Análisis:</w:t>
      </w:r>
      <w:r w:rsidRPr="00523443">
        <w:rPr>
          <w:rFonts w:ascii="Arial" w:hAnsi="Arial" w:cs="Arial"/>
        </w:rPr>
        <w:t xml:space="preserve"> Dar seguimiento continuo al desarrollo de actividades, a efecto de detectar áreas de oportunidad y/o buenas prácticas a través de su evaluación, para su fortalecimiento.</w:t>
      </w:r>
    </w:p>
    <w:p w:rsidR="00146A22" w:rsidRPr="00523443" w:rsidRDefault="00146A22" w:rsidP="00146A22">
      <w:pPr>
        <w:rPr>
          <w:rFonts w:ascii="Arial" w:hAnsi="Arial" w:cs="Arial"/>
        </w:rPr>
      </w:pPr>
      <w:r w:rsidRPr="00523443">
        <w:rPr>
          <w:rFonts w:ascii="Arial" w:hAnsi="Arial" w:cs="Arial"/>
        </w:rPr>
        <w:t>Con los 6 ejes transversales, se posibilita la continuidad y la progresividad en las acciones, así como un enfoque basado en el principio pro persona de personas y grupos en situación de discriminación, la prevención y erradicación de la violencia política contra la mujer en razón de género, estableciendo para ello compromisos de trabajo conjuntos y coordinados con las y los integrantes del Consejo Estatal, la Junta Estatal Ejecutiva, las organizaciones de la sociedad civil y academia, además de prever en procesos electorales la vinculación con los Consejos y las Juntas Electorales Distritales.</w:t>
      </w:r>
    </w:p>
    <w:p w:rsidR="006B3AC9" w:rsidRPr="00523443" w:rsidRDefault="00146A22" w:rsidP="006B3AC9">
      <w:pPr>
        <w:rPr>
          <w:rFonts w:ascii="Arial" w:hAnsi="Arial" w:cs="Arial"/>
        </w:rPr>
      </w:pPr>
      <w:r w:rsidRPr="00523443">
        <w:rPr>
          <w:rFonts w:ascii="Arial" w:hAnsi="Arial" w:cs="Arial"/>
        </w:rPr>
        <w:t>Finalmente, e</w:t>
      </w:r>
      <w:r w:rsidR="006B3AC9" w:rsidRPr="00523443">
        <w:rPr>
          <w:rFonts w:ascii="Arial" w:hAnsi="Arial" w:cs="Arial"/>
        </w:rPr>
        <w:t>s importante señalar que, las actividades que conforman el Programa de Trabajo de la Comisión para el año 2025 se encuentran establecidas de forma enunciativa, más no limitativa, por lo que, podrá realizar e implementar actividades adicionales no previstas, conforme a sus metas, objetivos y disponibilidad presupuestal.</w:t>
      </w:r>
    </w:p>
    <w:p w:rsidR="006B3AC9" w:rsidRPr="00523443" w:rsidRDefault="006B3AC9" w:rsidP="006B3AC9">
      <w:pPr>
        <w:rPr>
          <w:rFonts w:ascii="Arial" w:hAnsi="Arial" w:cs="Arial"/>
        </w:rPr>
      </w:pPr>
      <w:r w:rsidRPr="00523443">
        <w:rPr>
          <w:rFonts w:ascii="Arial" w:hAnsi="Arial" w:cs="Arial"/>
        </w:rPr>
        <w:t>Sobre la base de las consideraciones señaladas, este Consejo Estatal emite el siguiente:</w:t>
      </w:r>
    </w:p>
    <w:p w:rsidR="006B3AC9" w:rsidRDefault="006B3AC9" w:rsidP="0064055A">
      <w:pPr>
        <w:pStyle w:val="Ttulo1"/>
        <w:rPr>
          <w:rFonts w:ascii="Arial" w:hAnsi="Arial" w:cs="Arial"/>
          <w:sz w:val="24"/>
          <w:szCs w:val="24"/>
        </w:rPr>
      </w:pPr>
      <w:r w:rsidRPr="00523443">
        <w:rPr>
          <w:rFonts w:ascii="Arial" w:hAnsi="Arial" w:cs="Arial"/>
          <w:sz w:val="24"/>
          <w:szCs w:val="24"/>
        </w:rPr>
        <w:lastRenderedPageBreak/>
        <w:t>Acuerdo</w:t>
      </w:r>
    </w:p>
    <w:p w:rsidR="00523443" w:rsidRPr="00523443" w:rsidRDefault="00523443" w:rsidP="00523443">
      <w:pPr>
        <w:rPr>
          <w:lang w:val="es-ES"/>
        </w:rPr>
      </w:pPr>
    </w:p>
    <w:p w:rsidR="006B3AC9" w:rsidRPr="00523443" w:rsidRDefault="006B3AC9" w:rsidP="006B3AC9">
      <w:pPr>
        <w:rPr>
          <w:rFonts w:ascii="Arial" w:hAnsi="Arial" w:cs="Arial"/>
          <w:bCs/>
        </w:rPr>
      </w:pPr>
      <w:r w:rsidRPr="00523443">
        <w:rPr>
          <w:rFonts w:ascii="Arial" w:hAnsi="Arial" w:cs="Arial"/>
          <w:b/>
          <w:bCs/>
        </w:rPr>
        <w:t xml:space="preserve">Primero. </w:t>
      </w:r>
      <w:r w:rsidRPr="00523443">
        <w:rPr>
          <w:rFonts w:ascii="Arial" w:hAnsi="Arial" w:cs="Arial"/>
          <w:bCs/>
        </w:rPr>
        <w:t>Se aprueba el Programa Anual de Trabajo de la Comisión Permanente de Igualdad de Género y No Discriminación del Instituto Electoral y de Participación Ciudadana de Tabasco para el ejercicio 2025 propuesto por la propia Comisión, anexo al presente acuerdo.</w:t>
      </w:r>
    </w:p>
    <w:p w:rsidR="006B3AC9" w:rsidRPr="00523443" w:rsidRDefault="006B3AC9" w:rsidP="006B3AC9">
      <w:pPr>
        <w:rPr>
          <w:rFonts w:ascii="Arial" w:hAnsi="Arial" w:cs="Arial"/>
        </w:rPr>
      </w:pPr>
      <w:r w:rsidRPr="00523443">
        <w:rPr>
          <w:rFonts w:ascii="Arial" w:hAnsi="Arial" w:cs="Arial"/>
          <w:b/>
          <w:bCs/>
        </w:rPr>
        <w:t>Segundo.</w:t>
      </w:r>
      <w:r w:rsidRPr="00523443">
        <w:rPr>
          <w:rFonts w:ascii="Arial" w:hAnsi="Arial" w:cs="Arial"/>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rsidR="006B3AC9" w:rsidRPr="00523443" w:rsidRDefault="006B3AC9" w:rsidP="006B3AC9">
      <w:pPr>
        <w:rPr>
          <w:rFonts w:ascii="Arial" w:hAnsi="Arial" w:cs="Arial"/>
        </w:rPr>
      </w:pPr>
      <w:r w:rsidRPr="00523443">
        <w:rPr>
          <w:rFonts w:ascii="Arial" w:hAnsi="Arial" w:cs="Arial"/>
          <w:b/>
          <w:bCs/>
        </w:rPr>
        <w:t>Tercero.</w:t>
      </w:r>
      <w:r w:rsidRPr="00523443">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rsidR="006B3AC9" w:rsidRPr="00523443" w:rsidRDefault="006B3AC9" w:rsidP="006B3AC9">
      <w:pPr>
        <w:rPr>
          <w:rFonts w:ascii="Arial" w:hAnsi="Arial" w:cs="Arial"/>
        </w:rPr>
      </w:pPr>
      <w:r w:rsidRPr="00523443">
        <w:rPr>
          <w:rFonts w:ascii="Arial" w:hAnsi="Arial" w:cs="Arial"/>
        </w:rPr>
        <w:t xml:space="preserve">El presente </w:t>
      </w:r>
      <w:r w:rsidR="00883A8C">
        <w:rPr>
          <w:rFonts w:ascii="Arial" w:hAnsi="Arial" w:cs="Arial"/>
        </w:rPr>
        <w:t>acuerdo fue aprobado</w:t>
      </w:r>
      <w:r w:rsidRPr="00523443">
        <w:rPr>
          <w:rFonts w:ascii="Arial" w:hAnsi="Arial" w:cs="Arial"/>
        </w:rPr>
        <w:t xml:space="preserve"> en sesión </w:t>
      </w:r>
      <w:r w:rsidR="00596E8C">
        <w:rPr>
          <w:rFonts w:ascii="Arial" w:hAnsi="Arial" w:cs="Arial"/>
        </w:rPr>
        <w:t>extraordinaria</w:t>
      </w:r>
      <w:r w:rsidRPr="00523443">
        <w:rPr>
          <w:rFonts w:ascii="Arial" w:hAnsi="Arial" w:cs="Arial"/>
        </w:rPr>
        <w:t xml:space="preserve"> efectuada el</w:t>
      </w:r>
      <w:r w:rsidR="00596E8C">
        <w:rPr>
          <w:rFonts w:ascii="Arial" w:hAnsi="Arial" w:cs="Arial"/>
        </w:rPr>
        <w:t xml:space="preserve"> diecisiete</w:t>
      </w:r>
      <w:r w:rsidRPr="00523443">
        <w:rPr>
          <w:rFonts w:ascii="Arial" w:hAnsi="Arial" w:cs="Arial"/>
        </w:rPr>
        <w:t xml:space="preserve"> de </w:t>
      </w:r>
      <w:r w:rsidR="00596E8C">
        <w:rPr>
          <w:rFonts w:ascii="Arial" w:hAnsi="Arial" w:cs="Arial"/>
        </w:rPr>
        <w:t>enero</w:t>
      </w:r>
      <w:r w:rsidRPr="00523443">
        <w:rPr>
          <w:rFonts w:ascii="Arial" w:hAnsi="Arial" w:cs="Arial"/>
        </w:rPr>
        <w:t xml:space="preserve"> del año dos mil veinticinco, por votación </w:t>
      </w:r>
      <w:r w:rsidR="00883A8C">
        <w:rPr>
          <w:rFonts w:ascii="Arial" w:hAnsi="Arial" w:cs="Arial"/>
        </w:rPr>
        <w:t>unánime</w:t>
      </w:r>
      <w:r w:rsidRPr="00523443">
        <w:rPr>
          <w:rFonts w:ascii="Arial" w:hAnsi="Arial" w:cs="Arial"/>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Beaurregard, Mtra. Ruth Lizette Toledo Peral y la Consejera Presidenta, Mtra. Elizabeth Nava Gutiérrez.</w:t>
      </w:r>
    </w:p>
    <w:p w:rsidR="006B3AC9" w:rsidRPr="00523443" w:rsidRDefault="006B3AC9" w:rsidP="006B3AC9">
      <w:pPr>
        <w:rPr>
          <w:rFonts w:ascii="Arial" w:hAnsi="Arial" w:cs="Arial"/>
        </w:rPr>
      </w:pPr>
    </w:p>
    <w:p w:rsidR="006B3AC9" w:rsidRPr="00523443" w:rsidRDefault="006B3AC9" w:rsidP="006B3AC9">
      <w:pPr>
        <w:rPr>
          <w:rFonts w:ascii="Arial" w:hAnsi="Arial" w:cs="Arial"/>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1"/>
        <w:gridCol w:w="246"/>
        <w:gridCol w:w="4394"/>
      </w:tblGrid>
      <w:tr w:rsidR="006B3AC9" w:rsidRPr="00523443" w:rsidTr="00523443">
        <w:trPr>
          <w:trHeight w:val="899"/>
        </w:trPr>
        <w:tc>
          <w:tcPr>
            <w:tcW w:w="4591" w:type="dxa"/>
          </w:tcPr>
          <w:p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MTRA. ELIZABETH NAVA GUTIÉRREZ</w:t>
            </w:r>
          </w:p>
          <w:p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CONSEJERA PRESIDENTA</w:t>
            </w:r>
          </w:p>
        </w:tc>
        <w:tc>
          <w:tcPr>
            <w:tcW w:w="246" w:type="dxa"/>
          </w:tcPr>
          <w:p w:rsidR="006B3AC9" w:rsidRPr="00523443" w:rsidRDefault="006B3AC9" w:rsidP="006B3AC9">
            <w:pPr>
              <w:spacing w:before="0" w:after="0" w:line="288" w:lineRule="auto"/>
              <w:rPr>
                <w:rFonts w:ascii="Arial" w:hAnsi="Arial" w:cs="Arial"/>
                <w:b/>
                <w:bCs/>
                <w:sz w:val="22"/>
                <w:szCs w:val="22"/>
              </w:rPr>
            </w:pPr>
          </w:p>
        </w:tc>
        <w:tc>
          <w:tcPr>
            <w:tcW w:w="4394" w:type="dxa"/>
          </w:tcPr>
          <w:p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LIC. JORGE ALBERTO ZAVALA FRÍAS</w:t>
            </w:r>
          </w:p>
          <w:p w:rsidR="006B3AC9" w:rsidRPr="00523443" w:rsidRDefault="006B3AC9" w:rsidP="006B3AC9">
            <w:pPr>
              <w:spacing w:before="0" w:after="0" w:line="288" w:lineRule="auto"/>
              <w:jc w:val="center"/>
              <w:rPr>
                <w:rFonts w:ascii="Arial" w:hAnsi="Arial" w:cs="Arial"/>
                <w:b/>
                <w:bCs/>
                <w:sz w:val="22"/>
                <w:szCs w:val="22"/>
              </w:rPr>
            </w:pPr>
            <w:r w:rsidRPr="00523443">
              <w:rPr>
                <w:rFonts w:ascii="Arial" w:hAnsi="Arial" w:cs="Arial"/>
                <w:b/>
                <w:bCs/>
                <w:sz w:val="22"/>
                <w:szCs w:val="22"/>
              </w:rPr>
              <w:t>SECRETARIO DEL CONSEJO</w:t>
            </w:r>
          </w:p>
        </w:tc>
      </w:tr>
    </w:tbl>
    <w:p w:rsidR="006B3AC9" w:rsidRPr="00523443" w:rsidRDefault="006B3AC9" w:rsidP="00DF49B7">
      <w:pPr>
        <w:rPr>
          <w:rFonts w:ascii="Arial" w:hAnsi="Arial" w:cs="Arial"/>
          <w:color w:val="FF0000"/>
        </w:rPr>
      </w:pPr>
    </w:p>
    <w:sectPr w:rsidR="006B3AC9" w:rsidRPr="00523443" w:rsidSect="006B3AC9">
      <w:headerReference w:type="even" r:id="rId7"/>
      <w:headerReference w:type="default" r:id="rId8"/>
      <w:footerReference w:type="even" r:id="rId9"/>
      <w:footerReference w:type="default" r:id="rId10"/>
      <w:headerReference w:type="first" r:id="rId11"/>
      <w:footerReference w:type="first" r:id="rId12"/>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EAD" w:rsidRDefault="009D2EAD" w:rsidP="006B3AC9">
      <w:pPr>
        <w:spacing w:before="0" w:after="0" w:line="240" w:lineRule="auto"/>
      </w:pPr>
      <w:r>
        <w:separator/>
      </w:r>
    </w:p>
  </w:endnote>
  <w:endnote w:type="continuationSeparator" w:id="0">
    <w:p w:rsidR="009D2EAD" w:rsidRDefault="009D2EAD" w:rsidP="006B3AC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E790C6B-1687-45ED-89AD-6F3A58170D16}"/>
    <w:embedBold r:id="rId2" w:fontKey="{15628AD4-4198-4EFB-B864-DB4BD0E21E2B}"/>
  </w:font>
  <w:font w:name="Aptos">
    <w:altName w:val="Calibri"/>
    <w:charset w:val="00"/>
    <w:family w:val="swiss"/>
    <w:pitch w:val="variable"/>
    <w:sig w:usb0="20000287" w:usb1="00000003" w:usb2="00000000" w:usb3="00000000" w:csb0="0000019F" w:csb1="00000000"/>
  </w:font>
  <w:font w:name="Exo">
    <w:charset w:val="00"/>
    <w:family w:val="auto"/>
    <w:pitch w:val="variable"/>
    <w:sig w:usb0="00000001" w:usb1="4000204B" w:usb2="00000000" w:usb3="00000000" w:csb0="00000193" w:csb1="00000000"/>
    <w:embedBold r:id="rId3" w:fontKey="{B7539835-8C73-402C-8238-6E98FDD7B2C0}"/>
  </w:font>
  <w:font w:name="Calibri Light">
    <w:panose1 w:val="020F0302020204030204"/>
    <w:charset w:val="00"/>
    <w:family w:val="swiss"/>
    <w:pitch w:val="variable"/>
    <w:sig w:usb0="E4002EFF" w:usb1="C200247B" w:usb2="00000009" w:usb3="00000000" w:csb0="000001FF" w:csb1="00000000"/>
    <w:embedRegular r:id="rId4" w:fontKey="{84B4C5F7-83CE-4B20-AB2F-0FB7F74F4A66}"/>
    <w:embedItalic r:id="rId5" w:fontKey="{902B536E-82EC-43AF-B613-DB29C58E8877}"/>
  </w:font>
  <w:font w:name="Arial">
    <w:panose1 w:val="020B0604020202020204"/>
    <w:charset w:val="00"/>
    <w:family w:val="swiss"/>
    <w:pitch w:val="variable"/>
    <w:sig w:usb0="E0002EFF" w:usb1="C000785B" w:usb2="00000009" w:usb3="00000000" w:csb0="000001FF" w:csb1="00000000"/>
  </w:font>
  <w:font w:name="Arial Negrita">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411" w:rsidRDefault="00E8441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901525023"/>
      <w:docPartObj>
        <w:docPartGallery w:val="Page Numbers (Top of Page)"/>
        <w:docPartUnique/>
      </w:docPartObj>
    </w:sdtPr>
    <w:sdtEndPr/>
    <w:sdtContent>
      <w:p w:rsidR="006B3AC9" w:rsidRPr="00E84411" w:rsidRDefault="006B3AC9" w:rsidP="006B3AC9">
        <w:pPr>
          <w:pStyle w:val="Piedepgina"/>
          <w:spacing w:before="120"/>
          <w:jc w:val="right"/>
          <w:rPr>
            <w:rFonts w:ascii="Arial" w:hAnsi="Arial" w:cs="Arial"/>
            <w:color w:val="993366"/>
            <w:sz w:val="24"/>
            <w:szCs w:val="24"/>
          </w:rPr>
        </w:pPr>
        <w:r w:rsidRPr="00E84411">
          <w:rPr>
            <w:rFonts w:ascii="Arial" w:hAnsi="Arial" w:cs="Arial"/>
            <w:b/>
            <w:bCs/>
            <w:color w:val="993366"/>
            <w:sz w:val="24"/>
            <w:szCs w:val="24"/>
            <w:lang w:val="es-ES"/>
          </w:rPr>
          <w:t xml:space="preserve">Página </w:t>
        </w:r>
        <w:r w:rsidRPr="00E84411">
          <w:rPr>
            <w:rFonts w:ascii="Arial" w:hAnsi="Arial" w:cs="Arial"/>
            <w:b/>
            <w:bCs/>
            <w:color w:val="993366"/>
            <w:sz w:val="24"/>
            <w:szCs w:val="24"/>
          </w:rPr>
          <w:fldChar w:fldCharType="begin"/>
        </w:r>
        <w:r w:rsidRPr="00E84411">
          <w:rPr>
            <w:rFonts w:ascii="Arial" w:hAnsi="Arial" w:cs="Arial"/>
            <w:b/>
            <w:bCs/>
            <w:color w:val="993366"/>
            <w:sz w:val="24"/>
            <w:szCs w:val="24"/>
          </w:rPr>
          <w:instrText>PAGE</w:instrText>
        </w:r>
        <w:r w:rsidRPr="00E84411">
          <w:rPr>
            <w:rFonts w:ascii="Arial" w:hAnsi="Arial" w:cs="Arial"/>
            <w:b/>
            <w:bCs/>
            <w:color w:val="993366"/>
            <w:sz w:val="24"/>
            <w:szCs w:val="24"/>
          </w:rPr>
          <w:fldChar w:fldCharType="separate"/>
        </w:r>
        <w:r w:rsidR="00E84411">
          <w:rPr>
            <w:rFonts w:ascii="Arial" w:hAnsi="Arial" w:cs="Arial"/>
            <w:b/>
            <w:bCs/>
            <w:noProof/>
            <w:color w:val="993366"/>
            <w:sz w:val="24"/>
            <w:szCs w:val="24"/>
          </w:rPr>
          <w:t>9</w:t>
        </w:r>
        <w:r w:rsidRPr="00E84411">
          <w:rPr>
            <w:rFonts w:ascii="Arial" w:hAnsi="Arial" w:cs="Arial"/>
            <w:b/>
            <w:bCs/>
            <w:color w:val="993366"/>
            <w:sz w:val="24"/>
            <w:szCs w:val="24"/>
          </w:rPr>
          <w:fldChar w:fldCharType="end"/>
        </w:r>
        <w:r w:rsidRPr="00E84411">
          <w:rPr>
            <w:rFonts w:ascii="Arial" w:hAnsi="Arial" w:cs="Arial"/>
            <w:b/>
            <w:bCs/>
            <w:color w:val="993366"/>
            <w:sz w:val="24"/>
            <w:szCs w:val="24"/>
            <w:lang w:val="es-ES"/>
          </w:rPr>
          <w:t xml:space="preserve"> | </w:t>
        </w:r>
        <w:r w:rsidRPr="00E84411">
          <w:rPr>
            <w:rFonts w:ascii="Arial" w:hAnsi="Arial" w:cs="Arial"/>
            <w:b/>
            <w:bCs/>
            <w:color w:val="993366"/>
            <w:sz w:val="24"/>
            <w:szCs w:val="24"/>
          </w:rPr>
          <w:fldChar w:fldCharType="begin"/>
        </w:r>
        <w:r w:rsidRPr="00E84411">
          <w:rPr>
            <w:rFonts w:ascii="Arial" w:hAnsi="Arial" w:cs="Arial"/>
            <w:b/>
            <w:bCs/>
            <w:color w:val="993366"/>
            <w:sz w:val="24"/>
            <w:szCs w:val="24"/>
          </w:rPr>
          <w:instrText>NUMPAGES</w:instrText>
        </w:r>
        <w:r w:rsidRPr="00E84411">
          <w:rPr>
            <w:rFonts w:ascii="Arial" w:hAnsi="Arial" w:cs="Arial"/>
            <w:b/>
            <w:bCs/>
            <w:color w:val="993366"/>
            <w:sz w:val="24"/>
            <w:szCs w:val="24"/>
          </w:rPr>
          <w:fldChar w:fldCharType="separate"/>
        </w:r>
        <w:r w:rsidR="00E84411">
          <w:rPr>
            <w:rFonts w:ascii="Arial" w:hAnsi="Arial" w:cs="Arial"/>
            <w:b/>
            <w:bCs/>
            <w:noProof/>
            <w:color w:val="993366"/>
            <w:sz w:val="24"/>
            <w:szCs w:val="24"/>
          </w:rPr>
          <w:t>9</w:t>
        </w:r>
        <w:r w:rsidRPr="00E84411">
          <w:rPr>
            <w:rFonts w:ascii="Arial" w:hAnsi="Arial" w:cs="Arial"/>
            <w:b/>
            <w:bCs/>
            <w:color w:val="993366"/>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411" w:rsidRDefault="00E8441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EAD" w:rsidRDefault="009D2EAD" w:rsidP="006B3AC9">
      <w:pPr>
        <w:spacing w:before="0" w:after="0" w:line="240" w:lineRule="auto"/>
      </w:pPr>
      <w:r>
        <w:separator/>
      </w:r>
    </w:p>
  </w:footnote>
  <w:footnote w:type="continuationSeparator" w:id="0">
    <w:p w:rsidR="009D2EAD" w:rsidRDefault="009D2EAD" w:rsidP="006B3AC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411" w:rsidRDefault="00E8441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3"/>
      <w:gridCol w:w="5735"/>
      <w:gridCol w:w="1667"/>
    </w:tblGrid>
    <w:tr w:rsidR="006B3AC9" w:rsidTr="006B3AC9">
      <w:tc>
        <w:tcPr>
          <w:tcW w:w="1813" w:type="dxa"/>
        </w:tcPr>
        <w:p w:rsidR="006B3AC9" w:rsidRDefault="006B3AC9" w:rsidP="006B3AC9">
          <w:pPr>
            <w:pStyle w:val="Encabezado"/>
          </w:pPr>
          <w:r>
            <w:rPr>
              <w:b/>
              <w:noProof/>
              <w:sz w:val="32"/>
              <w:lang w:eastAsia="es-MX"/>
            </w:rPr>
            <w:drawing>
              <wp:inline distT="0" distB="0" distL="0" distR="0" wp14:anchorId="231ECA7C" wp14:editId="6F4ABC6E">
                <wp:extent cx="1014331" cy="1199403"/>
                <wp:effectExtent l="0" t="0" r="0" b="1270"/>
                <wp:docPr id="1695709637" name="Imagen 169570963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5842" w:type="dxa"/>
        </w:tcPr>
        <w:p w:rsidR="006B3AC9" w:rsidRPr="00B33A23" w:rsidRDefault="006B3AC9" w:rsidP="006B3AC9">
          <w:pPr>
            <w:pStyle w:val="Encabezado"/>
            <w:spacing w:before="720"/>
            <w:jc w:val="center"/>
            <w:rPr>
              <w:rFonts w:ascii="Arial Negrita" w:hAnsi="Arial Negrita" w:cs="Arial"/>
              <w:b/>
              <w:bCs/>
              <w:spacing w:val="-10"/>
              <w:sz w:val="26"/>
              <w:szCs w:val="26"/>
            </w:rPr>
          </w:pPr>
          <w:r w:rsidRPr="00B33A23">
            <w:rPr>
              <w:rFonts w:ascii="Arial Negrita" w:hAnsi="Arial Negrita" w:cs="Arial"/>
              <w:b/>
              <w:bCs/>
              <w:spacing w:val="-10"/>
              <w:sz w:val="26"/>
              <w:szCs w:val="26"/>
            </w:rPr>
            <w:t>INSTITUTO ELECTORAL Y DE PARTICIPACIÓN CIUDADANA DE TABASCO</w:t>
          </w:r>
        </w:p>
        <w:p w:rsidR="006B3AC9" w:rsidRDefault="006B3AC9" w:rsidP="006B3AC9">
          <w:pPr>
            <w:pStyle w:val="Encabezado"/>
            <w:spacing w:before="60"/>
            <w:jc w:val="center"/>
          </w:pPr>
          <w:r w:rsidRPr="00B33A23">
            <w:rPr>
              <w:rFonts w:ascii="Arial" w:hAnsi="Arial" w:cs="Arial"/>
              <w:b/>
              <w:bCs/>
              <w:sz w:val="28"/>
              <w:szCs w:val="28"/>
            </w:rPr>
            <w:t>CONSEJO ESTATAL</w:t>
          </w:r>
        </w:p>
      </w:tc>
      <w:tc>
        <w:tcPr>
          <w:tcW w:w="1560" w:type="dxa"/>
        </w:tcPr>
        <w:p w:rsidR="006B3AC9" w:rsidRDefault="006B3AC9" w:rsidP="006B3AC9">
          <w:pPr>
            <w:pStyle w:val="Encabezado"/>
            <w:spacing w:before="480"/>
            <w:jc w:val="right"/>
          </w:pPr>
          <w:r>
            <w:rPr>
              <w:noProof/>
              <w:lang w:eastAsia="es-MX"/>
            </w:rPr>
            <w:drawing>
              <wp:inline distT="0" distB="0" distL="0" distR="0" wp14:anchorId="212BA972" wp14:editId="23103A08">
                <wp:extent cx="921600" cy="756000"/>
                <wp:effectExtent l="0" t="0" r="0" b="6350"/>
                <wp:docPr id="1579608627"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5887" name="Imagen 1" descr="Logotipo, Icon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21600" cy="756000"/>
                        </a:xfrm>
                        <a:prstGeom prst="rect">
                          <a:avLst/>
                        </a:prstGeom>
                      </pic:spPr>
                    </pic:pic>
                  </a:graphicData>
                </a:graphic>
              </wp:inline>
            </w:drawing>
          </w:r>
        </w:p>
      </w:tc>
      <w:bookmarkStart w:id="0" w:name="_GoBack"/>
      <w:bookmarkEnd w:id="0"/>
    </w:tr>
  </w:tbl>
  <w:p w:rsidR="006B3AC9" w:rsidRDefault="006B3AC9">
    <w:pPr>
      <w:pStyle w:val="Encabezado"/>
    </w:pPr>
  </w:p>
  <w:p w:rsidR="00596E8C" w:rsidRPr="00596E8C" w:rsidRDefault="00596E8C" w:rsidP="00596E8C">
    <w:pPr>
      <w:pStyle w:val="Encabezado"/>
      <w:jc w:val="right"/>
      <w:rPr>
        <w:rFonts w:ascii="Arial" w:hAnsi="Arial" w:cs="Arial"/>
        <w:b/>
        <w:sz w:val="24"/>
        <w:szCs w:val="24"/>
      </w:rPr>
    </w:pPr>
    <w:r w:rsidRPr="00596E8C">
      <w:rPr>
        <w:rFonts w:ascii="Arial" w:hAnsi="Arial" w:cs="Arial"/>
        <w:b/>
        <w:sz w:val="24"/>
        <w:szCs w:val="24"/>
      </w:rPr>
      <w:t>CE/2005/006</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4411" w:rsidRDefault="00E8441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05870"/>
    <w:multiLevelType w:val="multilevel"/>
    <w:tmpl w:val="A2AAF1F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19644F60"/>
    <w:multiLevelType w:val="hybridMultilevel"/>
    <w:tmpl w:val="FE7A1C78"/>
    <w:lvl w:ilvl="0" w:tplc="330EF8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CA13B2"/>
    <w:multiLevelType w:val="hybridMultilevel"/>
    <w:tmpl w:val="9D926C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9B7"/>
    <w:rsid w:val="00033198"/>
    <w:rsid w:val="00146A22"/>
    <w:rsid w:val="001D5CFC"/>
    <w:rsid w:val="001E4CEC"/>
    <w:rsid w:val="00247734"/>
    <w:rsid w:val="002816FA"/>
    <w:rsid w:val="002D1068"/>
    <w:rsid w:val="00512DE0"/>
    <w:rsid w:val="00523443"/>
    <w:rsid w:val="00596E8C"/>
    <w:rsid w:val="005C2272"/>
    <w:rsid w:val="00604D9F"/>
    <w:rsid w:val="0064055A"/>
    <w:rsid w:val="006A2F72"/>
    <w:rsid w:val="006B3AC9"/>
    <w:rsid w:val="007354FF"/>
    <w:rsid w:val="00755D34"/>
    <w:rsid w:val="008075A8"/>
    <w:rsid w:val="00883A8C"/>
    <w:rsid w:val="008A7087"/>
    <w:rsid w:val="008E3E86"/>
    <w:rsid w:val="009C4AED"/>
    <w:rsid w:val="009D2EAD"/>
    <w:rsid w:val="009E1C7F"/>
    <w:rsid w:val="00B00DE6"/>
    <w:rsid w:val="00B77AE2"/>
    <w:rsid w:val="00B97B07"/>
    <w:rsid w:val="00BF0405"/>
    <w:rsid w:val="00CC184C"/>
    <w:rsid w:val="00D85FA6"/>
    <w:rsid w:val="00DF49B7"/>
    <w:rsid w:val="00E73C6A"/>
    <w:rsid w:val="00E84411"/>
    <w:rsid w:val="00FF7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BF7DF1-9C85-4174-8143-DF862D015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9B7"/>
    <w:pPr>
      <w:spacing w:before="240" w:after="240" w:line="276" w:lineRule="auto"/>
      <w:jc w:val="both"/>
    </w:pPr>
    <w:rPr>
      <w:rFonts w:ascii="Aptos" w:hAnsi="Aptos"/>
    </w:rPr>
  </w:style>
  <w:style w:type="paragraph" w:styleId="Ttulo1">
    <w:name w:val="heading 1"/>
    <w:basedOn w:val="Normal"/>
    <w:next w:val="Normal"/>
    <w:link w:val="Ttulo1Car"/>
    <w:uiPriority w:val="9"/>
    <w:qFormat/>
    <w:rsid w:val="0064055A"/>
    <w:pPr>
      <w:numPr>
        <w:numId w:val="3"/>
      </w:numPr>
      <w:spacing w:before="600"/>
      <w:jc w:val="center"/>
      <w:outlineLvl w:val="0"/>
    </w:pPr>
    <w:rPr>
      <w:rFonts w:ascii="Exo" w:hAnsi="Exo"/>
      <w:b/>
      <w:bCs/>
      <w:sz w:val="28"/>
      <w:szCs w:val="28"/>
      <w:lang w:val="es-ES"/>
    </w:rPr>
  </w:style>
  <w:style w:type="paragraph" w:styleId="Ttulo2">
    <w:name w:val="heading 2"/>
    <w:basedOn w:val="Normal"/>
    <w:next w:val="Normal"/>
    <w:link w:val="Ttulo2Car"/>
    <w:uiPriority w:val="9"/>
    <w:unhideWhenUsed/>
    <w:qFormat/>
    <w:rsid w:val="008A7087"/>
    <w:pPr>
      <w:numPr>
        <w:ilvl w:val="1"/>
        <w:numId w:val="3"/>
      </w:numPr>
      <w:spacing w:before="480"/>
      <w:outlineLvl w:val="1"/>
    </w:pPr>
    <w:rPr>
      <w:rFonts w:ascii="Exo" w:hAnsi="Exo"/>
      <w:b/>
      <w:bCs/>
      <w:sz w:val="24"/>
      <w:szCs w:val="24"/>
    </w:rPr>
  </w:style>
  <w:style w:type="paragraph" w:styleId="Ttulo3">
    <w:name w:val="heading 3"/>
    <w:basedOn w:val="Normal"/>
    <w:next w:val="Normal"/>
    <w:link w:val="Ttulo3Car"/>
    <w:uiPriority w:val="9"/>
    <w:semiHidden/>
    <w:unhideWhenUsed/>
    <w:qFormat/>
    <w:rsid w:val="0064055A"/>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64055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4055A"/>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64055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64055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64055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4055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A7087"/>
    <w:rPr>
      <w:rFonts w:ascii="Exo" w:hAnsi="Exo"/>
      <w:b/>
      <w:bCs/>
      <w:sz w:val="24"/>
      <w:szCs w:val="24"/>
    </w:rPr>
  </w:style>
  <w:style w:type="character" w:customStyle="1" w:styleId="Ttulo1Car">
    <w:name w:val="Título 1 Car"/>
    <w:basedOn w:val="Fuentedeprrafopredeter"/>
    <w:link w:val="Ttulo1"/>
    <w:uiPriority w:val="9"/>
    <w:rsid w:val="0064055A"/>
    <w:rPr>
      <w:rFonts w:ascii="Exo" w:hAnsi="Exo"/>
      <w:b/>
      <w:bCs/>
      <w:sz w:val="28"/>
      <w:szCs w:val="28"/>
      <w:lang w:val="es-ES"/>
    </w:rPr>
  </w:style>
  <w:style w:type="paragraph" w:styleId="Encabezado">
    <w:name w:val="header"/>
    <w:basedOn w:val="Normal"/>
    <w:link w:val="EncabezadoCar"/>
    <w:uiPriority w:val="99"/>
    <w:unhideWhenUsed/>
    <w:rsid w:val="006B3AC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6B3AC9"/>
    <w:rPr>
      <w:rFonts w:ascii="Aptos" w:hAnsi="Aptos"/>
    </w:rPr>
  </w:style>
  <w:style w:type="paragraph" w:styleId="Piedepgina">
    <w:name w:val="footer"/>
    <w:basedOn w:val="Normal"/>
    <w:link w:val="PiedepginaCar"/>
    <w:uiPriority w:val="99"/>
    <w:unhideWhenUsed/>
    <w:rsid w:val="006B3AC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6B3AC9"/>
    <w:rPr>
      <w:rFonts w:ascii="Aptos" w:hAnsi="Aptos"/>
    </w:rPr>
  </w:style>
  <w:style w:type="table" w:styleId="Tablaconcuadrcula">
    <w:name w:val="Table Grid"/>
    <w:basedOn w:val="Tablanormal"/>
    <w:uiPriority w:val="39"/>
    <w:rsid w:val="006B3AC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73C6A"/>
    <w:pPr>
      <w:ind w:left="720"/>
      <w:contextualSpacing/>
    </w:pPr>
  </w:style>
  <w:style w:type="character" w:customStyle="1" w:styleId="Ttulo3Car">
    <w:name w:val="Título 3 Car"/>
    <w:basedOn w:val="Fuentedeprrafopredeter"/>
    <w:link w:val="Ttulo3"/>
    <w:uiPriority w:val="9"/>
    <w:semiHidden/>
    <w:rsid w:val="0064055A"/>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64055A"/>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64055A"/>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64055A"/>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64055A"/>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64055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4055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2949</Words>
  <Characters>16223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Jurídica</dc:creator>
  <cp:keywords/>
  <dc:description/>
  <cp:lastModifiedBy>Jaqueline del Carmen Carrillo Llergo</cp:lastModifiedBy>
  <cp:revision>22</cp:revision>
  <dcterms:created xsi:type="dcterms:W3CDTF">2025-01-10T17:15:00Z</dcterms:created>
  <dcterms:modified xsi:type="dcterms:W3CDTF">2025-01-16T20:58:00Z</dcterms:modified>
</cp:coreProperties>
</file>