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7523D" w14:textId="71E3FFF2" w:rsidR="00DB4782" w:rsidRPr="008C103C" w:rsidRDefault="008322A8" w:rsidP="00A41A48">
      <w:pPr>
        <w:rPr>
          <w:rFonts w:ascii="Arial" w:hAnsi="Arial" w:cs="Arial"/>
          <w:b/>
          <w:bCs/>
          <w:sz w:val="24"/>
          <w:szCs w:val="24"/>
        </w:rPr>
      </w:pPr>
      <w:r w:rsidRPr="008C103C">
        <w:rPr>
          <w:rFonts w:ascii="Arial" w:hAnsi="Arial" w:cs="Arial"/>
          <w:b/>
          <w:bCs/>
          <w:sz w:val="24"/>
          <w:szCs w:val="24"/>
        </w:rPr>
        <w:t>ACUERDO QUE EMITE EL CONSEJO ESTATAL DEL INSTITUTO ELECTORAL Y DE PARTICIPACIÓN CIUDADANA DE TABASCO, MEDIANTE EL CUAL APRUEBA EL PROGRAMA ANUAL DE TRABAJO DE LA COMISIÓN PERMANENTE DE DENUNCIAS Y QUEJAS PARA EL EJERCICIO 2025 PROPUESTO POR LA PROPIA COMISIÓN</w:t>
      </w:r>
    </w:p>
    <w:p w14:paraId="2A10E056" w14:textId="7CB87D7D" w:rsidR="00A41A48" w:rsidRPr="008C103C" w:rsidRDefault="00A41A48" w:rsidP="00A41A48">
      <w:pPr>
        <w:rPr>
          <w:rFonts w:ascii="Arial" w:hAnsi="Arial" w:cs="Arial"/>
        </w:rPr>
      </w:pPr>
      <w:r w:rsidRPr="008C103C">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98277B" w:rsidRPr="008C103C" w14:paraId="2E170454" w14:textId="77777777" w:rsidTr="000502A6">
        <w:trPr>
          <w:trHeight w:val="624"/>
          <w:jc w:val="center"/>
        </w:trPr>
        <w:tc>
          <w:tcPr>
            <w:tcW w:w="2042" w:type="pct"/>
            <w:shd w:val="clear" w:color="auto" w:fill="auto"/>
            <w:vAlign w:val="center"/>
          </w:tcPr>
          <w:p w14:paraId="1EEE7C9B"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Comisión:</w:t>
            </w:r>
          </w:p>
        </w:tc>
        <w:tc>
          <w:tcPr>
            <w:tcW w:w="2958" w:type="pct"/>
            <w:shd w:val="clear" w:color="auto" w:fill="auto"/>
            <w:vAlign w:val="center"/>
          </w:tcPr>
          <w:p w14:paraId="3E2F0D1E"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Comisión Permanente de Denuncias y Quejas del Instituto Electoral y de Participación Ciudadana de Tabasco.</w:t>
            </w:r>
          </w:p>
        </w:tc>
      </w:tr>
      <w:tr w:rsidR="0098277B" w:rsidRPr="008C103C" w14:paraId="6EE727FE" w14:textId="77777777" w:rsidTr="000502A6">
        <w:trPr>
          <w:trHeight w:val="624"/>
          <w:jc w:val="center"/>
        </w:trPr>
        <w:tc>
          <w:tcPr>
            <w:tcW w:w="2042" w:type="pct"/>
            <w:shd w:val="clear" w:color="auto" w:fill="auto"/>
            <w:vAlign w:val="center"/>
          </w:tcPr>
          <w:p w14:paraId="440DC87B"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Consejo Estatal:</w:t>
            </w:r>
          </w:p>
        </w:tc>
        <w:tc>
          <w:tcPr>
            <w:tcW w:w="2958" w:type="pct"/>
            <w:shd w:val="clear" w:color="auto" w:fill="auto"/>
            <w:vAlign w:val="center"/>
          </w:tcPr>
          <w:p w14:paraId="5FD0F8D7"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Consejo Estatal del Instituto Electoral y de Participación Ciudadana de Tabasco.</w:t>
            </w:r>
          </w:p>
        </w:tc>
      </w:tr>
      <w:tr w:rsidR="0098277B" w:rsidRPr="008C103C" w14:paraId="2E2BF80E" w14:textId="77777777" w:rsidTr="000502A6">
        <w:trPr>
          <w:trHeight w:val="624"/>
          <w:jc w:val="center"/>
        </w:trPr>
        <w:tc>
          <w:tcPr>
            <w:tcW w:w="2042" w:type="pct"/>
            <w:shd w:val="clear" w:color="auto" w:fill="auto"/>
            <w:vAlign w:val="center"/>
          </w:tcPr>
          <w:p w14:paraId="34F63DF3"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Constitución Federal:</w:t>
            </w:r>
          </w:p>
        </w:tc>
        <w:tc>
          <w:tcPr>
            <w:tcW w:w="2958" w:type="pct"/>
            <w:shd w:val="clear" w:color="auto" w:fill="auto"/>
            <w:vAlign w:val="center"/>
          </w:tcPr>
          <w:p w14:paraId="65B364B9"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Constitución Política de los Estados Unidos Mexicanos.</w:t>
            </w:r>
          </w:p>
        </w:tc>
      </w:tr>
      <w:tr w:rsidR="0098277B" w:rsidRPr="008C103C" w14:paraId="75193CDC" w14:textId="77777777" w:rsidTr="000502A6">
        <w:trPr>
          <w:trHeight w:val="624"/>
          <w:jc w:val="center"/>
        </w:trPr>
        <w:tc>
          <w:tcPr>
            <w:tcW w:w="2042" w:type="pct"/>
            <w:shd w:val="clear" w:color="auto" w:fill="auto"/>
            <w:vAlign w:val="center"/>
          </w:tcPr>
          <w:p w14:paraId="67D80BAC"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Constitución Local:</w:t>
            </w:r>
          </w:p>
        </w:tc>
        <w:tc>
          <w:tcPr>
            <w:tcW w:w="2958" w:type="pct"/>
            <w:shd w:val="clear" w:color="auto" w:fill="auto"/>
            <w:vAlign w:val="center"/>
          </w:tcPr>
          <w:p w14:paraId="6644B679"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Constitución Política del Estado Libre y Soberano de Tabasco.</w:t>
            </w:r>
          </w:p>
        </w:tc>
      </w:tr>
      <w:tr w:rsidR="0098277B" w:rsidRPr="008C103C" w14:paraId="167E7B39" w14:textId="77777777" w:rsidTr="000502A6">
        <w:trPr>
          <w:trHeight w:val="624"/>
          <w:jc w:val="center"/>
        </w:trPr>
        <w:tc>
          <w:tcPr>
            <w:tcW w:w="2042" w:type="pct"/>
            <w:shd w:val="clear" w:color="auto" w:fill="auto"/>
            <w:vAlign w:val="center"/>
          </w:tcPr>
          <w:p w14:paraId="6440BC41"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Instituto:</w:t>
            </w:r>
          </w:p>
        </w:tc>
        <w:tc>
          <w:tcPr>
            <w:tcW w:w="2958" w:type="pct"/>
            <w:shd w:val="clear" w:color="auto" w:fill="auto"/>
          </w:tcPr>
          <w:p w14:paraId="2282FF07"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Instituto Electoral y de Participación Ciudadana de Tabasco.</w:t>
            </w:r>
          </w:p>
        </w:tc>
      </w:tr>
      <w:tr w:rsidR="0098277B" w:rsidRPr="008C103C" w14:paraId="06694432" w14:textId="77777777" w:rsidTr="000502A6">
        <w:trPr>
          <w:trHeight w:val="624"/>
          <w:jc w:val="center"/>
        </w:trPr>
        <w:tc>
          <w:tcPr>
            <w:tcW w:w="2042" w:type="pct"/>
            <w:shd w:val="clear" w:color="auto" w:fill="auto"/>
            <w:vAlign w:val="center"/>
          </w:tcPr>
          <w:p w14:paraId="0D49FEB8"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Ley Electoral:</w:t>
            </w:r>
          </w:p>
        </w:tc>
        <w:tc>
          <w:tcPr>
            <w:tcW w:w="2958" w:type="pct"/>
            <w:shd w:val="clear" w:color="auto" w:fill="auto"/>
            <w:vAlign w:val="center"/>
          </w:tcPr>
          <w:p w14:paraId="6ABD977B"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Ley Electoral y de Partidos Políticos del Estado de Tabasco.</w:t>
            </w:r>
          </w:p>
        </w:tc>
      </w:tr>
      <w:tr w:rsidR="0098277B" w:rsidRPr="008C103C" w14:paraId="476635A0" w14:textId="77777777" w:rsidTr="000502A6">
        <w:trPr>
          <w:trHeight w:val="624"/>
          <w:jc w:val="center"/>
        </w:trPr>
        <w:tc>
          <w:tcPr>
            <w:tcW w:w="2042" w:type="pct"/>
            <w:shd w:val="clear" w:color="auto" w:fill="auto"/>
            <w:vAlign w:val="center"/>
          </w:tcPr>
          <w:p w14:paraId="0F69E4F8"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Ley General:</w:t>
            </w:r>
          </w:p>
        </w:tc>
        <w:tc>
          <w:tcPr>
            <w:tcW w:w="2958" w:type="pct"/>
            <w:shd w:val="clear" w:color="auto" w:fill="auto"/>
            <w:vAlign w:val="center"/>
          </w:tcPr>
          <w:p w14:paraId="6C81B769"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Ley General de Instituciones y Procedimientos Electorales.</w:t>
            </w:r>
          </w:p>
        </w:tc>
      </w:tr>
      <w:tr w:rsidR="0098277B" w:rsidRPr="008C103C" w14:paraId="14E9A3AE" w14:textId="77777777" w:rsidTr="000502A6">
        <w:trPr>
          <w:trHeight w:val="624"/>
          <w:jc w:val="center"/>
        </w:trPr>
        <w:tc>
          <w:tcPr>
            <w:tcW w:w="2042" w:type="pct"/>
            <w:shd w:val="clear" w:color="auto" w:fill="auto"/>
            <w:vAlign w:val="center"/>
          </w:tcPr>
          <w:p w14:paraId="372405FB"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Organismo electoral:</w:t>
            </w:r>
          </w:p>
        </w:tc>
        <w:tc>
          <w:tcPr>
            <w:tcW w:w="2958" w:type="pct"/>
            <w:shd w:val="clear" w:color="auto" w:fill="auto"/>
            <w:vAlign w:val="center"/>
          </w:tcPr>
          <w:p w14:paraId="7C063344"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 xml:space="preserve">Organismo(s) público(s) local(es) electoral(es). </w:t>
            </w:r>
          </w:p>
        </w:tc>
      </w:tr>
      <w:tr w:rsidR="0098277B" w:rsidRPr="008C103C" w14:paraId="3E6CE647" w14:textId="77777777" w:rsidTr="000502A6">
        <w:trPr>
          <w:trHeight w:val="624"/>
          <w:jc w:val="center"/>
        </w:trPr>
        <w:tc>
          <w:tcPr>
            <w:tcW w:w="2042" w:type="pct"/>
            <w:shd w:val="clear" w:color="auto" w:fill="auto"/>
            <w:vAlign w:val="center"/>
          </w:tcPr>
          <w:p w14:paraId="6238F3F2"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Proceso Electoral Extraordinario:</w:t>
            </w:r>
          </w:p>
        </w:tc>
        <w:tc>
          <w:tcPr>
            <w:tcW w:w="2958" w:type="pct"/>
            <w:shd w:val="clear" w:color="auto" w:fill="auto"/>
            <w:vAlign w:val="center"/>
          </w:tcPr>
          <w:p w14:paraId="3DF36B6C"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Proceso Electoral Local Extraordinario 2024-2025.</w:t>
            </w:r>
          </w:p>
        </w:tc>
      </w:tr>
      <w:tr w:rsidR="0098277B" w:rsidRPr="008C103C" w14:paraId="001E172F" w14:textId="77777777" w:rsidTr="000502A6">
        <w:trPr>
          <w:trHeight w:val="624"/>
          <w:jc w:val="center"/>
        </w:trPr>
        <w:tc>
          <w:tcPr>
            <w:tcW w:w="2042" w:type="pct"/>
            <w:shd w:val="clear" w:color="auto" w:fill="auto"/>
            <w:vAlign w:val="center"/>
          </w:tcPr>
          <w:p w14:paraId="72CAF5AD"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Reglamento de Comisiones:</w:t>
            </w:r>
          </w:p>
        </w:tc>
        <w:tc>
          <w:tcPr>
            <w:tcW w:w="2958" w:type="pct"/>
            <w:shd w:val="clear" w:color="auto" w:fill="auto"/>
            <w:vAlign w:val="center"/>
          </w:tcPr>
          <w:p w14:paraId="6F3FDD6A"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Reglamento de Comisiones del Consejo Estatal del Instituto Electoral y de Participación Ciudadana de Tabasco.</w:t>
            </w:r>
          </w:p>
        </w:tc>
      </w:tr>
      <w:tr w:rsidR="0098277B" w:rsidRPr="008C103C" w14:paraId="5E84E6DF" w14:textId="77777777" w:rsidTr="000502A6">
        <w:trPr>
          <w:trHeight w:val="624"/>
          <w:jc w:val="center"/>
        </w:trPr>
        <w:tc>
          <w:tcPr>
            <w:tcW w:w="2042" w:type="pct"/>
            <w:shd w:val="clear" w:color="auto" w:fill="auto"/>
            <w:vAlign w:val="center"/>
          </w:tcPr>
          <w:p w14:paraId="1D6C1A4D" w14:textId="77777777" w:rsidR="0098277B" w:rsidRPr="008C103C" w:rsidRDefault="0098277B" w:rsidP="000502A6">
            <w:pPr>
              <w:spacing w:before="80" w:after="80"/>
              <w:jc w:val="right"/>
              <w:rPr>
                <w:rFonts w:ascii="Arial" w:hAnsi="Arial" w:cs="Arial"/>
                <w:b/>
                <w:sz w:val="20"/>
                <w:szCs w:val="20"/>
              </w:rPr>
            </w:pPr>
            <w:r w:rsidRPr="008C103C">
              <w:rPr>
                <w:rFonts w:ascii="Arial" w:hAnsi="Arial" w:cs="Arial"/>
                <w:b/>
                <w:sz w:val="20"/>
                <w:szCs w:val="20"/>
              </w:rPr>
              <w:t>Secretaría Ejecutiva:</w:t>
            </w:r>
          </w:p>
        </w:tc>
        <w:tc>
          <w:tcPr>
            <w:tcW w:w="2958" w:type="pct"/>
            <w:shd w:val="clear" w:color="auto" w:fill="auto"/>
            <w:vAlign w:val="center"/>
          </w:tcPr>
          <w:p w14:paraId="5739C69A" w14:textId="77777777" w:rsidR="0098277B" w:rsidRPr="008C103C" w:rsidRDefault="0098277B" w:rsidP="000502A6">
            <w:pPr>
              <w:spacing w:before="80" w:after="80"/>
              <w:ind w:left="113" w:right="113"/>
              <w:rPr>
                <w:rFonts w:ascii="Arial" w:hAnsi="Arial" w:cs="Arial"/>
                <w:sz w:val="20"/>
                <w:szCs w:val="20"/>
              </w:rPr>
            </w:pPr>
            <w:r w:rsidRPr="008C103C">
              <w:rPr>
                <w:rFonts w:ascii="Arial" w:hAnsi="Arial" w:cs="Arial"/>
                <w:sz w:val="20"/>
                <w:szCs w:val="20"/>
              </w:rPr>
              <w:t>Secretaría Ejecutiva del Instituto Electoral y de Participación Ciudadana de Tabasco.</w:t>
            </w:r>
          </w:p>
        </w:tc>
      </w:tr>
    </w:tbl>
    <w:p w14:paraId="02CC75C8" w14:textId="0CCA1573" w:rsidR="00A41A48" w:rsidRPr="008C103C" w:rsidRDefault="00A41A48" w:rsidP="003A5916">
      <w:pPr>
        <w:pStyle w:val="Ttulo1"/>
        <w:rPr>
          <w:rFonts w:ascii="Arial" w:hAnsi="Arial" w:cs="Arial"/>
          <w:sz w:val="24"/>
          <w:szCs w:val="24"/>
        </w:rPr>
      </w:pPr>
      <w:r w:rsidRPr="008C103C">
        <w:rPr>
          <w:rFonts w:ascii="Arial" w:hAnsi="Arial" w:cs="Arial"/>
          <w:sz w:val="24"/>
          <w:szCs w:val="24"/>
        </w:rPr>
        <w:lastRenderedPageBreak/>
        <w:t>Antecedentes</w:t>
      </w:r>
    </w:p>
    <w:p w14:paraId="78CF39B8"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t>Fines del Instituto</w:t>
      </w:r>
    </w:p>
    <w:p w14:paraId="40E62D4D" w14:textId="77777777" w:rsidR="00A41A48" w:rsidRPr="008C103C" w:rsidRDefault="00A41A48" w:rsidP="00A41A48">
      <w:pPr>
        <w:rPr>
          <w:rFonts w:ascii="Arial" w:hAnsi="Arial" w:cs="Arial"/>
        </w:rPr>
      </w:pPr>
      <w:r w:rsidRPr="008C103C">
        <w:rPr>
          <w:rFonts w:ascii="Arial" w:hAnsi="Arial" w:cs="Arial"/>
        </w:rPr>
        <w:t>De conformidad con la fracción I del Apartado C, del artículo 9, párrafo tercero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964AB47" w14:textId="77777777" w:rsidR="00A41A48" w:rsidRPr="008C103C" w:rsidRDefault="00A41A48" w:rsidP="00A41A48">
      <w:pPr>
        <w:rPr>
          <w:rFonts w:ascii="Arial" w:hAnsi="Arial" w:cs="Arial"/>
        </w:rPr>
      </w:pPr>
      <w:r w:rsidRPr="008C103C">
        <w:rPr>
          <w:rFonts w:ascii="Arial" w:hAnsi="Arial" w:cs="Arial"/>
        </w:rPr>
        <w:t xml:space="preserve">Además, es responsable de la organización de las elecciones estatal, distritales y municipales, entre ellas la relativa a las personas titulares de las magistraturas del Tribunal de Disciplina Judicial y del Tribunal Superior de Justicia, así como de las Juezas y Jueces. </w:t>
      </w:r>
    </w:p>
    <w:p w14:paraId="060BA780" w14:textId="77777777" w:rsidR="00A41A48" w:rsidRPr="008C103C" w:rsidRDefault="00A41A48" w:rsidP="00A41A48">
      <w:pPr>
        <w:rPr>
          <w:rFonts w:ascii="Arial" w:hAnsi="Arial" w:cs="Arial"/>
        </w:rPr>
      </w:pPr>
      <w:r w:rsidRPr="008C103C">
        <w:rPr>
          <w:rFonts w:ascii="Arial" w:hAnsi="Arial" w:cs="Arial"/>
        </w:rPr>
        <w:t xml:space="preserve">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w:t>
      </w:r>
      <w:bookmarkStart w:id="0" w:name="_GoBack"/>
      <w:bookmarkEnd w:id="0"/>
      <w:r w:rsidRPr="008C103C">
        <w:rPr>
          <w:rFonts w:ascii="Arial" w:hAnsi="Arial" w:cs="Arial"/>
        </w:rPr>
        <w:t>y demás formas de participación ciudadana, de conformidad con el artículo 101 de la Ley Electoral.</w:t>
      </w:r>
    </w:p>
    <w:p w14:paraId="082591C6"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t>Integración del órgano superior de dirección</w:t>
      </w:r>
    </w:p>
    <w:p w14:paraId="24561C38" w14:textId="77777777" w:rsidR="00A41A48" w:rsidRPr="008C103C" w:rsidRDefault="00A41A48" w:rsidP="00A41A48">
      <w:pPr>
        <w:rPr>
          <w:rFonts w:ascii="Arial" w:hAnsi="Arial" w:cs="Arial"/>
        </w:rPr>
      </w:pPr>
      <w:r w:rsidRPr="008C103C">
        <w:rPr>
          <w:rFonts w:ascii="Arial" w:hAnsi="Arial" w:cs="Arial"/>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685482B" w14:textId="77777777" w:rsidR="00A41A48" w:rsidRPr="008C103C" w:rsidRDefault="00A41A48" w:rsidP="00A41A48">
      <w:pPr>
        <w:rPr>
          <w:rFonts w:ascii="Arial" w:hAnsi="Arial" w:cs="Arial"/>
        </w:rPr>
      </w:pPr>
      <w:r w:rsidRPr="008C103C">
        <w:rPr>
          <w:rFonts w:ascii="Arial" w:hAnsi="Arial" w:cs="Arial"/>
        </w:rPr>
        <w:lastRenderedPageBreak/>
        <w:t>Dicho órgano, de conformidad con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72AD46B"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t>Integración de la Comisión</w:t>
      </w:r>
    </w:p>
    <w:p w14:paraId="6123CA76" w14:textId="77777777" w:rsidR="00A41A48" w:rsidRPr="008C103C" w:rsidRDefault="00A41A48" w:rsidP="00A41A48">
      <w:pPr>
        <w:rPr>
          <w:rFonts w:ascii="Arial" w:hAnsi="Arial" w:cs="Arial"/>
        </w:rPr>
      </w:pPr>
      <w:r w:rsidRPr="008C103C">
        <w:rPr>
          <w:rFonts w:ascii="Arial" w:hAnsi="Arial" w:cs="Arial"/>
        </w:rPr>
        <w:t>El 4 de octubre de 2024, mediante acuerdo CE/2024/090, el Consejo Estatal modificó la conformación de las Comisiones Permanentes, entre ellas la relativa a la de Denuncias y Quejas quedando integrada por las Consejeras Electorales Mtra. Ruth Lizette Toledo Peral y Licda. Monserrat Martínez Beaurregard, y el Consejero Electoral, Lic. Vladimir Hernández Venegas, Presidente de la Comisión.</w:t>
      </w:r>
    </w:p>
    <w:p w14:paraId="351AF68C"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t>Ratificación de las Presidencias de Comisiones</w:t>
      </w:r>
    </w:p>
    <w:p w14:paraId="66711EFE" w14:textId="77777777" w:rsidR="00A41A48" w:rsidRPr="008C103C" w:rsidRDefault="00A41A48" w:rsidP="00A41A48">
      <w:pPr>
        <w:rPr>
          <w:rFonts w:ascii="Arial" w:hAnsi="Arial" w:cs="Arial"/>
        </w:rPr>
      </w:pPr>
      <w:r w:rsidRPr="008C103C">
        <w:rPr>
          <w:rFonts w:ascii="Arial" w:hAnsi="Arial" w:cs="Arial"/>
        </w:rPr>
        <w:t>El 17 de octubre de 2024, el Consejo Estatal, mediante acuerdo CE/2024/092, ratificó a las Consejeras y Consejeros Electorales que asumieron las Presidencias de las Comisiones Permanentes de Organización Electoral y Educación Cívica, de Denuncias y Quejas, de Seguimiento al Servicio Profesional Electoral Nacional y de Igualdad de Género y no Discriminación.</w:t>
      </w:r>
    </w:p>
    <w:p w14:paraId="1CBED0B7"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t xml:space="preserve">Reforma Constitucional </w:t>
      </w:r>
    </w:p>
    <w:p w14:paraId="5F59B92C" w14:textId="77777777" w:rsidR="00A41A48" w:rsidRPr="008C103C" w:rsidRDefault="00A41A48" w:rsidP="00A41A48">
      <w:pPr>
        <w:rPr>
          <w:rFonts w:ascii="Arial" w:hAnsi="Arial" w:cs="Arial"/>
        </w:rPr>
      </w:pPr>
      <w:r w:rsidRPr="008C103C">
        <w:rPr>
          <w:rFonts w:ascii="Arial" w:hAnsi="Arial" w:cs="Arial"/>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1021ABC6" w14:textId="77777777" w:rsidR="00A41A48" w:rsidRPr="008C103C" w:rsidRDefault="00A41A48" w:rsidP="00A41A48">
      <w:pPr>
        <w:rPr>
          <w:rFonts w:ascii="Arial" w:hAnsi="Arial" w:cs="Arial"/>
        </w:rPr>
      </w:pPr>
      <w:r w:rsidRPr="008C103C">
        <w:rPr>
          <w:rFonts w:ascii="Arial" w:hAnsi="Arial" w:cs="Arial"/>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6C775C9"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lastRenderedPageBreak/>
        <w:t>Inicio del Proceso Electoral Extraordinario</w:t>
      </w:r>
    </w:p>
    <w:p w14:paraId="5CFE9C53" w14:textId="77777777" w:rsidR="00A41A48" w:rsidRPr="008C103C" w:rsidRDefault="00A41A48" w:rsidP="00A41A48">
      <w:pPr>
        <w:rPr>
          <w:rFonts w:ascii="Arial" w:hAnsi="Arial" w:cs="Arial"/>
        </w:rPr>
      </w:pPr>
      <w:r w:rsidRPr="008C103C">
        <w:rPr>
          <w:rFonts w:ascii="Arial" w:hAnsi="Arial" w:cs="Arial"/>
        </w:rPr>
        <w:t>El 20 de diciembre de 2024, en cumplimiento al artículo segundo transitorio del decreto 080, el Consejo Estatal declaró el inicio del Proceso Electoral Extraordinario 2024 – 2025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2EC0032E"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t>Jornada electoral</w:t>
      </w:r>
    </w:p>
    <w:p w14:paraId="1746CC30" w14:textId="77777777" w:rsidR="00A41A48" w:rsidRPr="008C103C" w:rsidRDefault="00A41A48" w:rsidP="00A41A48">
      <w:pPr>
        <w:rPr>
          <w:rFonts w:ascii="Arial" w:hAnsi="Arial" w:cs="Arial"/>
        </w:rPr>
      </w:pPr>
      <w:r w:rsidRPr="008C103C">
        <w:rPr>
          <w:rFonts w:ascii="Arial" w:hAnsi="Arial" w:cs="Arial"/>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12140410" w14:textId="4BAE73E6" w:rsidR="00A41A48" w:rsidRPr="008C103C" w:rsidRDefault="00A41A48" w:rsidP="00A41A48">
      <w:pPr>
        <w:pStyle w:val="Ttulo2"/>
        <w:rPr>
          <w:rFonts w:ascii="Arial" w:hAnsi="Arial" w:cs="Arial"/>
          <w:sz w:val="22"/>
          <w:szCs w:val="22"/>
        </w:rPr>
      </w:pPr>
      <w:r w:rsidRPr="008C103C">
        <w:rPr>
          <w:rFonts w:ascii="Arial" w:hAnsi="Arial" w:cs="Arial"/>
          <w:sz w:val="22"/>
          <w:szCs w:val="22"/>
        </w:rPr>
        <w:t>Presentación de la propuesta de Programa Anual de Trabajo</w:t>
      </w:r>
    </w:p>
    <w:p w14:paraId="24EC9D40" w14:textId="77777777" w:rsidR="00A41A48" w:rsidRPr="008C103C" w:rsidRDefault="00A41A48" w:rsidP="00A41A48">
      <w:pPr>
        <w:rPr>
          <w:rFonts w:ascii="Arial" w:hAnsi="Arial" w:cs="Arial"/>
        </w:rPr>
      </w:pPr>
      <w:r w:rsidRPr="008C103C">
        <w:rPr>
          <w:rFonts w:ascii="Arial" w:hAnsi="Arial" w:cs="Arial"/>
        </w:rPr>
        <w:t xml:space="preserve">El 9 de enero de 2024, la secretaria técnica de la Comisión, mediante oficio </w:t>
      </w:r>
      <w:proofErr w:type="spellStart"/>
      <w:r w:rsidRPr="008C103C">
        <w:rPr>
          <w:rFonts w:ascii="Arial" w:hAnsi="Arial" w:cs="Arial"/>
        </w:rPr>
        <w:t>CPDyQ</w:t>
      </w:r>
      <w:proofErr w:type="spellEnd"/>
      <w:r w:rsidRPr="008C103C">
        <w:rPr>
          <w:rFonts w:ascii="Arial" w:hAnsi="Arial" w:cs="Arial"/>
        </w:rPr>
        <w:t>/ST/016/2025, remitió a la Presidencia del Consejo, el Programa Anual de Trabajo propuesto por dicha Comisión; lo anterior, para efectos de someterlo a la deliberación por parte de este Consejo Estatal.</w:t>
      </w:r>
    </w:p>
    <w:p w14:paraId="24596603" w14:textId="77777777" w:rsidR="00A41A48" w:rsidRPr="008C103C" w:rsidRDefault="00A41A48" w:rsidP="00A41A48">
      <w:pPr>
        <w:pStyle w:val="Ttulo1"/>
        <w:rPr>
          <w:rFonts w:ascii="Arial" w:hAnsi="Arial" w:cs="Arial"/>
          <w:sz w:val="24"/>
          <w:szCs w:val="24"/>
        </w:rPr>
      </w:pPr>
      <w:r w:rsidRPr="008C103C">
        <w:rPr>
          <w:rFonts w:ascii="Arial" w:hAnsi="Arial" w:cs="Arial"/>
          <w:sz w:val="24"/>
          <w:szCs w:val="24"/>
        </w:rPr>
        <w:t>Considerando</w:t>
      </w:r>
    </w:p>
    <w:p w14:paraId="14AB38B1"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t>Competencia del Consejo Estatal</w:t>
      </w:r>
    </w:p>
    <w:p w14:paraId="07AA893D" w14:textId="77777777" w:rsidR="00A41A48" w:rsidRPr="008C103C" w:rsidRDefault="00A41A48" w:rsidP="00A41A48">
      <w:pPr>
        <w:rPr>
          <w:rFonts w:ascii="Arial" w:hAnsi="Arial" w:cs="Arial"/>
        </w:rPr>
      </w:pPr>
      <w:r w:rsidRPr="008C103C">
        <w:rPr>
          <w:rFonts w:ascii="Arial" w:hAnsi="Arial" w:cs="Arial"/>
        </w:rPr>
        <w:t>Que, de conformidad con el artículo 115 numeral 1 fracciones XI y XII de la Ley Electoral, el Consejo Estatal es competente para desarrollar y ejecutar los programas en la entidad, de educación cívica, paridad de género y respeto de los derechos humanos de las mujeres en el ámbito político electoral; y, orientar a las ciudadanas y ciudadanos para el ejercicio de sus derechos y cumplimiento de sus obligaciones político-electorales.</w:t>
      </w:r>
    </w:p>
    <w:p w14:paraId="345F9FB6" w14:textId="77777777" w:rsidR="00A41A48" w:rsidRPr="008C103C" w:rsidRDefault="00A41A48" w:rsidP="00A41A48">
      <w:pPr>
        <w:rPr>
          <w:rFonts w:ascii="Arial" w:hAnsi="Arial" w:cs="Arial"/>
        </w:rPr>
      </w:pPr>
      <w:r w:rsidRPr="008C103C">
        <w:rPr>
          <w:rFonts w:ascii="Arial" w:hAnsi="Arial" w:cs="Arial"/>
        </w:rPr>
        <w:t xml:space="preserve">Acorde a lo anterior, el numeral 2 del artículo mencionado, señala que, para el debido ejercicio de las facultades y atribuciones del Instituto, derivados de caso fortuito o causa de fuerza mayor; o en situaciones de falta o insuficiencia de previsión normativa o </w:t>
      </w:r>
      <w:r w:rsidRPr="008C103C">
        <w:rPr>
          <w:rFonts w:ascii="Arial" w:hAnsi="Arial" w:cs="Arial"/>
        </w:rPr>
        <w:lastRenderedPageBreak/>
        <w:t>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37EC595"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t>Órganos auxiliares del Consejo Estatal</w:t>
      </w:r>
    </w:p>
    <w:p w14:paraId="416ED55F" w14:textId="77777777" w:rsidR="00A41A48" w:rsidRPr="008C103C" w:rsidRDefault="00A41A48" w:rsidP="00A41A48">
      <w:pPr>
        <w:rPr>
          <w:rFonts w:ascii="Arial" w:hAnsi="Arial" w:cs="Arial"/>
        </w:rPr>
      </w:pPr>
      <w:r w:rsidRPr="008C103C">
        <w:rPr>
          <w:rFonts w:ascii="Arial" w:hAnsi="Arial" w:cs="Arial"/>
        </w:rPr>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14:paraId="53FC7B19" w14:textId="77777777" w:rsidR="00A41A48" w:rsidRPr="008C103C" w:rsidRDefault="00A41A48" w:rsidP="00A41A48">
      <w:pPr>
        <w:rPr>
          <w:rFonts w:ascii="Arial" w:hAnsi="Arial" w:cs="Arial"/>
        </w:rPr>
      </w:pPr>
      <w:r w:rsidRPr="008C103C">
        <w:rPr>
          <w:rFonts w:ascii="Arial" w:hAnsi="Arial" w:cs="Arial"/>
        </w:rPr>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14:paraId="180B42E7"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t>Obligación de presentar el Plan Anual de Trabajo</w:t>
      </w:r>
    </w:p>
    <w:p w14:paraId="03126313" w14:textId="77777777" w:rsidR="00A41A48" w:rsidRPr="008C103C" w:rsidRDefault="00A41A48" w:rsidP="00A41A48">
      <w:pPr>
        <w:rPr>
          <w:rFonts w:ascii="Arial" w:hAnsi="Arial" w:cs="Arial"/>
        </w:rPr>
      </w:pPr>
      <w:r w:rsidRPr="008C103C">
        <w:rPr>
          <w:rFonts w:ascii="Arial" w:hAnsi="Arial" w:cs="Arial"/>
        </w:rPr>
        <w:t>Que, el artículo 12 numeral 1, fracción I del Reglamento de Comisiones establece que, durante el mes de enero del año correspondiente, las Comisiones Permanentes deberán presentar al Consejo Estatal para su aprobación, un Programa Anual de Trabajo acorde a los programas y políticas previamente establecidos.</w:t>
      </w:r>
    </w:p>
    <w:p w14:paraId="736F8A7E"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t xml:space="preserve">Atribuciones de la Comisión </w:t>
      </w:r>
    </w:p>
    <w:p w14:paraId="192105A1" w14:textId="3C64D54A" w:rsidR="00A41A48" w:rsidRPr="008C103C" w:rsidRDefault="00A41A48" w:rsidP="00A41A48">
      <w:pPr>
        <w:rPr>
          <w:rFonts w:ascii="Arial" w:hAnsi="Arial" w:cs="Arial"/>
        </w:rPr>
      </w:pPr>
      <w:r w:rsidRPr="008C103C">
        <w:rPr>
          <w:rFonts w:ascii="Arial" w:hAnsi="Arial" w:cs="Arial"/>
        </w:rPr>
        <w:t>Que, de la interpretación sistemática y funcional de los artículos 38, 113 numerales 1 y 3, 350 numeral 1 fracción II y numeral 3, 359 numeral 4, 360 numerales 3 y 4, 362 numeral 7 de la Ley Electoral, 6 del Reglamento de Denuncias y Quejas; y, 15 del Reglamento de Comisiones, se concluye que la Comisión es el órgano especializado del Consejo Estatal encargado, entre otras funciones, de resolver respecto a las solicitudes de medidas cautelares, de aprobar los proyectos de resolución presentados por la Secretaría Ejecutiva en los procedimientos sancionadores ordinarios, para turnarlos, en caso de ser aprobados, al Consejo Estatal, para su estudio y resolución.</w:t>
      </w:r>
    </w:p>
    <w:p w14:paraId="22E1B3A7" w14:textId="77777777" w:rsidR="00A41A48" w:rsidRPr="008C103C" w:rsidRDefault="00A41A48" w:rsidP="00A41A48">
      <w:pPr>
        <w:pStyle w:val="Ttulo2"/>
        <w:rPr>
          <w:rFonts w:ascii="Arial" w:hAnsi="Arial" w:cs="Arial"/>
          <w:sz w:val="22"/>
          <w:szCs w:val="22"/>
        </w:rPr>
      </w:pPr>
      <w:r w:rsidRPr="008C103C">
        <w:rPr>
          <w:rFonts w:ascii="Arial" w:hAnsi="Arial" w:cs="Arial"/>
          <w:sz w:val="22"/>
          <w:szCs w:val="22"/>
        </w:rPr>
        <w:lastRenderedPageBreak/>
        <w:t>Programa Anual de Trabajo</w:t>
      </w:r>
    </w:p>
    <w:p w14:paraId="47B5D00E" w14:textId="77777777" w:rsidR="00A41A48" w:rsidRPr="008C103C" w:rsidRDefault="00A41A48" w:rsidP="00A41A48">
      <w:pPr>
        <w:rPr>
          <w:rFonts w:ascii="Arial" w:hAnsi="Arial" w:cs="Arial"/>
        </w:rPr>
      </w:pPr>
      <w:r w:rsidRPr="008C103C">
        <w:rPr>
          <w:rFonts w:ascii="Arial" w:hAnsi="Arial" w:cs="Arial"/>
        </w:rPr>
        <w:t>Que, conforme a las consideraciones mencionadas, la Comisión presentó su Programa Anual de Trabajo para el período 2025, el cual delimita el objetivo general, los objetivos específicos, las estrategias y el cronograma de actividades al cual se sujetarán las áreas que intervienen en la sustanciación y resolución de los procedimientos sancionadores y las medidas cautelares que se tramiten ante la propia Comisión.</w:t>
      </w:r>
    </w:p>
    <w:p w14:paraId="24FB8061" w14:textId="77777777" w:rsidR="00A41A48" w:rsidRPr="008C103C" w:rsidRDefault="00A41A48" w:rsidP="00A41A48">
      <w:pPr>
        <w:rPr>
          <w:rFonts w:ascii="Arial" w:hAnsi="Arial" w:cs="Arial"/>
        </w:rPr>
      </w:pPr>
      <w:r w:rsidRPr="008C103C">
        <w:rPr>
          <w:rFonts w:ascii="Arial" w:hAnsi="Arial" w:cs="Arial"/>
        </w:rPr>
        <w:t xml:space="preserve">De acuerdo con la Comisión, el documento se elaboró a partir de las funciones propias de la Secretaría Ejecutiva y la Coordinación de lo Contencioso Electoral, particularmente aquellas relacionadas con los procedimientos sancionadores, considerando, además, aquellas actividades relacionadas con el Proceso Electoral Extraordinario. </w:t>
      </w:r>
    </w:p>
    <w:p w14:paraId="5F78D42A" w14:textId="77777777" w:rsidR="00A41A48" w:rsidRPr="008C103C" w:rsidRDefault="00A41A48" w:rsidP="00A41A48">
      <w:pPr>
        <w:rPr>
          <w:rFonts w:ascii="Arial" w:hAnsi="Arial" w:cs="Arial"/>
        </w:rPr>
      </w:pPr>
      <w:r w:rsidRPr="008C103C">
        <w:rPr>
          <w:rFonts w:ascii="Arial" w:hAnsi="Arial" w:cs="Arial"/>
        </w:rPr>
        <w:t>El programa establece las metas y actividades específicas que permitirán alcanzar los fines de la Comisión, determinando la implementación de mecanismos para agilizar la tramitación de los procedimientos sancionadores, la emisión de las medidas cautelares y la formulación de las resoluciones correspondientes.</w:t>
      </w:r>
    </w:p>
    <w:p w14:paraId="397041AD" w14:textId="77777777" w:rsidR="00A41A48" w:rsidRPr="008C103C" w:rsidRDefault="00A41A48" w:rsidP="00A41A48">
      <w:pPr>
        <w:rPr>
          <w:rFonts w:ascii="Arial" w:hAnsi="Arial" w:cs="Arial"/>
        </w:rPr>
      </w:pPr>
      <w:r w:rsidRPr="008C103C">
        <w:rPr>
          <w:rFonts w:ascii="Arial" w:hAnsi="Arial" w:cs="Arial"/>
        </w:rPr>
        <w:t xml:space="preserve">Además, se prevé el fortalecimiento de las áreas involucradas en los procedimientos sancionadores a través de la capacitación del personal con temas inherentes a la materia electoral, fomentando con ello, la cultura de la legalidad y garantizando la protección de los derechos humanos, particularmente de aquellos grupos en situación de vulnerabilidad. </w:t>
      </w:r>
    </w:p>
    <w:p w14:paraId="22944B56" w14:textId="17CA1898" w:rsidR="00A41A48" w:rsidRPr="008C103C" w:rsidRDefault="00A41A48" w:rsidP="00A41A48">
      <w:pPr>
        <w:rPr>
          <w:rFonts w:ascii="Arial" w:hAnsi="Arial" w:cs="Arial"/>
        </w:rPr>
      </w:pPr>
      <w:r w:rsidRPr="008C103C">
        <w:rPr>
          <w:rFonts w:ascii="Arial" w:hAnsi="Arial" w:cs="Arial"/>
        </w:rPr>
        <w:t>Finalmente, como estrategia, se pretende la interacción con instituciones y ciudadanía en general en la entidad, para que, a través de un diálogo circular —eventos académicos, cursos presenciales y en línea, pláticas, conferencias, mesas de análisis, s</w:t>
      </w:r>
      <w:r w:rsidR="008322A8">
        <w:rPr>
          <w:rFonts w:ascii="Arial" w:hAnsi="Arial" w:cs="Arial"/>
        </w:rPr>
        <w:t>imposios, talleres, entre otros</w:t>
      </w:r>
      <w:r w:rsidRPr="008C103C">
        <w:rPr>
          <w:rFonts w:ascii="Arial" w:hAnsi="Arial" w:cs="Arial"/>
        </w:rPr>
        <w:t>, se aborden los alcances del derecho administrativo sancionador en materia electoral.</w:t>
      </w:r>
    </w:p>
    <w:p w14:paraId="2E1AF2A4" w14:textId="77777777" w:rsidR="00A41A48" w:rsidRPr="008C103C" w:rsidRDefault="00A41A48" w:rsidP="00A41A48">
      <w:pPr>
        <w:rPr>
          <w:rFonts w:ascii="Arial" w:hAnsi="Arial" w:cs="Arial"/>
        </w:rPr>
      </w:pPr>
      <w:r w:rsidRPr="008C103C">
        <w:rPr>
          <w:rFonts w:ascii="Arial" w:hAnsi="Arial" w:cs="Arial"/>
        </w:rPr>
        <w:t>Es importante señalar que, las actividades que conforman el Programa de Trabajo de la Comisión para el año 2025 se encuentran establecidas de forma enunciativa, más no limitativa, por lo que, podrá realizar e implementar actividades adicionales no previstas, conforme a sus metas, objetivos y disponibilidad presupuestal.</w:t>
      </w:r>
    </w:p>
    <w:p w14:paraId="5ADB5398" w14:textId="05857A0D" w:rsidR="00A41A48" w:rsidRDefault="00A41A48" w:rsidP="00A41A48">
      <w:pPr>
        <w:rPr>
          <w:rFonts w:ascii="Arial" w:hAnsi="Arial" w:cs="Arial"/>
        </w:rPr>
      </w:pPr>
      <w:r w:rsidRPr="008C103C">
        <w:rPr>
          <w:rFonts w:ascii="Arial" w:hAnsi="Arial" w:cs="Arial"/>
        </w:rPr>
        <w:t>Sobre la base de las consideraciones señaladas, este Consejo Estatal emite el siguiente:</w:t>
      </w:r>
    </w:p>
    <w:p w14:paraId="6CA7ED7B" w14:textId="6F7EEC89" w:rsidR="008C103C" w:rsidRDefault="008C103C" w:rsidP="00A41A48">
      <w:pPr>
        <w:rPr>
          <w:rFonts w:ascii="Arial" w:hAnsi="Arial" w:cs="Arial"/>
        </w:rPr>
      </w:pPr>
    </w:p>
    <w:p w14:paraId="734525D9" w14:textId="77777777" w:rsidR="008C103C" w:rsidRPr="008C103C" w:rsidRDefault="008C103C" w:rsidP="00A41A48">
      <w:pPr>
        <w:rPr>
          <w:rFonts w:ascii="Arial" w:hAnsi="Arial" w:cs="Arial"/>
        </w:rPr>
      </w:pPr>
    </w:p>
    <w:p w14:paraId="2B22DC24" w14:textId="0FB2E9BA" w:rsidR="00A41A48" w:rsidRDefault="00A41A48" w:rsidP="00A41A48">
      <w:pPr>
        <w:pStyle w:val="Ttulo1"/>
        <w:rPr>
          <w:rFonts w:ascii="Arial" w:hAnsi="Arial" w:cs="Arial"/>
          <w:sz w:val="24"/>
          <w:szCs w:val="24"/>
        </w:rPr>
      </w:pPr>
      <w:r w:rsidRPr="008C103C">
        <w:rPr>
          <w:rFonts w:ascii="Arial" w:hAnsi="Arial" w:cs="Arial"/>
          <w:sz w:val="24"/>
          <w:szCs w:val="24"/>
        </w:rPr>
        <w:lastRenderedPageBreak/>
        <w:t>Acuerdo</w:t>
      </w:r>
    </w:p>
    <w:p w14:paraId="5DBD3ECA" w14:textId="77777777" w:rsidR="003F6FAB" w:rsidRPr="003F6FAB" w:rsidRDefault="003F6FAB" w:rsidP="003F6FAB"/>
    <w:p w14:paraId="73641675" w14:textId="77777777" w:rsidR="00A41A48" w:rsidRPr="008C103C" w:rsidRDefault="00A41A48" w:rsidP="00A41A48">
      <w:pPr>
        <w:rPr>
          <w:rFonts w:ascii="Arial" w:hAnsi="Arial" w:cs="Arial"/>
        </w:rPr>
      </w:pPr>
      <w:r w:rsidRPr="008C103C">
        <w:rPr>
          <w:rFonts w:ascii="Arial" w:hAnsi="Arial" w:cs="Arial"/>
          <w:b/>
          <w:bCs/>
        </w:rPr>
        <w:t>Primero.</w:t>
      </w:r>
      <w:r w:rsidRPr="008C103C">
        <w:rPr>
          <w:rFonts w:ascii="Arial" w:hAnsi="Arial" w:cs="Arial"/>
        </w:rPr>
        <w:t xml:space="preserve"> Se aprueba el Programa Anual de Trabajo de la Comisión Permanente de Denuncias y Quejas del Instituto Electoral y de Participación Ciudadana de Tabasco para el ejercicio 2025 propuesto por la propia Comisión, anexo al presente acuerdo.</w:t>
      </w:r>
    </w:p>
    <w:p w14:paraId="61BE8E59" w14:textId="77777777" w:rsidR="00A41A48" w:rsidRPr="008C103C" w:rsidRDefault="00A41A48" w:rsidP="00A41A48">
      <w:pPr>
        <w:rPr>
          <w:rFonts w:ascii="Arial" w:hAnsi="Arial" w:cs="Arial"/>
        </w:rPr>
      </w:pPr>
      <w:r w:rsidRPr="008C103C">
        <w:rPr>
          <w:rFonts w:ascii="Arial" w:hAnsi="Arial" w:cs="Arial"/>
          <w:b/>
          <w:bCs/>
        </w:rPr>
        <w:t>Segundo.</w:t>
      </w:r>
      <w:r w:rsidRPr="008C103C">
        <w:rPr>
          <w:rFonts w:ascii="Arial" w:hAnsi="Arial" w:cs="Arial"/>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667D24F" w14:textId="77777777" w:rsidR="00A41A48" w:rsidRPr="008C103C" w:rsidRDefault="00A41A48" w:rsidP="00A41A48">
      <w:pPr>
        <w:rPr>
          <w:rFonts w:ascii="Arial" w:hAnsi="Arial" w:cs="Arial"/>
        </w:rPr>
      </w:pPr>
      <w:r w:rsidRPr="008C103C">
        <w:rPr>
          <w:rFonts w:ascii="Arial" w:hAnsi="Arial" w:cs="Arial"/>
          <w:b/>
          <w:bCs/>
        </w:rPr>
        <w:t>Tercero.</w:t>
      </w:r>
      <w:r w:rsidRPr="008C103C">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81F8217" w14:textId="55E4DE0B" w:rsidR="00D0448D" w:rsidRPr="008C103C" w:rsidRDefault="00D0448D" w:rsidP="00D0448D">
      <w:pPr>
        <w:rPr>
          <w:rFonts w:ascii="Arial" w:hAnsi="Arial" w:cs="Arial"/>
        </w:rPr>
      </w:pPr>
      <w:r w:rsidRPr="008C103C">
        <w:rPr>
          <w:rFonts w:ascii="Arial" w:hAnsi="Arial" w:cs="Arial"/>
        </w:rPr>
        <w:t xml:space="preserve">El presente acuerdo </w:t>
      </w:r>
      <w:r w:rsidR="00410ABE">
        <w:rPr>
          <w:rFonts w:ascii="Arial" w:hAnsi="Arial" w:cs="Arial"/>
        </w:rPr>
        <w:t xml:space="preserve">fue aprobado </w:t>
      </w:r>
      <w:r w:rsidRPr="008C103C">
        <w:rPr>
          <w:rFonts w:ascii="Arial" w:hAnsi="Arial" w:cs="Arial"/>
        </w:rPr>
        <w:t>en sesión</w:t>
      </w:r>
      <w:r w:rsidR="003F6FAB">
        <w:rPr>
          <w:rFonts w:ascii="Arial" w:hAnsi="Arial" w:cs="Arial"/>
        </w:rPr>
        <w:t xml:space="preserve"> extraordinaria</w:t>
      </w:r>
      <w:r w:rsidRPr="008C103C">
        <w:rPr>
          <w:rFonts w:ascii="Arial" w:hAnsi="Arial" w:cs="Arial"/>
        </w:rPr>
        <w:t xml:space="preserve"> efectuada el</w:t>
      </w:r>
      <w:r w:rsidR="003F6FAB">
        <w:rPr>
          <w:rFonts w:ascii="Arial" w:hAnsi="Arial" w:cs="Arial"/>
        </w:rPr>
        <w:t xml:space="preserve"> diecisiete</w:t>
      </w:r>
      <w:r w:rsidRPr="008C103C">
        <w:rPr>
          <w:rFonts w:ascii="Arial" w:hAnsi="Arial" w:cs="Arial"/>
        </w:rPr>
        <w:t xml:space="preserve"> de </w:t>
      </w:r>
      <w:r w:rsidR="003F6FAB">
        <w:rPr>
          <w:rFonts w:ascii="Arial" w:hAnsi="Arial" w:cs="Arial"/>
        </w:rPr>
        <w:t>enero</w:t>
      </w:r>
      <w:r w:rsidRPr="008C103C">
        <w:rPr>
          <w:rFonts w:ascii="Arial" w:hAnsi="Arial" w:cs="Arial"/>
        </w:rPr>
        <w:t xml:space="preserve"> del año dos mil veinticinco, por votación </w:t>
      </w:r>
      <w:r w:rsidR="003F6FAB">
        <w:rPr>
          <w:rFonts w:ascii="Arial" w:hAnsi="Arial" w:cs="Arial"/>
        </w:rPr>
        <w:t>unánime</w:t>
      </w:r>
      <w:r w:rsidRPr="008C103C">
        <w:rPr>
          <w:rFonts w:ascii="Arial" w:hAnsi="Arial" w:cs="Arial"/>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Beaurregard, Mtra. Ruth Lizette Toledo Peral y la Consejera Presidenta, Mtra. Elizabeth Nava Gutiérrez.</w:t>
      </w:r>
    </w:p>
    <w:p w14:paraId="55C5CB9D" w14:textId="4F660C2B" w:rsidR="00A41A48" w:rsidRDefault="00A41A48" w:rsidP="00A41A48">
      <w:pPr>
        <w:rPr>
          <w:rFonts w:ascii="Arial" w:hAnsi="Arial" w:cs="Arial"/>
        </w:rPr>
      </w:pPr>
    </w:p>
    <w:p w14:paraId="18ED9E3F" w14:textId="77777777" w:rsidR="003F6FAB" w:rsidRPr="008C103C" w:rsidRDefault="003F6FAB" w:rsidP="00A41A48">
      <w:pPr>
        <w:rPr>
          <w:rFonts w:ascii="Arial" w:hAnsi="Arial" w:cs="Arial"/>
        </w:rPr>
      </w:pPr>
    </w:p>
    <w:p w14:paraId="57F5BCB5" w14:textId="77777777" w:rsidR="00A41A48" w:rsidRPr="008C103C" w:rsidRDefault="00A41A48" w:rsidP="00A41A48">
      <w:pPr>
        <w:rPr>
          <w:rFonts w:ascii="Arial" w:hAnsi="Arial" w:cs="Arial"/>
        </w:rPr>
      </w:pPr>
    </w:p>
    <w:tbl>
      <w:tblPr>
        <w:tblStyle w:val="Tablaconcuadrcula"/>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4"/>
        <w:gridCol w:w="244"/>
        <w:gridCol w:w="4359"/>
      </w:tblGrid>
      <w:tr w:rsidR="00A41A48" w:rsidRPr="008C103C" w14:paraId="6EF9194E" w14:textId="77777777" w:rsidTr="008C103C">
        <w:trPr>
          <w:trHeight w:val="854"/>
        </w:trPr>
        <w:tc>
          <w:tcPr>
            <w:tcW w:w="4554" w:type="dxa"/>
          </w:tcPr>
          <w:p w14:paraId="72BEB72B" w14:textId="77777777" w:rsidR="00A41A48" w:rsidRPr="008C103C" w:rsidRDefault="00A41A48" w:rsidP="000502A6">
            <w:pPr>
              <w:spacing w:before="0" w:after="0" w:line="288" w:lineRule="auto"/>
              <w:jc w:val="center"/>
              <w:rPr>
                <w:rFonts w:ascii="Arial" w:hAnsi="Arial" w:cs="Arial"/>
                <w:b/>
                <w:bCs/>
              </w:rPr>
            </w:pPr>
            <w:r w:rsidRPr="008C103C">
              <w:rPr>
                <w:rFonts w:ascii="Arial" w:hAnsi="Arial" w:cs="Arial"/>
                <w:b/>
                <w:bCs/>
              </w:rPr>
              <w:t>MTRA. ELIZABETH NAVA GUTIÉRREZ</w:t>
            </w:r>
          </w:p>
          <w:p w14:paraId="1985EF13" w14:textId="77777777" w:rsidR="00A41A48" w:rsidRPr="008C103C" w:rsidRDefault="00A41A48" w:rsidP="000502A6">
            <w:pPr>
              <w:spacing w:before="0" w:after="0" w:line="288" w:lineRule="auto"/>
              <w:jc w:val="center"/>
              <w:rPr>
                <w:rFonts w:ascii="Arial" w:hAnsi="Arial" w:cs="Arial"/>
                <w:b/>
                <w:bCs/>
              </w:rPr>
            </w:pPr>
            <w:r w:rsidRPr="008C103C">
              <w:rPr>
                <w:rFonts w:ascii="Arial" w:hAnsi="Arial" w:cs="Arial"/>
                <w:b/>
                <w:bCs/>
              </w:rPr>
              <w:t>CONSEJERA PRESIDENTA</w:t>
            </w:r>
          </w:p>
        </w:tc>
        <w:tc>
          <w:tcPr>
            <w:tcW w:w="244" w:type="dxa"/>
          </w:tcPr>
          <w:p w14:paraId="42316885" w14:textId="77777777" w:rsidR="00A41A48" w:rsidRPr="008C103C" w:rsidRDefault="00A41A48" w:rsidP="000502A6">
            <w:pPr>
              <w:spacing w:before="0" w:after="0" w:line="288" w:lineRule="auto"/>
              <w:rPr>
                <w:rFonts w:ascii="Arial" w:hAnsi="Arial" w:cs="Arial"/>
                <w:b/>
                <w:bCs/>
              </w:rPr>
            </w:pPr>
          </w:p>
        </w:tc>
        <w:tc>
          <w:tcPr>
            <w:tcW w:w="4359" w:type="dxa"/>
          </w:tcPr>
          <w:p w14:paraId="7C838E21" w14:textId="77777777" w:rsidR="00A41A48" w:rsidRPr="008C103C" w:rsidRDefault="00A41A48" w:rsidP="000502A6">
            <w:pPr>
              <w:spacing w:before="0" w:after="0" w:line="288" w:lineRule="auto"/>
              <w:jc w:val="center"/>
              <w:rPr>
                <w:rFonts w:ascii="Arial" w:hAnsi="Arial" w:cs="Arial"/>
                <w:b/>
                <w:bCs/>
              </w:rPr>
            </w:pPr>
            <w:r w:rsidRPr="008C103C">
              <w:rPr>
                <w:rFonts w:ascii="Arial" w:hAnsi="Arial" w:cs="Arial"/>
                <w:b/>
                <w:bCs/>
              </w:rPr>
              <w:t>LIC. JORGE ALBERTO ZAVALA FRÍAS</w:t>
            </w:r>
          </w:p>
          <w:p w14:paraId="5DF083B2" w14:textId="77777777" w:rsidR="00A41A48" w:rsidRPr="008C103C" w:rsidRDefault="00A41A48" w:rsidP="000502A6">
            <w:pPr>
              <w:spacing w:before="0" w:after="0" w:line="288" w:lineRule="auto"/>
              <w:jc w:val="center"/>
              <w:rPr>
                <w:rFonts w:ascii="Arial" w:hAnsi="Arial" w:cs="Arial"/>
                <w:b/>
                <w:bCs/>
              </w:rPr>
            </w:pPr>
            <w:r w:rsidRPr="008C103C">
              <w:rPr>
                <w:rFonts w:ascii="Arial" w:hAnsi="Arial" w:cs="Arial"/>
                <w:b/>
                <w:bCs/>
              </w:rPr>
              <w:t>SECRETARIO DEL CONSEJO</w:t>
            </w:r>
          </w:p>
        </w:tc>
      </w:tr>
    </w:tbl>
    <w:p w14:paraId="27C6051B" w14:textId="77777777" w:rsidR="00A41A48" w:rsidRPr="008C103C" w:rsidRDefault="00A41A48" w:rsidP="003F6FAB">
      <w:pPr>
        <w:rPr>
          <w:rFonts w:ascii="Arial" w:hAnsi="Arial" w:cs="Arial"/>
        </w:rPr>
      </w:pPr>
    </w:p>
    <w:sectPr w:rsidR="00A41A48" w:rsidRPr="008C103C" w:rsidSect="00A41A48">
      <w:headerReference w:type="default" r:id="rId7"/>
      <w:footerReference w:type="default" r:id="rId8"/>
      <w:pgSz w:w="12240" w:h="15840" w:code="1"/>
      <w:pgMar w:top="3119"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8986E" w14:textId="77777777" w:rsidR="00B8543E" w:rsidRDefault="00B8543E" w:rsidP="00A41A48">
      <w:pPr>
        <w:spacing w:before="0" w:after="0" w:line="240" w:lineRule="auto"/>
      </w:pPr>
      <w:r>
        <w:separator/>
      </w:r>
    </w:p>
  </w:endnote>
  <w:endnote w:type="continuationSeparator" w:id="0">
    <w:p w14:paraId="33F6DE3B" w14:textId="77777777" w:rsidR="00B8543E" w:rsidRDefault="00B8543E" w:rsidP="00A41A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Exo">
    <w:charset w:val="00"/>
    <w:family w:val="auto"/>
    <w:pitch w:val="variable"/>
    <w:sig w:usb0="A00000EF" w:usb1="4000204B" w:usb2="00000000" w:usb3="00000000" w:csb0="00000193" w:csb1="00000000"/>
    <w:embedRegular r:id="rId1" w:fontKey="{11C46CBB-848A-4257-B23B-BC4270610F5D}"/>
    <w:embedBold r:id="rId2" w:fontKey="{C79BC0B1-5344-4B2E-B268-887B0CD93320}"/>
    <w:embedItalic r:id="rId3" w:fontKey="{B8C3E711-9DD2-479E-8435-A02F1A3EE03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901525023"/>
      <w:docPartObj>
        <w:docPartGallery w:val="Page Numbers (Top of Page)"/>
        <w:docPartUnique/>
      </w:docPartObj>
    </w:sdtPr>
    <w:sdtEndPr/>
    <w:sdtContent>
      <w:p w14:paraId="1A813C10" w14:textId="34155ABD" w:rsidR="00A41A48" w:rsidRPr="00644A7E" w:rsidRDefault="00A41A48" w:rsidP="00A41A48">
        <w:pPr>
          <w:pStyle w:val="Piedepgina"/>
          <w:spacing w:before="120"/>
          <w:jc w:val="right"/>
          <w:rPr>
            <w:rFonts w:ascii="Arial" w:hAnsi="Arial" w:cs="Arial"/>
            <w:color w:val="993366"/>
            <w:sz w:val="24"/>
            <w:szCs w:val="24"/>
          </w:rPr>
        </w:pPr>
        <w:r w:rsidRPr="00644A7E">
          <w:rPr>
            <w:rFonts w:ascii="Arial" w:hAnsi="Arial" w:cs="Arial"/>
            <w:b/>
            <w:bCs/>
            <w:color w:val="993366"/>
            <w:sz w:val="24"/>
            <w:szCs w:val="24"/>
            <w:lang w:val="es-ES"/>
          </w:rPr>
          <w:t xml:space="preserve">Página </w:t>
        </w:r>
        <w:r w:rsidRPr="00644A7E">
          <w:rPr>
            <w:rFonts w:ascii="Arial" w:hAnsi="Arial" w:cs="Arial"/>
            <w:b/>
            <w:bCs/>
            <w:color w:val="993366"/>
            <w:sz w:val="24"/>
            <w:szCs w:val="24"/>
          </w:rPr>
          <w:fldChar w:fldCharType="begin"/>
        </w:r>
        <w:r w:rsidRPr="00644A7E">
          <w:rPr>
            <w:rFonts w:ascii="Arial" w:hAnsi="Arial" w:cs="Arial"/>
            <w:b/>
            <w:bCs/>
            <w:color w:val="993366"/>
            <w:sz w:val="24"/>
            <w:szCs w:val="24"/>
          </w:rPr>
          <w:instrText>PAGE</w:instrText>
        </w:r>
        <w:r w:rsidRPr="00644A7E">
          <w:rPr>
            <w:rFonts w:ascii="Arial" w:hAnsi="Arial" w:cs="Arial"/>
            <w:b/>
            <w:bCs/>
            <w:color w:val="993366"/>
            <w:sz w:val="24"/>
            <w:szCs w:val="24"/>
          </w:rPr>
          <w:fldChar w:fldCharType="separate"/>
        </w:r>
        <w:r w:rsidR="00644A7E">
          <w:rPr>
            <w:rFonts w:ascii="Arial" w:hAnsi="Arial" w:cs="Arial"/>
            <w:b/>
            <w:bCs/>
            <w:noProof/>
            <w:color w:val="993366"/>
            <w:sz w:val="24"/>
            <w:szCs w:val="24"/>
          </w:rPr>
          <w:t>7</w:t>
        </w:r>
        <w:r w:rsidRPr="00644A7E">
          <w:rPr>
            <w:rFonts w:ascii="Arial" w:hAnsi="Arial" w:cs="Arial"/>
            <w:b/>
            <w:bCs/>
            <w:color w:val="993366"/>
            <w:sz w:val="24"/>
            <w:szCs w:val="24"/>
          </w:rPr>
          <w:fldChar w:fldCharType="end"/>
        </w:r>
        <w:r w:rsidRPr="00644A7E">
          <w:rPr>
            <w:rFonts w:ascii="Arial" w:hAnsi="Arial" w:cs="Arial"/>
            <w:b/>
            <w:bCs/>
            <w:color w:val="993366"/>
            <w:sz w:val="24"/>
            <w:szCs w:val="24"/>
            <w:lang w:val="es-ES"/>
          </w:rPr>
          <w:t xml:space="preserve"> | </w:t>
        </w:r>
        <w:r w:rsidRPr="00644A7E">
          <w:rPr>
            <w:rFonts w:ascii="Arial" w:hAnsi="Arial" w:cs="Arial"/>
            <w:b/>
            <w:bCs/>
            <w:color w:val="993366"/>
            <w:sz w:val="24"/>
            <w:szCs w:val="24"/>
          </w:rPr>
          <w:fldChar w:fldCharType="begin"/>
        </w:r>
        <w:r w:rsidRPr="00644A7E">
          <w:rPr>
            <w:rFonts w:ascii="Arial" w:hAnsi="Arial" w:cs="Arial"/>
            <w:b/>
            <w:bCs/>
            <w:color w:val="993366"/>
            <w:sz w:val="24"/>
            <w:szCs w:val="24"/>
          </w:rPr>
          <w:instrText>NUMPAGES</w:instrText>
        </w:r>
        <w:r w:rsidRPr="00644A7E">
          <w:rPr>
            <w:rFonts w:ascii="Arial" w:hAnsi="Arial" w:cs="Arial"/>
            <w:b/>
            <w:bCs/>
            <w:color w:val="993366"/>
            <w:sz w:val="24"/>
            <w:szCs w:val="24"/>
          </w:rPr>
          <w:fldChar w:fldCharType="separate"/>
        </w:r>
        <w:r w:rsidR="00644A7E">
          <w:rPr>
            <w:rFonts w:ascii="Arial" w:hAnsi="Arial" w:cs="Arial"/>
            <w:b/>
            <w:bCs/>
            <w:noProof/>
            <w:color w:val="993366"/>
            <w:sz w:val="24"/>
            <w:szCs w:val="24"/>
          </w:rPr>
          <w:t>7</w:t>
        </w:r>
        <w:r w:rsidRPr="00644A7E">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ABE3" w14:textId="77777777" w:rsidR="00B8543E" w:rsidRDefault="00B8543E" w:rsidP="00A41A48">
      <w:pPr>
        <w:spacing w:before="0" w:after="0" w:line="240" w:lineRule="auto"/>
      </w:pPr>
      <w:r>
        <w:separator/>
      </w:r>
    </w:p>
  </w:footnote>
  <w:footnote w:type="continuationSeparator" w:id="0">
    <w:p w14:paraId="1D23D8D9" w14:textId="77777777" w:rsidR="00B8543E" w:rsidRDefault="00B8543E" w:rsidP="00A41A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A41A48" w14:paraId="6DF502C3" w14:textId="77777777" w:rsidTr="000502A6">
      <w:tc>
        <w:tcPr>
          <w:tcW w:w="1813" w:type="dxa"/>
        </w:tcPr>
        <w:p w14:paraId="121F777B" w14:textId="77777777" w:rsidR="00A41A48" w:rsidRDefault="00A41A48" w:rsidP="00A41A48">
          <w:pPr>
            <w:pStyle w:val="Encabezado"/>
          </w:pPr>
          <w:r>
            <w:rPr>
              <w:b/>
              <w:noProof/>
              <w:sz w:val="32"/>
              <w:lang w:eastAsia="es-MX"/>
            </w:rPr>
            <w:drawing>
              <wp:inline distT="0" distB="0" distL="0" distR="0" wp14:anchorId="6B77EC5F" wp14:editId="72B3EA53">
                <wp:extent cx="1014331" cy="1199403"/>
                <wp:effectExtent l="0" t="0" r="0" b="1270"/>
                <wp:docPr id="1695709637" name="Imagen 169570963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5C375C2F" w14:textId="77777777" w:rsidR="00A41A48" w:rsidRPr="00B33A23" w:rsidRDefault="00A41A48" w:rsidP="00A41A48">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52D8613F" w14:textId="77777777" w:rsidR="00A41A48" w:rsidRDefault="00A41A48" w:rsidP="00A41A48">
          <w:pPr>
            <w:pStyle w:val="Encabezado"/>
            <w:spacing w:before="60"/>
            <w:jc w:val="center"/>
          </w:pPr>
          <w:r w:rsidRPr="00B33A23">
            <w:rPr>
              <w:rFonts w:ascii="Arial" w:hAnsi="Arial" w:cs="Arial"/>
              <w:b/>
              <w:bCs/>
              <w:sz w:val="28"/>
              <w:szCs w:val="28"/>
            </w:rPr>
            <w:t>CONSEJO ESTATAL</w:t>
          </w:r>
        </w:p>
      </w:tc>
      <w:tc>
        <w:tcPr>
          <w:tcW w:w="1560" w:type="dxa"/>
        </w:tcPr>
        <w:p w14:paraId="5217967C" w14:textId="77777777" w:rsidR="00A41A48" w:rsidRDefault="00A41A48" w:rsidP="00A41A48">
          <w:pPr>
            <w:pStyle w:val="Encabezado"/>
            <w:spacing w:before="480"/>
            <w:jc w:val="right"/>
          </w:pPr>
          <w:r>
            <w:rPr>
              <w:noProof/>
              <w:lang w:eastAsia="es-MX"/>
            </w:rPr>
            <w:drawing>
              <wp:inline distT="0" distB="0" distL="0" distR="0" wp14:anchorId="7B316F0E" wp14:editId="327E647F">
                <wp:extent cx="921600" cy="756000"/>
                <wp:effectExtent l="0" t="0" r="0" b="6350"/>
                <wp:docPr id="1579608627"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43C9B7AF" w14:textId="39E93CD9" w:rsidR="00A41A48" w:rsidRPr="008322A8" w:rsidRDefault="008322A8" w:rsidP="008322A8">
    <w:pPr>
      <w:pStyle w:val="Encabezado"/>
      <w:jc w:val="right"/>
      <w:rPr>
        <w:rFonts w:ascii="Arial" w:hAnsi="Arial" w:cs="Arial"/>
        <w:b/>
        <w:sz w:val="24"/>
        <w:szCs w:val="24"/>
      </w:rPr>
    </w:pPr>
    <w:r w:rsidRPr="008322A8">
      <w:rPr>
        <w:rFonts w:ascii="Arial" w:hAnsi="Arial" w:cs="Arial"/>
        <w:b/>
        <w:sz w:val="24"/>
        <w:szCs w:val="24"/>
      </w:rPr>
      <w:t>CE/2025/005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32F49"/>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48"/>
    <w:rsid w:val="001605F7"/>
    <w:rsid w:val="002F0C26"/>
    <w:rsid w:val="003A5916"/>
    <w:rsid w:val="003F6FAB"/>
    <w:rsid w:val="00410ABE"/>
    <w:rsid w:val="00457CEE"/>
    <w:rsid w:val="00502D6E"/>
    <w:rsid w:val="00535B3B"/>
    <w:rsid w:val="0058416B"/>
    <w:rsid w:val="005B3C98"/>
    <w:rsid w:val="00644A7E"/>
    <w:rsid w:val="00745D52"/>
    <w:rsid w:val="007F51EC"/>
    <w:rsid w:val="008322A8"/>
    <w:rsid w:val="008C103C"/>
    <w:rsid w:val="0092730E"/>
    <w:rsid w:val="00972B4B"/>
    <w:rsid w:val="0098277B"/>
    <w:rsid w:val="00A41768"/>
    <w:rsid w:val="00A41A48"/>
    <w:rsid w:val="00A66C96"/>
    <w:rsid w:val="00B8543E"/>
    <w:rsid w:val="00BF1899"/>
    <w:rsid w:val="00C42F84"/>
    <w:rsid w:val="00C67188"/>
    <w:rsid w:val="00CD1472"/>
    <w:rsid w:val="00D0448D"/>
    <w:rsid w:val="00D354F1"/>
    <w:rsid w:val="00D95197"/>
    <w:rsid w:val="00DA7D71"/>
    <w:rsid w:val="00DB4782"/>
    <w:rsid w:val="00E53A63"/>
    <w:rsid w:val="00EA190C"/>
    <w:rsid w:val="00F6659C"/>
    <w:rsid w:val="00FD0C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E07E"/>
  <w15:chartTrackingRefBased/>
  <w15:docId w15:val="{47AC9907-C862-4C4F-8782-2A55B66B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A48"/>
    <w:pPr>
      <w:spacing w:before="240" w:after="240" w:line="276" w:lineRule="auto"/>
      <w:jc w:val="both"/>
    </w:pPr>
    <w:rPr>
      <w:rFonts w:ascii="Exo" w:hAnsi="Exo"/>
      <w:sz w:val="22"/>
      <w:szCs w:val="22"/>
    </w:rPr>
  </w:style>
  <w:style w:type="paragraph" w:styleId="Ttulo1">
    <w:name w:val="heading 1"/>
    <w:basedOn w:val="Normal"/>
    <w:next w:val="Normal"/>
    <w:link w:val="Ttulo1Car"/>
    <w:uiPriority w:val="9"/>
    <w:qFormat/>
    <w:rsid w:val="00A41A48"/>
    <w:pPr>
      <w:numPr>
        <w:numId w:val="1"/>
      </w:numPr>
      <w:spacing w:before="600"/>
      <w:jc w:val="center"/>
      <w:outlineLvl w:val="0"/>
    </w:pPr>
    <w:rPr>
      <w:b/>
      <w:bCs/>
      <w:sz w:val="28"/>
      <w:szCs w:val="28"/>
    </w:rPr>
  </w:style>
  <w:style w:type="paragraph" w:styleId="Ttulo2">
    <w:name w:val="heading 2"/>
    <w:basedOn w:val="Normal"/>
    <w:next w:val="Normal"/>
    <w:link w:val="Ttulo2Car"/>
    <w:uiPriority w:val="9"/>
    <w:unhideWhenUsed/>
    <w:qFormat/>
    <w:rsid w:val="00A41A48"/>
    <w:pPr>
      <w:numPr>
        <w:ilvl w:val="1"/>
        <w:numId w:val="1"/>
      </w:numPr>
      <w:spacing w:before="480"/>
      <w:outlineLvl w:val="1"/>
    </w:pPr>
    <w:rPr>
      <w:b/>
      <w:bCs/>
      <w:sz w:val="24"/>
      <w:szCs w:val="24"/>
    </w:rPr>
  </w:style>
  <w:style w:type="paragraph" w:styleId="Ttulo3">
    <w:name w:val="heading 3"/>
    <w:basedOn w:val="Normal"/>
    <w:next w:val="Normal"/>
    <w:link w:val="Ttulo3Car"/>
    <w:uiPriority w:val="9"/>
    <w:semiHidden/>
    <w:unhideWhenUsed/>
    <w:qFormat/>
    <w:rsid w:val="00A41A48"/>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1A48"/>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1A48"/>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1A48"/>
    <w:pPr>
      <w:keepNext/>
      <w:keepLines/>
      <w:numPr>
        <w:ilvl w:val="5"/>
        <w:numId w:val="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1A48"/>
    <w:pPr>
      <w:keepNext/>
      <w:keepLines/>
      <w:numPr>
        <w:ilvl w:val="6"/>
        <w:numId w:val="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1A48"/>
    <w:pPr>
      <w:keepNext/>
      <w:keepLines/>
      <w:numPr>
        <w:ilvl w:val="7"/>
        <w:numId w:val="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1A48"/>
    <w:pPr>
      <w:keepNext/>
      <w:keepLines/>
      <w:numPr>
        <w:ilvl w:val="8"/>
        <w:numId w:val="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A48"/>
    <w:rPr>
      <w:rFonts w:ascii="Exo" w:hAnsi="Exo"/>
      <w:b/>
      <w:bCs/>
      <w:sz w:val="28"/>
      <w:szCs w:val="28"/>
    </w:rPr>
  </w:style>
  <w:style w:type="character" w:customStyle="1" w:styleId="Ttulo2Car">
    <w:name w:val="Título 2 Car"/>
    <w:basedOn w:val="Fuentedeprrafopredeter"/>
    <w:link w:val="Ttulo2"/>
    <w:uiPriority w:val="9"/>
    <w:rsid w:val="00A41A48"/>
    <w:rPr>
      <w:rFonts w:ascii="Exo" w:hAnsi="Exo"/>
      <w:b/>
      <w:bCs/>
    </w:rPr>
  </w:style>
  <w:style w:type="character" w:customStyle="1" w:styleId="Ttulo3Car">
    <w:name w:val="Título 3 Car"/>
    <w:basedOn w:val="Fuentedeprrafopredeter"/>
    <w:link w:val="Ttulo3"/>
    <w:uiPriority w:val="9"/>
    <w:semiHidden/>
    <w:rsid w:val="00A41A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1A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1A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1A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1A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1A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1A48"/>
    <w:rPr>
      <w:rFonts w:eastAsiaTheme="majorEastAsia" w:cstheme="majorBidi"/>
      <w:color w:val="272727" w:themeColor="text1" w:themeTint="D8"/>
    </w:rPr>
  </w:style>
  <w:style w:type="paragraph" w:styleId="Ttulo">
    <w:name w:val="Title"/>
    <w:basedOn w:val="Normal"/>
    <w:next w:val="Normal"/>
    <w:link w:val="TtuloCar"/>
    <w:uiPriority w:val="10"/>
    <w:qFormat/>
    <w:rsid w:val="00A41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1A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1A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1A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1A48"/>
    <w:pPr>
      <w:spacing w:before="160"/>
      <w:jc w:val="center"/>
    </w:pPr>
    <w:rPr>
      <w:i/>
      <w:iCs/>
      <w:color w:val="404040" w:themeColor="text1" w:themeTint="BF"/>
    </w:rPr>
  </w:style>
  <w:style w:type="character" w:customStyle="1" w:styleId="CitaCar">
    <w:name w:val="Cita Car"/>
    <w:basedOn w:val="Fuentedeprrafopredeter"/>
    <w:link w:val="Cita"/>
    <w:uiPriority w:val="29"/>
    <w:rsid w:val="00A41A48"/>
    <w:rPr>
      <w:i/>
      <w:iCs/>
      <w:color w:val="404040" w:themeColor="text1" w:themeTint="BF"/>
    </w:rPr>
  </w:style>
  <w:style w:type="paragraph" w:styleId="Prrafodelista">
    <w:name w:val="List Paragraph"/>
    <w:basedOn w:val="Normal"/>
    <w:uiPriority w:val="34"/>
    <w:qFormat/>
    <w:rsid w:val="00A41A48"/>
    <w:pPr>
      <w:ind w:left="720"/>
      <w:contextualSpacing/>
    </w:pPr>
  </w:style>
  <w:style w:type="character" w:styleId="nfasisintenso">
    <w:name w:val="Intense Emphasis"/>
    <w:basedOn w:val="Fuentedeprrafopredeter"/>
    <w:uiPriority w:val="21"/>
    <w:qFormat/>
    <w:rsid w:val="00A41A48"/>
    <w:rPr>
      <w:i/>
      <w:iCs/>
      <w:color w:val="0F4761" w:themeColor="accent1" w:themeShade="BF"/>
    </w:rPr>
  </w:style>
  <w:style w:type="paragraph" w:styleId="Citadestacada">
    <w:name w:val="Intense Quote"/>
    <w:basedOn w:val="Normal"/>
    <w:next w:val="Normal"/>
    <w:link w:val="CitadestacadaCar"/>
    <w:uiPriority w:val="30"/>
    <w:qFormat/>
    <w:rsid w:val="00A41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1A48"/>
    <w:rPr>
      <w:i/>
      <w:iCs/>
      <w:color w:val="0F4761" w:themeColor="accent1" w:themeShade="BF"/>
    </w:rPr>
  </w:style>
  <w:style w:type="character" w:styleId="Referenciaintensa">
    <w:name w:val="Intense Reference"/>
    <w:basedOn w:val="Fuentedeprrafopredeter"/>
    <w:uiPriority w:val="32"/>
    <w:qFormat/>
    <w:rsid w:val="00A41A48"/>
    <w:rPr>
      <w:b/>
      <w:bCs/>
      <w:smallCaps/>
      <w:color w:val="0F4761" w:themeColor="accent1" w:themeShade="BF"/>
      <w:spacing w:val="5"/>
    </w:rPr>
  </w:style>
  <w:style w:type="paragraph" w:styleId="Encabezado">
    <w:name w:val="header"/>
    <w:basedOn w:val="Normal"/>
    <w:link w:val="EncabezadoCar"/>
    <w:uiPriority w:val="99"/>
    <w:unhideWhenUsed/>
    <w:rsid w:val="00A41A4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41A48"/>
    <w:rPr>
      <w:rFonts w:ascii="Exo" w:hAnsi="Exo"/>
      <w:sz w:val="22"/>
      <w:szCs w:val="22"/>
    </w:rPr>
  </w:style>
  <w:style w:type="paragraph" w:styleId="Piedepgina">
    <w:name w:val="footer"/>
    <w:basedOn w:val="Normal"/>
    <w:link w:val="PiedepginaCar"/>
    <w:uiPriority w:val="99"/>
    <w:unhideWhenUsed/>
    <w:rsid w:val="00A41A4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41A48"/>
    <w:rPr>
      <w:rFonts w:ascii="Exo" w:hAnsi="Exo"/>
      <w:sz w:val="22"/>
      <w:szCs w:val="22"/>
    </w:rPr>
  </w:style>
  <w:style w:type="table" w:styleId="Tablaconcuadrcula">
    <w:name w:val="Table Grid"/>
    <w:basedOn w:val="Tablanormal"/>
    <w:uiPriority w:val="39"/>
    <w:rsid w:val="00A4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2174</Words>
  <Characters>11957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20</cp:revision>
  <dcterms:created xsi:type="dcterms:W3CDTF">2025-01-10T05:16:00Z</dcterms:created>
  <dcterms:modified xsi:type="dcterms:W3CDTF">2025-01-16T20:59:00Z</dcterms:modified>
</cp:coreProperties>
</file>