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49DC9" w14:textId="268E2A0B" w:rsidR="00CF5345" w:rsidRPr="00326270" w:rsidRDefault="005D19BA" w:rsidP="00754AE2">
      <w:pPr>
        <w:rPr>
          <w:rFonts w:ascii="Arial" w:hAnsi="Arial" w:cs="Arial"/>
          <w:b/>
        </w:rPr>
      </w:pPr>
      <w:r w:rsidRPr="00326270">
        <w:rPr>
          <w:rFonts w:ascii="Arial" w:hAnsi="Arial" w:cs="Arial"/>
          <w:b/>
        </w:rPr>
        <w:t>ACUERDO QUE EMITE EL CONSEJO ESTATAL DEL INSTITUTO ELECTORAL Y DE PARTICIPACIÓN CIUDADANA DE TABASCO, MEDIANTE EL CUAL APRUEBA EL PROGRAMA ANUAL DE TRABAJO 2025 PROPUESTO POR LA CONTRALORÍA GENERAL DEL PROPIO INSTITUTO</w:t>
      </w:r>
    </w:p>
    <w:p w14:paraId="3B35E77C" w14:textId="3C27C5B0" w:rsidR="00754AE2" w:rsidRPr="00326270" w:rsidRDefault="00754AE2" w:rsidP="00754AE2">
      <w:pPr>
        <w:rPr>
          <w:rFonts w:ascii="Arial" w:hAnsi="Arial" w:cs="Arial"/>
        </w:rPr>
      </w:pPr>
      <w:r w:rsidRPr="00326270">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D63CFC" w:rsidRPr="00326270" w14:paraId="7F14DD85" w14:textId="77777777" w:rsidTr="00A11B11">
        <w:trPr>
          <w:trHeight w:val="624"/>
          <w:jc w:val="center"/>
        </w:trPr>
        <w:tc>
          <w:tcPr>
            <w:tcW w:w="2042" w:type="pct"/>
            <w:shd w:val="clear" w:color="auto" w:fill="auto"/>
            <w:vAlign w:val="center"/>
          </w:tcPr>
          <w:p w14:paraId="1DFE541E" w14:textId="77777777" w:rsidR="00754AE2" w:rsidRPr="00326270" w:rsidRDefault="00754AE2" w:rsidP="00A11B11">
            <w:pPr>
              <w:widowControl w:val="0"/>
              <w:spacing w:before="40" w:after="40"/>
              <w:ind w:left="57"/>
              <w:jc w:val="right"/>
              <w:rPr>
                <w:rFonts w:ascii="Arial" w:hAnsi="Arial" w:cs="Arial"/>
                <w:b/>
                <w:sz w:val="20"/>
                <w:szCs w:val="20"/>
              </w:rPr>
            </w:pPr>
            <w:r w:rsidRPr="00326270">
              <w:rPr>
                <w:rFonts w:ascii="Arial" w:hAnsi="Arial" w:cs="Arial"/>
                <w:b/>
                <w:sz w:val="20"/>
                <w:szCs w:val="20"/>
              </w:rPr>
              <w:t>Consejo Estatal:</w:t>
            </w:r>
          </w:p>
        </w:tc>
        <w:tc>
          <w:tcPr>
            <w:tcW w:w="2958" w:type="pct"/>
            <w:shd w:val="clear" w:color="auto" w:fill="auto"/>
            <w:vAlign w:val="center"/>
          </w:tcPr>
          <w:p w14:paraId="40EDD518" w14:textId="77777777" w:rsidR="00754AE2" w:rsidRPr="00326270" w:rsidRDefault="00754AE2" w:rsidP="00A11B11">
            <w:pPr>
              <w:widowControl w:val="0"/>
              <w:spacing w:before="40" w:after="40"/>
              <w:ind w:left="57"/>
              <w:rPr>
                <w:rFonts w:ascii="Arial" w:hAnsi="Arial" w:cs="Arial"/>
                <w:sz w:val="20"/>
                <w:szCs w:val="20"/>
              </w:rPr>
            </w:pPr>
            <w:r w:rsidRPr="00326270">
              <w:rPr>
                <w:rFonts w:ascii="Arial" w:hAnsi="Arial" w:cs="Arial"/>
                <w:sz w:val="20"/>
                <w:szCs w:val="20"/>
              </w:rPr>
              <w:t>Consejo Estatal del Instituto Electoral y de Participación Ciudadana de Tabasco.</w:t>
            </w:r>
          </w:p>
        </w:tc>
      </w:tr>
      <w:tr w:rsidR="00D63CFC" w:rsidRPr="00326270" w14:paraId="6062A03B" w14:textId="77777777" w:rsidTr="00A11B11">
        <w:trPr>
          <w:trHeight w:val="624"/>
          <w:jc w:val="center"/>
        </w:trPr>
        <w:tc>
          <w:tcPr>
            <w:tcW w:w="2042" w:type="pct"/>
            <w:shd w:val="clear" w:color="auto" w:fill="auto"/>
            <w:vAlign w:val="center"/>
          </w:tcPr>
          <w:p w14:paraId="5E83356B" w14:textId="77777777" w:rsidR="00754AE2" w:rsidRPr="00326270" w:rsidRDefault="00754AE2" w:rsidP="00A11B11">
            <w:pPr>
              <w:widowControl w:val="0"/>
              <w:spacing w:before="40" w:after="40"/>
              <w:ind w:left="57"/>
              <w:jc w:val="right"/>
              <w:rPr>
                <w:rFonts w:ascii="Arial" w:hAnsi="Arial" w:cs="Arial"/>
                <w:b/>
                <w:sz w:val="20"/>
                <w:szCs w:val="20"/>
              </w:rPr>
            </w:pPr>
            <w:r w:rsidRPr="00326270">
              <w:rPr>
                <w:rFonts w:ascii="Arial" w:hAnsi="Arial" w:cs="Arial"/>
                <w:b/>
                <w:sz w:val="20"/>
                <w:szCs w:val="20"/>
              </w:rPr>
              <w:t>Constitución Federal:</w:t>
            </w:r>
          </w:p>
        </w:tc>
        <w:tc>
          <w:tcPr>
            <w:tcW w:w="2958" w:type="pct"/>
            <w:shd w:val="clear" w:color="auto" w:fill="auto"/>
            <w:vAlign w:val="center"/>
          </w:tcPr>
          <w:p w14:paraId="6AA53EAF" w14:textId="77777777" w:rsidR="00754AE2" w:rsidRPr="00326270" w:rsidRDefault="00754AE2" w:rsidP="00A11B11">
            <w:pPr>
              <w:widowControl w:val="0"/>
              <w:spacing w:before="40" w:after="40"/>
              <w:ind w:left="57"/>
              <w:rPr>
                <w:rFonts w:ascii="Arial" w:hAnsi="Arial" w:cs="Arial"/>
                <w:sz w:val="20"/>
                <w:szCs w:val="20"/>
              </w:rPr>
            </w:pPr>
            <w:r w:rsidRPr="00326270">
              <w:rPr>
                <w:rFonts w:ascii="Arial" w:hAnsi="Arial" w:cs="Arial"/>
                <w:sz w:val="20"/>
                <w:szCs w:val="20"/>
              </w:rPr>
              <w:t>Constitución Política de los Estados Unidos Mexicanos.</w:t>
            </w:r>
          </w:p>
        </w:tc>
      </w:tr>
      <w:tr w:rsidR="00D63CFC" w:rsidRPr="00326270" w14:paraId="56738D1F" w14:textId="77777777" w:rsidTr="00A11B11">
        <w:trPr>
          <w:trHeight w:val="624"/>
          <w:jc w:val="center"/>
        </w:trPr>
        <w:tc>
          <w:tcPr>
            <w:tcW w:w="2042" w:type="pct"/>
            <w:shd w:val="clear" w:color="auto" w:fill="auto"/>
            <w:vAlign w:val="center"/>
          </w:tcPr>
          <w:p w14:paraId="42A9DD69" w14:textId="77777777" w:rsidR="00754AE2" w:rsidRPr="00326270" w:rsidRDefault="00754AE2" w:rsidP="00A11B11">
            <w:pPr>
              <w:widowControl w:val="0"/>
              <w:spacing w:before="40" w:after="40"/>
              <w:ind w:left="57"/>
              <w:jc w:val="right"/>
              <w:rPr>
                <w:rFonts w:ascii="Arial" w:hAnsi="Arial" w:cs="Arial"/>
                <w:b/>
                <w:sz w:val="20"/>
                <w:szCs w:val="20"/>
              </w:rPr>
            </w:pPr>
            <w:r w:rsidRPr="00326270">
              <w:rPr>
                <w:rFonts w:ascii="Arial" w:hAnsi="Arial" w:cs="Arial"/>
                <w:b/>
                <w:sz w:val="20"/>
                <w:szCs w:val="20"/>
              </w:rPr>
              <w:t>Constitución Local:</w:t>
            </w:r>
          </w:p>
        </w:tc>
        <w:tc>
          <w:tcPr>
            <w:tcW w:w="2958" w:type="pct"/>
            <w:shd w:val="clear" w:color="auto" w:fill="auto"/>
            <w:vAlign w:val="center"/>
          </w:tcPr>
          <w:p w14:paraId="099FE728" w14:textId="77777777" w:rsidR="00754AE2" w:rsidRPr="00326270" w:rsidRDefault="00754AE2" w:rsidP="00A11B11">
            <w:pPr>
              <w:widowControl w:val="0"/>
              <w:spacing w:before="40" w:after="40"/>
              <w:ind w:left="57"/>
              <w:rPr>
                <w:rFonts w:ascii="Arial" w:hAnsi="Arial" w:cs="Arial"/>
                <w:sz w:val="20"/>
                <w:szCs w:val="20"/>
              </w:rPr>
            </w:pPr>
            <w:r w:rsidRPr="00326270">
              <w:rPr>
                <w:rFonts w:ascii="Arial" w:hAnsi="Arial" w:cs="Arial"/>
                <w:sz w:val="20"/>
                <w:szCs w:val="20"/>
              </w:rPr>
              <w:t>Constitución Política del Estado Libre y Soberano de Tabasco.</w:t>
            </w:r>
          </w:p>
        </w:tc>
      </w:tr>
      <w:tr w:rsidR="00D63CFC" w:rsidRPr="00326270" w14:paraId="1E8C71A8" w14:textId="77777777" w:rsidTr="00A11B11">
        <w:trPr>
          <w:trHeight w:val="624"/>
          <w:jc w:val="center"/>
        </w:trPr>
        <w:tc>
          <w:tcPr>
            <w:tcW w:w="2042" w:type="pct"/>
            <w:shd w:val="clear" w:color="auto" w:fill="auto"/>
            <w:vAlign w:val="center"/>
          </w:tcPr>
          <w:p w14:paraId="29F9C2D1" w14:textId="77777777" w:rsidR="00754AE2" w:rsidRPr="00326270" w:rsidRDefault="00754AE2" w:rsidP="00A11B11">
            <w:pPr>
              <w:widowControl w:val="0"/>
              <w:spacing w:before="120" w:after="120"/>
              <w:jc w:val="right"/>
              <w:rPr>
                <w:rFonts w:ascii="Arial" w:hAnsi="Arial" w:cs="Arial"/>
                <w:b/>
                <w:sz w:val="20"/>
                <w:szCs w:val="20"/>
              </w:rPr>
            </w:pPr>
            <w:r w:rsidRPr="00326270">
              <w:rPr>
                <w:rFonts w:ascii="Arial" w:hAnsi="Arial" w:cs="Arial"/>
                <w:b/>
                <w:sz w:val="20"/>
                <w:szCs w:val="20"/>
              </w:rPr>
              <w:t>Contraloría General:</w:t>
            </w:r>
          </w:p>
        </w:tc>
        <w:tc>
          <w:tcPr>
            <w:tcW w:w="2958" w:type="pct"/>
            <w:shd w:val="clear" w:color="auto" w:fill="auto"/>
            <w:vAlign w:val="center"/>
          </w:tcPr>
          <w:p w14:paraId="6DB39C9F" w14:textId="77777777" w:rsidR="00754AE2" w:rsidRPr="00326270" w:rsidRDefault="00754AE2" w:rsidP="00A11B11">
            <w:pPr>
              <w:widowControl w:val="0"/>
              <w:spacing w:before="120" w:after="120"/>
              <w:rPr>
                <w:rFonts w:ascii="Arial" w:hAnsi="Arial" w:cs="Arial"/>
                <w:bCs/>
                <w:sz w:val="20"/>
                <w:szCs w:val="20"/>
              </w:rPr>
            </w:pPr>
            <w:r w:rsidRPr="00326270">
              <w:rPr>
                <w:rFonts w:ascii="Arial" w:hAnsi="Arial" w:cs="Arial"/>
                <w:bCs/>
                <w:sz w:val="20"/>
                <w:szCs w:val="20"/>
              </w:rPr>
              <w:t>Contraloría General del Instituto Electoral y de Participación Ciudadana de Tabasco.</w:t>
            </w:r>
          </w:p>
        </w:tc>
      </w:tr>
      <w:tr w:rsidR="00D63CFC" w:rsidRPr="00326270" w14:paraId="4989DCB2" w14:textId="77777777" w:rsidTr="00A11B11">
        <w:trPr>
          <w:trHeight w:val="624"/>
          <w:jc w:val="center"/>
        </w:trPr>
        <w:tc>
          <w:tcPr>
            <w:tcW w:w="2042" w:type="pct"/>
            <w:shd w:val="clear" w:color="auto" w:fill="auto"/>
            <w:vAlign w:val="center"/>
          </w:tcPr>
          <w:p w14:paraId="0CF0F11B" w14:textId="77777777" w:rsidR="00754AE2" w:rsidRPr="00326270" w:rsidRDefault="00754AE2" w:rsidP="00A11B11">
            <w:pPr>
              <w:widowControl w:val="0"/>
              <w:spacing w:before="40" w:after="40"/>
              <w:ind w:left="57"/>
              <w:jc w:val="right"/>
              <w:rPr>
                <w:rFonts w:ascii="Arial" w:hAnsi="Arial" w:cs="Arial"/>
                <w:b/>
                <w:sz w:val="20"/>
                <w:szCs w:val="20"/>
              </w:rPr>
            </w:pPr>
            <w:r w:rsidRPr="00326270">
              <w:rPr>
                <w:rFonts w:ascii="Arial" w:hAnsi="Arial" w:cs="Arial"/>
                <w:b/>
                <w:sz w:val="20"/>
                <w:szCs w:val="20"/>
              </w:rPr>
              <w:t>Instituto:</w:t>
            </w:r>
          </w:p>
        </w:tc>
        <w:tc>
          <w:tcPr>
            <w:tcW w:w="2958" w:type="pct"/>
            <w:shd w:val="clear" w:color="auto" w:fill="auto"/>
          </w:tcPr>
          <w:p w14:paraId="125E5FB2" w14:textId="77777777" w:rsidR="00754AE2" w:rsidRPr="00326270" w:rsidRDefault="00754AE2" w:rsidP="00A11B11">
            <w:pPr>
              <w:widowControl w:val="0"/>
              <w:spacing w:before="40" w:after="40"/>
              <w:ind w:left="57"/>
              <w:rPr>
                <w:rFonts w:ascii="Arial" w:hAnsi="Arial" w:cs="Arial"/>
                <w:sz w:val="20"/>
                <w:szCs w:val="20"/>
              </w:rPr>
            </w:pPr>
            <w:r w:rsidRPr="00326270">
              <w:rPr>
                <w:rFonts w:ascii="Arial" w:hAnsi="Arial" w:cs="Arial"/>
                <w:sz w:val="20"/>
                <w:szCs w:val="20"/>
              </w:rPr>
              <w:t>Instituto Electoral y de Participación Ciudadana de Tabasco.</w:t>
            </w:r>
          </w:p>
        </w:tc>
      </w:tr>
      <w:tr w:rsidR="00D63CFC" w:rsidRPr="00326270" w14:paraId="4A5BD9DD" w14:textId="77777777" w:rsidTr="00A11B11">
        <w:trPr>
          <w:trHeight w:val="624"/>
          <w:jc w:val="center"/>
        </w:trPr>
        <w:tc>
          <w:tcPr>
            <w:tcW w:w="2042" w:type="pct"/>
            <w:shd w:val="clear" w:color="auto" w:fill="auto"/>
            <w:vAlign w:val="center"/>
          </w:tcPr>
          <w:p w14:paraId="48E478DF" w14:textId="77777777" w:rsidR="00754AE2" w:rsidRPr="00326270" w:rsidRDefault="00754AE2" w:rsidP="00A11B11">
            <w:pPr>
              <w:widowControl w:val="0"/>
              <w:spacing w:before="40" w:after="40"/>
              <w:ind w:left="57"/>
              <w:jc w:val="right"/>
              <w:rPr>
                <w:rFonts w:ascii="Arial" w:hAnsi="Arial" w:cs="Arial"/>
                <w:b/>
                <w:sz w:val="20"/>
                <w:szCs w:val="20"/>
              </w:rPr>
            </w:pPr>
            <w:r w:rsidRPr="00326270">
              <w:rPr>
                <w:rFonts w:ascii="Arial" w:hAnsi="Arial" w:cs="Arial"/>
                <w:b/>
                <w:sz w:val="20"/>
                <w:szCs w:val="20"/>
              </w:rPr>
              <w:t>Ley Electoral:</w:t>
            </w:r>
          </w:p>
        </w:tc>
        <w:tc>
          <w:tcPr>
            <w:tcW w:w="2958" w:type="pct"/>
            <w:shd w:val="clear" w:color="auto" w:fill="auto"/>
            <w:vAlign w:val="center"/>
          </w:tcPr>
          <w:p w14:paraId="7FFDE58A" w14:textId="77777777" w:rsidR="00754AE2" w:rsidRPr="00326270" w:rsidRDefault="00754AE2" w:rsidP="00A11B11">
            <w:pPr>
              <w:widowControl w:val="0"/>
              <w:spacing w:before="40" w:after="40"/>
              <w:ind w:left="57"/>
              <w:rPr>
                <w:rFonts w:ascii="Arial" w:hAnsi="Arial" w:cs="Arial"/>
                <w:sz w:val="20"/>
                <w:szCs w:val="20"/>
              </w:rPr>
            </w:pPr>
            <w:r w:rsidRPr="00326270">
              <w:rPr>
                <w:rFonts w:ascii="Arial" w:hAnsi="Arial" w:cs="Arial"/>
                <w:sz w:val="20"/>
                <w:szCs w:val="20"/>
              </w:rPr>
              <w:t>Ley Electoral y de Partidos Políticos del Estado de Tabasco.</w:t>
            </w:r>
          </w:p>
        </w:tc>
      </w:tr>
      <w:tr w:rsidR="00D63CFC" w:rsidRPr="00326270" w14:paraId="181FBD43" w14:textId="77777777" w:rsidTr="00A11B11">
        <w:trPr>
          <w:trHeight w:val="624"/>
          <w:jc w:val="center"/>
        </w:trPr>
        <w:tc>
          <w:tcPr>
            <w:tcW w:w="2042" w:type="pct"/>
            <w:shd w:val="clear" w:color="auto" w:fill="auto"/>
            <w:vAlign w:val="center"/>
          </w:tcPr>
          <w:p w14:paraId="40C1E181" w14:textId="77777777" w:rsidR="00754AE2" w:rsidRPr="00326270" w:rsidRDefault="00754AE2" w:rsidP="00A11B11">
            <w:pPr>
              <w:widowControl w:val="0"/>
              <w:spacing w:before="40" w:after="40"/>
              <w:ind w:left="57"/>
              <w:jc w:val="right"/>
              <w:rPr>
                <w:rFonts w:ascii="Arial" w:hAnsi="Arial" w:cs="Arial"/>
                <w:b/>
                <w:sz w:val="20"/>
                <w:szCs w:val="20"/>
              </w:rPr>
            </w:pPr>
            <w:r w:rsidRPr="00326270">
              <w:rPr>
                <w:rFonts w:ascii="Arial" w:hAnsi="Arial" w:cs="Arial"/>
                <w:b/>
                <w:sz w:val="20"/>
                <w:szCs w:val="20"/>
              </w:rPr>
              <w:t>Proceso Electoral:</w:t>
            </w:r>
          </w:p>
        </w:tc>
        <w:tc>
          <w:tcPr>
            <w:tcW w:w="2958" w:type="pct"/>
            <w:shd w:val="clear" w:color="auto" w:fill="auto"/>
            <w:vAlign w:val="center"/>
          </w:tcPr>
          <w:p w14:paraId="68F4F31E" w14:textId="77777777" w:rsidR="00754AE2" w:rsidRPr="00326270" w:rsidRDefault="00754AE2" w:rsidP="00A11B11">
            <w:pPr>
              <w:widowControl w:val="0"/>
              <w:spacing w:before="40" w:after="40"/>
              <w:ind w:left="57"/>
              <w:rPr>
                <w:rFonts w:ascii="Arial" w:hAnsi="Arial" w:cs="Arial"/>
                <w:sz w:val="20"/>
                <w:szCs w:val="20"/>
              </w:rPr>
            </w:pPr>
            <w:r w:rsidRPr="00326270">
              <w:rPr>
                <w:rFonts w:ascii="Arial" w:hAnsi="Arial" w:cs="Arial"/>
                <w:sz w:val="20"/>
                <w:szCs w:val="20"/>
              </w:rPr>
              <w:t>Proceso Electoral Local Ordinario 2023-2024.</w:t>
            </w:r>
          </w:p>
        </w:tc>
      </w:tr>
      <w:tr w:rsidR="00D63CFC" w:rsidRPr="00326270" w14:paraId="1BD1722F" w14:textId="77777777" w:rsidTr="00A11B11">
        <w:trPr>
          <w:trHeight w:val="624"/>
          <w:jc w:val="center"/>
        </w:trPr>
        <w:tc>
          <w:tcPr>
            <w:tcW w:w="2042" w:type="pct"/>
            <w:shd w:val="clear" w:color="auto" w:fill="auto"/>
            <w:vAlign w:val="center"/>
          </w:tcPr>
          <w:p w14:paraId="14AC7461" w14:textId="77777777" w:rsidR="00754AE2" w:rsidRPr="00326270" w:rsidRDefault="00754AE2" w:rsidP="00A11B11">
            <w:pPr>
              <w:widowControl w:val="0"/>
              <w:spacing w:before="40" w:after="40"/>
              <w:ind w:left="57"/>
              <w:jc w:val="right"/>
              <w:rPr>
                <w:rFonts w:ascii="Arial" w:hAnsi="Arial" w:cs="Arial"/>
                <w:b/>
                <w:sz w:val="20"/>
                <w:szCs w:val="20"/>
              </w:rPr>
            </w:pPr>
            <w:r w:rsidRPr="00326270">
              <w:rPr>
                <w:rFonts w:ascii="Arial" w:hAnsi="Arial" w:cs="Arial"/>
                <w:b/>
                <w:sz w:val="20"/>
                <w:szCs w:val="20"/>
              </w:rPr>
              <w:t>Secretaría Ejecutiva:</w:t>
            </w:r>
          </w:p>
        </w:tc>
        <w:tc>
          <w:tcPr>
            <w:tcW w:w="2958" w:type="pct"/>
            <w:shd w:val="clear" w:color="auto" w:fill="auto"/>
            <w:vAlign w:val="center"/>
          </w:tcPr>
          <w:p w14:paraId="36F97A31" w14:textId="77777777" w:rsidR="00754AE2" w:rsidRPr="00326270" w:rsidRDefault="00754AE2" w:rsidP="00A11B11">
            <w:pPr>
              <w:widowControl w:val="0"/>
              <w:spacing w:before="40" w:after="40"/>
              <w:ind w:left="57"/>
              <w:rPr>
                <w:rFonts w:ascii="Arial" w:hAnsi="Arial" w:cs="Arial"/>
                <w:sz w:val="20"/>
                <w:szCs w:val="20"/>
              </w:rPr>
            </w:pPr>
            <w:r w:rsidRPr="00326270">
              <w:rPr>
                <w:rFonts w:ascii="Arial" w:hAnsi="Arial" w:cs="Arial"/>
                <w:sz w:val="20"/>
                <w:szCs w:val="20"/>
              </w:rPr>
              <w:t>Secretaría Ejecutiva del Instituto Electoral y de Participación Ciudadana de Tabasco.</w:t>
            </w:r>
          </w:p>
        </w:tc>
      </w:tr>
    </w:tbl>
    <w:p w14:paraId="36B1201B" w14:textId="77777777" w:rsidR="00AA6B91" w:rsidRPr="00326270" w:rsidRDefault="00AA6B91" w:rsidP="004E00FD">
      <w:pPr>
        <w:pStyle w:val="Ttulo1"/>
        <w:rPr>
          <w:rFonts w:ascii="Arial" w:hAnsi="Arial" w:cs="Arial"/>
          <w:sz w:val="24"/>
          <w:szCs w:val="24"/>
        </w:rPr>
      </w:pPr>
      <w:r w:rsidRPr="00326270">
        <w:rPr>
          <w:rFonts w:ascii="Arial" w:hAnsi="Arial" w:cs="Arial"/>
          <w:sz w:val="24"/>
          <w:szCs w:val="24"/>
        </w:rPr>
        <w:t>Antecedentes</w:t>
      </w:r>
    </w:p>
    <w:p w14:paraId="44297384" w14:textId="77777777" w:rsidR="00AA6B91" w:rsidRPr="00293B28" w:rsidRDefault="00AA6B91" w:rsidP="00AA6B91">
      <w:pPr>
        <w:pStyle w:val="Ttulo2"/>
        <w:rPr>
          <w:rFonts w:ascii="Arial" w:hAnsi="Arial" w:cs="Arial"/>
          <w:sz w:val="22"/>
        </w:rPr>
      </w:pPr>
      <w:r w:rsidRPr="00293B28">
        <w:rPr>
          <w:rFonts w:ascii="Arial" w:hAnsi="Arial" w:cs="Arial"/>
          <w:sz w:val="22"/>
        </w:rPr>
        <w:t>Fines del Instituto</w:t>
      </w:r>
    </w:p>
    <w:p w14:paraId="05416247" w14:textId="77777777" w:rsidR="00AA6B91" w:rsidRPr="00326270" w:rsidRDefault="00AA6B91" w:rsidP="00AA6B91">
      <w:pPr>
        <w:rPr>
          <w:rFonts w:ascii="Arial" w:hAnsi="Arial" w:cs="Arial"/>
          <w:sz w:val="22"/>
        </w:rPr>
      </w:pPr>
      <w:r w:rsidRPr="00326270">
        <w:rPr>
          <w:rFonts w:ascii="Arial" w:hAnsi="Arial" w:cs="Arial"/>
          <w:sz w:val="22"/>
        </w:rPr>
        <w:t xml:space="preserve">De conformidad con la fracción I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w:t>
      </w:r>
      <w:r w:rsidRPr="00326270">
        <w:rPr>
          <w:rFonts w:ascii="Arial" w:hAnsi="Arial" w:cs="Arial"/>
          <w:sz w:val="22"/>
        </w:rPr>
        <w:lastRenderedPageBreak/>
        <w:t>interculturalidad y las realizarán con perspectiva de género y enfoque de derechos humanos.</w:t>
      </w:r>
    </w:p>
    <w:p w14:paraId="3863F0AC" w14:textId="77777777" w:rsidR="00AA6B91" w:rsidRPr="00326270" w:rsidRDefault="00AA6B91" w:rsidP="00AA6B91">
      <w:pPr>
        <w:rPr>
          <w:rFonts w:ascii="Arial" w:hAnsi="Arial" w:cs="Arial"/>
          <w:sz w:val="22"/>
        </w:rPr>
      </w:pPr>
      <w:r w:rsidRPr="00326270">
        <w:rPr>
          <w:rFonts w:ascii="Arial" w:hAnsi="Arial" w:cs="Arial"/>
          <w:sz w:val="22"/>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6D14B6C5" w14:textId="77777777" w:rsidR="00AA6B91" w:rsidRPr="00326270" w:rsidRDefault="00AA6B91" w:rsidP="00AA6B91">
      <w:pPr>
        <w:rPr>
          <w:rFonts w:ascii="Arial" w:hAnsi="Arial" w:cs="Arial"/>
          <w:sz w:val="22"/>
        </w:rPr>
      </w:pPr>
      <w:r w:rsidRPr="00326270">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el artículo 101 de la Ley Electoral.</w:t>
      </w:r>
    </w:p>
    <w:p w14:paraId="4EB49DEC" w14:textId="77777777" w:rsidR="00AA6B91" w:rsidRPr="00326270" w:rsidRDefault="00AA6B91" w:rsidP="00AA6B91">
      <w:pPr>
        <w:pStyle w:val="Ttulo2"/>
        <w:rPr>
          <w:rFonts w:ascii="Arial" w:hAnsi="Arial" w:cs="Arial"/>
          <w:sz w:val="22"/>
        </w:rPr>
      </w:pPr>
      <w:r w:rsidRPr="00326270">
        <w:rPr>
          <w:rFonts w:ascii="Arial" w:hAnsi="Arial" w:cs="Arial"/>
          <w:sz w:val="22"/>
        </w:rPr>
        <w:t>Integración del órgano superior de dirección</w:t>
      </w:r>
    </w:p>
    <w:p w14:paraId="021B5868" w14:textId="77777777" w:rsidR="00AA6B91" w:rsidRPr="00326270" w:rsidRDefault="00AA6B91" w:rsidP="00AA6B91">
      <w:pPr>
        <w:rPr>
          <w:rFonts w:ascii="Arial" w:hAnsi="Arial" w:cs="Arial"/>
          <w:sz w:val="22"/>
        </w:rPr>
      </w:pPr>
      <w:r w:rsidRPr="00326270">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6E1B2FF2" w14:textId="77777777" w:rsidR="00AA6B91" w:rsidRPr="00326270" w:rsidRDefault="00AA6B91" w:rsidP="00AA6B91">
      <w:pPr>
        <w:rPr>
          <w:rFonts w:ascii="Arial" w:hAnsi="Arial" w:cs="Arial"/>
          <w:sz w:val="22"/>
        </w:rPr>
      </w:pPr>
      <w:bookmarkStart w:id="0" w:name="_GoBack"/>
      <w:r w:rsidRPr="00326270">
        <w:rPr>
          <w:rFonts w:ascii="Arial" w:hAnsi="Arial" w:cs="Arial"/>
          <w:sz w:val="22"/>
        </w:rPr>
        <w:t>Dicho órgano, de conformidad con los artículos 99 de la Ley General y 107 numeral 1 de la Ley Electoral, disponen que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bookmarkEnd w:id="0"/>
    <w:p w14:paraId="240B5087" w14:textId="627DC9C0" w:rsidR="00AA6B91" w:rsidRDefault="00AA6B91" w:rsidP="00AA6B91">
      <w:pPr>
        <w:rPr>
          <w:rFonts w:ascii="Arial" w:hAnsi="Arial" w:cs="Arial"/>
          <w:sz w:val="22"/>
        </w:rPr>
      </w:pPr>
      <w:r w:rsidRPr="00326270">
        <w:rPr>
          <w:rFonts w:ascii="Arial" w:hAnsi="Arial" w:cs="Arial"/>
          <w:sz w:val="22"/>
        </w:rPr>
        <w:t>No obstante, de acuerdo con el artículo segundo transitorio del decreto 080 de reforma señalado en los antecedentes, se estableció que las y los representantes de los partidos políticos ante el Consejo Estatal no podrán participar en las acciones, actividades y sesiones relacionadas con el Proceso Electoral Extraordinario.</w:t>
      </w:r>
    </w:p>
    <w:p w14:paraId="0EB1C470" w14:textId="77777777" w:rsidR="00326270" w:rsidRPr="00326270" w:rsidRDefault="00326270" w:rsidP="00AA6B91">
      <w:pPr>
        <w:rPr>
          <w:rFonts w:ascii="Arial" w:hAnsi="Arial" w:cs="Arial"/>
          <w:sz w:val="22"/>
        </w:rPr>
      </w:pPr>
    </w:p>
    <w:p w14:paraId="68CA9C1D" w14:textId="2724E7B5" w:rsidR="00754AE2" w:rsidRPr="00326270" w:rsidRDefault="00754AE2" w:rsidP="00754AE2">
      <w:pPr>
        <w:pStyle w:val="Ttulo2"/>
        <w:rPr>
          <w:rFonts w:ascii="Arial" w:hAnsi="Arial" w:cs="Arial"/>
          <w:sz w:val="22"/>
        </w:rPr>
      </w:pPr>
      <w:r w:rsidRPr="00326270">
        <w:rPr>
          <w:rFonts w:ascii="Arial" w:hAnsi="Arial" w:cs="Arial"/>
          <w:sz w:val="22"/>
        </w:rPr>
        <w:t xml:space="preserve">Órgano Interno de Control del Instituto </w:t>
      </w:r>
    </w:p>
    <w:p w14:paraId="3FD3EE8F" w14:textId="77777777" w:rsidR="00754AE2" w:rsidRPr="00326270" w:rsidRDefault="00754AE2" w:rsidP="00754AE2">
      <w:pPr>
        <w:rPr>
          <w:rFonts w:ascii="Arial" w:hAnsi="Arial" w:cs="Arial"/>
          <w:sz w:val="22"/>
        </w:rPr>
      </w:pPr>
      <w:r w:rsidRPr="00326270">
        <w:rPr>
          <w:rFonts w:ascii="Arial" w:hAnsi="Arial" w:cs="Arial"/>
          <w:sz w:val="22"/>
        </w:rPr>
        <w:t>De conformidad con lo dispuesto por el artículo 9, apartado C, inciso g) de la Constitución Local, el Instituto contará con una Contraloría General, dotada de autonomía técnica y de gestión, que tendrá a su cargo la fiscalización de todos los ingresos y egresos del propio Instituto.</w:t>
      </w:r>
    </w:p>
    <w:p w14:paraId="4073BE9D" w14:textId="77777777" w:rsidR="00754AE2" w:rsidRPr="00326270" w:rsidRDefault="00754AE2" w:rsidP="00754AE2">
      <w:pPr>
        <w:pStyle w:val="Ttulo2"/>
        <w:rPr>
          <w:rFonts w:ascii="Arial" w:hAnsi="Arial" w:cs="Arial"/>
          <w:sz w:val="22"/>
        </w:rPr>
      </w:pPr>
      <w:r w:rsidRPr="00326270">
        <w:rPr>
          <w:rFonts w:ascii="Arial" w:hAnsi="Arial" w:cs="Arial"/>
          <w:sz w:val="22"/>
        </w:rPr>
        <w:t>Remisión del Programa Anual de Trabajo de la Contraloría General</w:t>
      </w:r>
    </w:p>
    <w:p w14:paraId="33645EA2" w14:textId="689EB9E8" w:rsidR="00754AE2" w:rsidRDefault="00754AE2" w:rsidP="00293B28">
      <w:pPr>
        <w:spacing w:before="0" w:after="0"/>
        <w:rPr>
          <w:rFonts w:ascii="Arial" w:hAnsi="Arial" w:cs="Arial"/>
          <w:sz w:val="22"/>
        </w:rPr>
      </w:pPr>
      <w:r w:rsidRPr="00326270">
        <w:rPr>
          <w:rFonts w:ascii="Arial" w:hAnsi="Arial" w:cs="Arial"/>
          <w:sz w:val="22"/>
        </w:rPr>
        <w:t>El 1</w:t>
      </w:r>
      <w:r w:rsidR="0000542C" w:rsidRPr="00326270">
        <w:rPr>
          <w:rFonts w:ascii="Arial" w:hAnsi="Arial" w:cs="Arial"/>
          <w:sz w:val="22"/>
        </w:rPr>
        <w:t>2</w:t>
      </w:r>
      <w:r w:rsidRPr="00326270">
        <w:rPr>
          <w:rFonts w:ascii="Arial" w:hAnsi="Arial" w:cs="Arial"/>
          <w:sz w:val="22"/>
        </w:rPr>
        <w:t xml:space="preserve"> de diciembre de 2024, mediante oficio CG/</w:t>
      </w:r>
      <w:r w:rsidR="0000542C" w:rsidRPr="00326270">
        <w:rPr>
          <w:rFonts w:ascii="Arial" w:hAnsi="Arial" w:cs="Arial"/>
          <w:sz w:val="22"/>
        </w:rPr>
        <w:t>424</w:t>
      </w:r>
      <w:r w:rsidRPr="00326270">
        <w:rPr>
          <w:rFonts w:ascii="Arial" w:hAnsi="Arial" w:cs="Arial"/>
          <w:sz w:val="22"/>
        </w:rPr>
        <w:t>/2023, la Contralora General remitió a la Presidencia del Instituto, el Programa Anual de Trabajo 2024 de la propia Contraloría General; para la deliberación y en su caso, aprobación por parte del Consejo Estatal, de conformidad con los artículos 377 y 381 numeral 1, fracción XVIII de la Ley Electoral.</w:t>
      </w:r>
    </w:p>
    <w:p w14:paraId="2C4EDA04" w14:textId="0A53BCDA" w:rsidR="00293B28" w:rsidRDefault="00293B28" w:rsidP="00293B28">
      <w:pPr>
        <w:spacing w:before="0" w:after="0"/>
        <w:rPr>
          <w:rFonts w:ascii="Arial" w:hAnsi="Arial" w:cs="Arial"/>
          <w:sz w:val="22"/>
        </w:rPr>
      </w:pPr>
    </w:p>
    <w:p w14:paraId="4980A247" w14:textId="77777777" w:rsidR="00293B28" w:rsidRDefault="00293B28" w:rsidP="00293B28">
      <w:pPr>
        <w:spacing w:before="0" w:after="0"/>
        <w:rPr>
          <w:rFonts w:ascii="Arial" w:hAnsi="Arial" w:cs="Arial"/>
          <w:sz w:val="22"/>
        </w:rPr>
      </w:pPr>
    </w:p>
    <w:p w14:paraId="5109A376" w14:textId="77777777" w:rsidR="00293B28" w:rsidRDefault="00293B28" w:rsidP="00293B28">
      <w:pPr>
        <w:spacing w:before="0" w:after="0"/>
        <w:rPr>
          <w:rFonts w:ascii="Arial" w:hAnsi="Arial" w:cs="Arial"/>
          <w:sz w:val="22"/>
        </w:rPr>
      </w:pPr>
    </w:p>
    <w:p w14:paraId="2C8F3F46" w14:textId="478B66B5" w:rsidR="00754AE2" w:rsidRDefault="00D63CFC" w:rsidP="00293B28">
      <w:pPr>
        <w:pStyle w:val="Ttulo1"/>
        <w:spacing w:before="0" w:after="0"/>
        <w:rPr>
          <w:rFonts w:ascii="Arial" w:hAnsi="Arial" w:cs="Arial"/>
          <w:sz w:val="24"/>
          <w:szCs w:val="24"/>
        </w:rPr>
      </w:pPr>
      <w:r w:rsidRPr="00326270">
        <w:rPr>
          <w:rFonts w:ascii="Arial" w:hAnsi="Arial" w:cs="Arial"/>
          <w:sz w:val="24"/>
          <w:szCs w:val="24"/>
        </w:rPr>
        <w:t>Considerando</w:t>
      </w:r>
    </w:p>
    <w:p w14:paraId="49EFF66F" w14:textId="77777777" w:rsidR="00293B28" w:rsidRPr="00293B28" w:rsidRDefault="00293B28" w:rsidP="00293B28">
      <w:pPr>
        <w:spacing w:before="0" w:after="0"/>
      </w:pPr>
    </w:p>
    <w:p w14:paraId="6E67B3C1" w14:textId="77777777" w:rsidR="00D63CFC" w:rsidRPr="00326270" w:rsidRDefault="00D63CFC" w:rsidP="00293B28">
      <w:pPr>
        <w:pStyle w:val="Ttulo2"/>
        <w:spacing w:before="0" w:after="0"/>
        <w:rPr>
          <w:rFonts w:ascii="Arial" w:hAnsi="Arial" w:cs="Arial"/>
          <w:sz w:val="22"/>
        </w:rPr>
      </w:pPr>
      <w:r w:rsidRPr="00326270">
        <w:rPr>
          <w:rFonts w:ascii="Arial" w:hAnsi="Arial" w:cs="Arial"/>
          <w:sz w:val="22"/>
        </w:rPr>
        <w:t>Competencia del Consejo Estatal</w:t>
      </w:r>
    </w:p>
    <w:p w14:paraId="1B67DE0A" w14:textId="77777777" w:rsidR="00D63CFC" w:rsidRPr="00326270" w:rsidRDefault="00D63CFC" w:rsidP="00D63CFC">
      <w:pPr>
        <w:suppressLineNumbers/>
        <w:rPr>
          <w:rFonts w:ascii="Arial" w:hAnsi="Arial" w:cs="Arial"/>
          <w:sz w:val="22"/>
        </w:rPr>
      </w:pPr>
      <w:r w:rsidRPr="00326270">
        <w:rPr>
          <w:rFonts w:ascii="Arial" w:hAnsi="Arial" w:cs="Arial"/>
          <w:sz w:val="22"/>
        </w:rPr>
        <w:t>Que, de la interpretación sistemática y funcional a los artículos 115 numeral 1, fracción XXXIX y 381 numeral 1, fracción XVIII de la Ley Electoral, corresponde al Consejo Estatal aprobar el Programa Anual de Trabajo, previa propuesta que presente la Contraloría General.</w:t>
      </w:r>
    </w:p>
    <w:p w14:paraId="7ABDE0E6" w14:textId="1571B7FC" w:rsidR="00D63CFC" w:rsidRDefault="00D63CFC" w:rsidP="00D63CFC">
      <w:pPr>
        <w:suppressLineNumbers/>
        <w:rPr>
          <w:rFonts w:ascii="Arial" w:hAnsi="Arial" w:cs="Arial"/>
          <w:sz w:val="22"/>
        </w:rPr>
      </w:pPr>
      <w:r w:rsidRPr="00326270">
        <w:rPr>
          <w:rFonts w:ascii="Arial" w:hAnsi="Arial" w:cs="Arial"/>
          <w:sz w:val="22"/>
        </w:rPr>
        <w:t>Acorde a lo anterior, el artículo 115 numeral 2 de la Ley Electoral,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46AC0BA6" w14:textId="77777777" w:rsidR="00293B28" w:rsidRPr="00326270" w:rsidRDefault="00293B28" w:rsidP="00D63CFC">
      <w:pPr>
        <w:suppressLineNumbers/>
        <w:rPr>
          <w:rFonts w:ascii="Arial" w:hAnsi="Arial" w:cs="Arial"/>
          <w:sz w:val="22"/>
        </w:rPr>
      </w:pPr>
    </w:p>
    <w:p w14:paraId="6169CB64" w14:textId="77777777" w:rsidR="00D63CFC" w:rsidRPr="00326270" w:rsidRDefault="00D63CFC" w:rsidP="00D63CFC">
      <w:pPr>
        <w:pStyle w:val="Ttulo2"/>
        <w:rPr>
          <w:rFonts w:ascii="Arial" w:hAnsi="Arial" w:cs="Arial"/>
          <w:sz w:val="22"/>
        </w:rPr>
      </w:pPr>
      <w:r w:rsidRPr="00326270">
        <w:rPr>
          <w:rFonts w:ascii="Arial" w:hAnsi="Arial" w:cs="Arial"/>
          <w:sz w:val="22"/>
        </w:rPr>
        <w:lastRenderedPageBreak/>
        <w:t>Contraloría General</w:t>
      </w:r>
    </w:p>
    <w:p w14:paraId="32ACB4A3" w14:textId="77777777" w:rsidR="00D63CFC" w:rsidRPr="00326270" w:rsidRDefault="00D63CFC" w:rsidP="00D63CFC">
      <w:pPr>
        <w:suppressLineNumbers/>
        <w:rPr>
          <w:rFonts w:ascii="Arial" w:hAnsi="Arial" w:cs="Arial"/>
          <w:sz w:val="22"/>
        </w:rPr>
      </w:pPr>
      <w:r w:rsidRPr="00326270">
        <w:rPr>
          <w:rFonts w:ascii="Arial" w:hAnsi="Arial" w:cs="Arial"/>
          <w:sz w:val="22"/>
        </w:rPr>
        <w:t>Que, de conformidad con el artículo 2, fracción XXI de la Ley General de Responsabilidades Administrativas, los órganos internos de control son las unidades administrativas a cargo de promover, evaluar y fortalecer el buen funcionamiento del control interno en los entes públicos, así como aquellas otras instancias de los órganos constitucionales autónomos que, conforme a sus respectivas leyes, sean competentes para aplicar las leyes en materia de responsabilidades de servidores públicos.</w:t>
      </w:r>
    </w:p>
    <w:p w14:paraId="269AADFA" w14:textId="77777777" w:rsidR="00D63CFC" w:rsidRPr="00326270" w:rsidRDefault="00D63CFC" w:rsidP="00D63CFC">
      <w:pPr>
        <w:suppressLineNumbers/>
        <w:rPr>
          <w:rFonts w:ascii="Arial" w:hAnsi="Arial" w:cs="Arial"/>
          <w:sz w:val="22"/>
        </w:rPr>
      </w:pPr>
      <w:r w:rsidRPr="00326270">
        <w:rPr>
          <w:rFonts w:ascii="Arial" w:hAnsi="Arial" w:cs="Arial"/>
          <w:sz w:val="22"/>
        </w:rPr>
        <w:t>En ese contexto, los artículos 377 y 378, numeral 3 de la Ley Electoral, refieren que la Contraloría General es el órgano de control interno del Instituto, que tiene a su cargo, entre otras actividades, la fiscalización de todos los ingresos y egresos del propio Instituto; contando con la estructura orgánica, personal y recursos que apruebe el Consejo Estatal, a propuesta de su titular.</w:t>
      </w:r>
    </w:p>
    <w:p w14:paraId="171124B8" w14:textId="77777777" w:rsidR="00D63CFC" w:rsidRPr="00326270" w:rsidRDefault="00D63CFC" w:rsidP="00D63CFC">
      <w:pPr>
        <w:pStyle w:val="Ttulo2"/>
        <w:rPr>
          <w:rFonts w:ascii="Arial" w:hAnsi="Arial" w:cs="Arial"/>
          <w:sz w:val="22"/>
        </w:rPr>
      </w:pPr>
      <w:r w:rsidRPr="00326270">
        <w:rPr>
          <w:rFonts w:ascii="Arial" w:hAnsi="Arial" w:cs="Arial"/>
          <w:sz w:val="22"/>
        </w:rPr>
        <w:t>Facultades de la Contraloría General</w:t>
      </w:r>
    </w:p>
    <w:p w14:paraId="07BA529B" w14:textId="77777777" w:rsidR="00D63CFC" w:rsidRPr="00326270" w:rsidRDefault="00D63CFC" w:rsidP="00D63CFC">
      <w:pPr>
        <w:suppressLineNumbers/>
        <w:rPr>
          <w:rFonts w:ascii="Arial" w:hAnsi="Arial" w:cs="Arial"/>
          <w:sz w:val="22"/>
        </w:rPr>
      </w:pPr>
      <w:r w:rsidRPr="00326270">
        <w:rPr>
          <w:rFonts w:ascii="Arial" w:hAnsi="Arial" w:cs="Arial"/>
          <w:sz w:val="22"/>
        </w:rPr>
        <w:t>Que, el artículo 381 numeral 1 de la Ley Electoral establece que la Contraloría General tendrá las siguientes facultades:</w:t>
      </w:r>
    </w:p>
    <w:p w14:paraId="11FFBAC9"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Fijar los criterios para la realización de las auditorías, procedimientos, métodos y sistemas necesarios para la revisión y fiscalización de los recursos a cargo de las áreas y órganos del Instituto;</w:t>
      </w:r>
    </w:p>
    <w:p w14:paraId="1AAD668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Establecer las normas, procedimientos, métodos y sistemas de contabilidad y de archivo, de los libros y documentos justificativos y comprobatorios del ingreso y del gasto, así como aquellos elementos que permitan la práctica idónea de las auditorías y revisiones, que realice en el cumplimiento de sus funciones;</w:t>
      </w:r>
    </w:p>
    <w:p w14:paraId="0942CA52"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Evaluar los informes de avance de la gestión financiera respecto de los programas autorizados y los relativos a procesos concluidos;</w:t>
      </w:r>
    </w:p>
    <w:p w14:paraId="625862A3"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Evaluar el cumplimiento de los objetivos y metas fijadas en los programas de naturaleza administrativa contenidos en el presupuesto de egresos del Instituto Estatal;</w:t>
      </w:r>
    </w:p>
    <w:p w14:paraId="73CCDF8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 xml:space="preserve">Verificar que las diversas áreas administrativas del Instituto Estatal que hubieren recibido, manejado, administrado o ejercido recursos, lo hagan conforme a la normatividad aplicable, los programas aprobados y montos autorizados, así </w:t>
      </w:r>
      <w:r w:rsidRPr="00326270">
        <w:rPr>
          <w:rFonts w:ascii="Arial" w:hAnsi="Arial" w:cs="Arial"/>
          <w:sz w:val="22"/>
        </w:rPr>
        <w:lastRenderedPageBreak/>
        <w:t>como, en el caso de los egresos, con cargo a las partidas correspondientes y con apego a las disposiciones legales, reglamentarias y administrativas conducentes;</w:t>
      </w:r>
    </w:p>
    <w:p w14:paraId="15A92A59"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Revisar que las operaciones presupuestales que realice el Instituto Estatal se hagan con apego a las disposiciones legales y administrativas aplicables a estas materias;</w:t>
      </w:r>
    </w:p>
    <w:p w14:paraId="15CA513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Verificar las obras, bienes adquiridos o arrendados y servicios contratados, para comprobar que las inversiones y gastos autorizados se han aplicado, legal y eficientemente, al logro de los objetivos y metas de los programas aprobados;</w:t>
      </w:r>
    </w:p>
    <w:p w14:paraId="0D9A0C90"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Requerir a terceros que hubieran contratado bienes o servicios con el Instituto la información relacionada con la documentación justificativa y comprobatoria respectiva, a efecto de realizar las compulsas que correspondan;</w:t>
      </w:r>
    </w:p>
    <w:p w14:paraId="69E0AD87"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Solicitar y obtener la información necesaria para el cumplimiento de sus funciones. Por lo que hace a la información relativa a las operaciones de cualquier tipo proporcionada por las instituciones de crédito, les será aplicable a todos los servidores públicos de la propia Contraloría General, así como a los profesionales contratados para la práctica de auditorías, la obligación de guardar la reserva a que aluden las disposiciones normativas en materia de transparencia y acceso a la información pública;</w:t>
      </w:r>
    </w:p>
    <w:p w14:paraId="6B6DFD3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Emitir los lineamientos, instruir, desahogar y resolver los procedimientos administrativos respecto de las quejas que se presenten en contra de los servidores públicos del Instituto que se encuentren en el supuesto del numeral 3 del artículo 368 de la Ley Electoral, y llevar el registro de los servidores públicos sancionados;</w:t>
      </w:r>
    </w:p>
    <w:p w14:paraId="75990E42"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Investigar, en el ámbito de su competencia, los actos u omisiones que impliquen alguna irregularidad o conducta ilícita en el ingreso, egreso, manejo, custodia y aplicación de fondos y recursos del Instituto;</w:t>
      </w:r>
    </w:p>
    <w:p w14:paraId="0BC4F8FC"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Recibir denuncias o quejas directamente relacionadas con el uso y disposición de los ingresos y recursos del Instituto por parte de los servidores públicos del mismo y desahogar los procedimientos a que haya lugar;</w:t>
      </w:r>
    </w:p>
    <w:p w14:paraId="1E908A87"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Efectuar visitas a las sedes físicas de las áreas y órganos del Instituto para solicitar la exhibición de los libros y papeles indispensables para la realización de sus investigaciones, sujetándose a las formalidades respectivas;</w:t>
      </w:r>
    </w:p>
    <w:p w14:paraId="2A1F329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lastRenderedPageBreak/>
        <w:t>Establecer los mecanismos de orientación y cursos de capacitación que resulten necesarios para que los servidores públicos del Instituto cumplan adecuadamente con sus responsabilidades administrativas;</w:t>
      </w:r>
    </w:p>
    <w:p w14:paraId="09E57526"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Formular pliegos de observaciones en materia administrativa;</w:t>
      </w:r>
    </w:p>
    <w:p w14:paraId="42CBEA8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Determinar los daños y perjuicios que afecten al Instituto en su patrimonio y fincar directamente a los responsables las indemnizaciones y sanciones pecuniarias correspondientes;</w:t>
      </w:r>
    </w:p>
    <w:p w14:paraId="23F2027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Fincar las responsabilidades e imponer las sanciones en términos de los lineamientos respectivos;</w:t>
      </w:r>
    </w:p>
    <w:p w14:paraId="1655172D"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Presentar a la aprobación del Consejo Estatal sus programas anuales de trabajo;</w:t>
      </w:r>
    </w:p>
    <w:p w14:paraId="5966D690"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Presentar al Consejo Estatal los informes previo y anual de resultados de su gestión, y acudir ante el mismo cuando así lo requiera la Consejera o Consejero Presidente;</w:t>
      </w:r>
    </w:p>
    <w:p w14:paraId="59423B83"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Participar, a través de su titular, con voz, pero sin voto, en las sesiones de la Junta Ejecutiva del Instituto, cuando por motivo del ejercicio de sus facultades así lo considere necesario la Consejera o Consejero Presidente;</w:t>
      </w:r>
    </w:p>
    <w:p w14:paraId="5CF1EB54"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Recibir y resguardar las declaraciones patrimoniales que deban presentar los servidores públicos del Instituto, a partir del nivel de jefe de departamento, conforme a los formatos y procedimientos que establezca la propia Contraloría General. Serán aplicables en lo conducente las normas establecidas en la ley de la materia;</w:t>
      </w:r>
    </w:p>
    <w:p w14:paraId="47DDCE15" w14:textId="77777777" w:rsidR="00D63CFC" w:rsidRPr="00326270" w:rsidRDefault="00D63CFC" w:rsidP="00D63CFC">
      <w:pPr>
        <w:pStyle w:val="Prrafodelista"/>
        <w:numPr>
          <w:ilvl w:val="0"/>
          <w:numId w:val="1"/>
        </w:numPr>
        <w:suppressLineNumbers/>
        <w:ind w:left="680" w:hanging="680"/>
        <w:contextualSpacing w:val="0"/>
        <w:rPr>
          <w:rFonts w:ascii="Arial" w:hAnsi="Arial" w:cs="Arial"/>
          <w:sz w:val="22"/>
        </w:rPr>
      </w:pPr>
      <w:r w:rsidRPr="00326270">
        <w:rPr>
          <w:rFonts w:ascii="Arial" w:hAnsi="Arial" w:cs="Arial"/>
          <w:sz w:val="22"/>
        </w:rPr>
        <w:t>Intervenir en los procesos de entrega-recepción por inicio o conclusión de encargo de los servidores públicos que corresponda.</w:t>
      </w:r>
    </w:p>
    <w:p w14:paraId="2337C9EE" w14:textId="77777777" w:rsidR="00D63CFC" w:rsidRPr="00326270" w:rsidRDefault="00D63CFC" w:rsidP="00D63CFC">
      <w:pPr>
        <w:pStyle w:val="Ttulo2"/>
        <w:rPr>
          <w:rFonts w:ascii="Arial" w:hAnsi="Arial" w:cs="Arial"/>
          <w:sz w:val="22"/>
        </w:rPr>
      </w:pPr>
      <w:r w:rsidRPr="00326270">
        <w:rPr>
          <w:rFonts w:ascii="Arial" w:hAnsi="Arial" w:cs="Arial"/>
          <w:sz w:val="22"/>
        </w:rPr>
        <w:t>Programa Anual de Trabajo 2025</w:t>
      </w:r>
    </w:p>
    <w:p w14:paraId="4116056E" w14:textId="14AE36FE" w:rsidR="00B05834" w:rsidRPr="00326270" w:rsidRDefault="00B05834" w:rsidP="00D63CFC">
      <w:pPr>
        <w:suppressLineNumbers/>
        <w:rPr>
          <w:rFonts w:ascii="Arial" w:hAnsi="Arial" w:cs="Arial"/>
          <w:sz w:val="22"/>
        </w:rPr>
      </w:pPr>
      <w:r w:rsidRPr="00326270">
        <w:rPr>
          <w:rFonts w:ascii="Arial" w:hAnsi="Arial" w:cs="Arial"/>
          <w:sz w:val="22"/>
        </w:rPr>
        <w:t xml:space="preserve">Que, en el ejercicio de sus atribuciones, la Contraloría General en cumplimiento a los artículos 377 y 381 numeral 1, fracción XVIII, de la Ley Electoral, presentó su propuesta relativa al Programa Anual de Trabajo 2025. </w:t>
      </w:r>
    </w:p>
    <w:p w14:paraId="34109AE0" w14:textId="2E679C9C" w:rsidR="00B05834" w:rsidRPr="00326270" w:rsidRDefault="00B05834" w:rsidP="00B05834">
      <w:pPr>
        <w:suppressLineNumbers/>
        <w:rPr>
          <w:rFonts w:ascii="Arial" w:hAnsi="Arial" w:cs="Arial"/>
          <w:sz w:val="22"/>
        </w:rPr>
      </w:pPr>
      <w:r w:rsidRPr="00326270">
        <w:rPr>
          <w:rFonts w:ascii="Arial" w:hAnsi="Arial" w:cs="Arial"/>
          <w:sz w:val="22"/>
        </w:rPr>
        <w:t xml:space="preserve">En ese contexto, el Programa formulado por la Contraloría General refuerza el compromiso con la supervisión, fiscalización, evaluación de procesos, criterios, métodos y procedimientos necesarios para la realización de auditorías, revisiones, evaluaciones </w:t>
      </w:r>
      <w:r w:rsidRPr="00326270">
        <w:rPr>
          <w:rFonts w:ascii="Arial" w:hAnsi="Arial" w:cs="Arial"/>
          <w:sz w:val="22"/>
        </w:rPr>
        <w:lastRenderedPageBreak/>
        <w:t>y demás acciones orientadas a promover la eficiencia, legalidad, transparencia y la rendición de cuentas del propio Instituto.</w:t>
      </w:r>
    </w:p>
    <w:p w14:paraId="7C1263BB" w14:textId="77777777" w:rsidR="00B05834" w:rsidRPr="00326270" w:rsidRDefault="00B05834" w:rsidP="00B05834">
      <w:pPr>
        <w:suppressLineNumbers/>
        <w:rPr>
          <w:rFonts w:ascii="Arial" w:hAnsi="Arial" w:cs="Arial"/>
          <w:sz w:val="22"/>
        </w:rPr>
      </w:pPr>
      <w:r w:rsidRPr="00326270">
        <w:rPr>
          <w:rFonts w:ascii="Arial" w:hAnsi="Arial" w:cs="Arial"/>
          <w:sz w:val="22"/>
        </w:rPr>
        <w:t>Además, integra los proyectos y actividades que se llevarán a cabo en el transcurso del ejercicio 2025, estableciendo metas e indicadores que serán referentes para el seguimiento y la evaluación, proporcionando un marco claro que facilita la gestión del tiempo para que todas las tareas se lleven a cabo de manera eficiente y oportuna.</w:t>
      </w:r>
    </w:p>
    <w:p w14:paraId="1FB17EE6" w14:textId="0D34B2A5" w:rsidR="00B05834" w:rsidRPr="00326270" w:rsidRDefault="00B05834" w:rsidP="00B05834">
      <w:pPr>
        <w:suppressLineNumbers/>
        <w:rPr>
          <w:rFonts w:ascii="Arial" w:hAnsi="Arial" w:cs="Arial"/>
          <w:sz w:val="22"/>
        </w:rPr>
      </w:pPr>
      <w:r w:rsidRPr="00326270">
        <w:rPr>
          <w:rFonts w:ascii="Arial" w:hAnsi="Arial" w:cs="Arial"/>
          <w:sz w:val="22"/>
        </w:rPr>
        <w:t>De acuerdo con el órgano de control, para la elaboración del Programa Anual de Trabajo 2025, se utilizó el diseño de la Matriz de Indicadores para Resultados (MIR), una herramienta que se implementa en el marco de la Gestión para Resultados (</w:t>
      </w:r>
      <w:proofErr w:type="spellStart"/>
      <w:r w:rsidRPr="00326270">
        <w:rPr>
          <w:rFonts w:ascii="Arial" w:hAnsi="Arial" w:cs="Arial"/>
          <w:sz w:val="22"/>
        </w:rPr>
        <w:t>GpR</w:t>
      </w:r>
      <w:proofErr w:type="spellEnd"/>
      <w:r w:rsidRPr="00326270">
        <w:rPr>
          <w:rFonts w:ascii="Arial" w:hAnsi="Arial" w:cs="Arial"/>
          <w:sz w:val="22"/>
        </w:rPr>
        <w:t>), así como el Presupuesto Basado en Resultados (PBR) y el Sistema de Evaluación del Desempeño (SED), en transversalidad con el Plan Estratégico de la Contraloría General 2025-2027. Además, dicho programa planifica las acciones de la Contraloría General, con el propósito de facilitar un seguimiento continuo que permita medir la efectividad de las intervenciones, optimizando los recursos y garantizando que los resultados sean acordes con las metas establecidas.</w:t>
      </w:r>
    </w:p>
    <w:p w14:paraId="2E4A822F" w14:textId="1BBE1DC0" w:rsidR="00D63CFC" w:rsidRPr="00326270" w:rsidRDefault="00D63CFC" w:rsidP="00D63CFC">
      <w:pPr>
        <w:suppressLineNumbers/>
        <w:rPr>
          <w:rFonts w:ascii="Arial" w:hAnsi="Arial" w:cs="Arial"/>
          <w:sz w:val="22"/>
        </w:rPr>
      </w:pPr>
      <w:r w:rsidRPr="00326270">
        <w:rPr>
          <w:rFonts w:ascii="Arial" w:hAnsi="Arial" w:cs="Arial"/>
          <w:sz w:val="22"/>
        </w:rPr>
        <w:t>Con ello, la Contraloría General cumple con la obligación prevista en el artículo 381 numeral 1, fracción XVIII de la Ley Electoral, de presentar para la aprobación del Consejo Estatal, su plan anual de trabajo, en el que se precisan los objetivos y metas a alcanzar en el ejercicio 202</w:t>
      </w:r>
      <w:r w:rsidR="00B05834" w:rsidRPr="00326270">
        <w:rPr>
          <w:rFonts w:ascii="Arial" w:hAnsi="Arial" w:cs="Arial"/>
          <w:sz w:val="22"/>
        </w:rPr>
        <w:t>5</w:t>
      </w:r>
      <w:r w:rsidRPr="00326270">
        <w:rPr>
          <w:rFonts w:ascii="Arial" w:hAnsi="Arial" w:cs="Arial"/>
          <w:sz w:val="22"/>
        </w:rPr>
        <w:t>.</w:t>
      </w:r>
    </w:p>
    <w:p w14:paraId="7B710CED" w14:textId="77777777" w:rsidR="00D63CFC" w:rsidRPr="00326270" w:rsidRDefault="00D63CFC" w:rsidP="00D63CFC">
      <w:pPr>
        <w:suppressLineNumbers/>
        <w:rPr>
          <w:rFonts w:ascii="Arial" w:hAnsi="Arial" w:cs="Arial"/>
          <w:sz w:val="22"/>
        </w:rPr>
      </w:pPr>
      <w:r w:rsidRPr="00326270">
        <w:rPr>
          <w:rFonts w:ascii="Arial" w:hAnsi="Arial" w:cs="Arial"/>
          <w:sz w:val="22"/>
        </w:rPr>
        <w:t>Sobre la base de las consideraciones señaladas, este Consejo Estatal emite el siguiente:</w:t>
      </w:r>
    </w:p>
    <w:p w14:paraId="3B09E7B8" w14:textId="7C378AD2" w:rsidR="00D63CFC" w:rsidRDefault="00D63CFC" w:rsidP="004E00FD">
      <w:pPr>
        <w:pStyle w:val="Ttulo1"/>
        <w:rPr>
          <w:rFonts w:ascii="Arial" w:hAnsi="Arial" w:cs="Arial"/>
          <w:sz w:val="24"/>
          <w:szCs w:val="24"/>
        </w:rPr>
      </w:pPr>
      <w:r w:rsidRPr="00326270">
        <w:rPr>
          <w:rFonts w:ascii="Arial" w:hAnsi="Arial" w:cs="Arial"/>
          <w:sz w:val="24"/>
          <w:szCs w:val="24"/>
        </w:rPr>
        <w:t>Acuerdo</w:t>
      </w:r>
    </w:p>
    <w:p w14:paraId="79D592D8" w14:textId="77777777" w:rsidR="00293B28" w:rsidRPr="00293B28" w:rsidRDefault="00293B28" w:rsidP="00293B28"/>
    <w:p w14:paraId="060B4EFF" w14:textId="742BE7B7" w:rsidR="00D63CFC" w:rsidRPr="00326270" w:rsidRDefault="00D63CFC" w:rsidP="00D63CFC">
      <w:pPr>
        <w:suppressLineNumbers/>
        <w:rPr>
          <w:rFonts w:ascii="Arial" w:hAnsi="Arial" w:cs="Arial"/>
          <w:sz w:val="22"/>
        </w:rPr>
      </w:pPr>
      <w:r w:rsidRPr="00293B28">
        <w:rPr>
          <w:rFonts w:ascii="Arial" w:hAnsi="Arial" w:cs="Arial"/>
          <w:b/>
          <w:sz w:val="22"/>
        </w:rPr>
        <w:t>Primero.</w:t>
      </w:r>
      <w:r w:rsidRPr="00293B28">
        <w:rPr>
          <w:rFonts w:ascii="Arial" w:hAnsi="Arial" w:cs="Arial"/>
          <w:sz w:val="22"/>
        </w:rPr>
        <w:t xml:space="preserve"> Se aprueba el Programa Anual de Trabajo 2025 de la Contraloría General del Instituto Electoral y de Participación Ciudadana de Tabasco, anexo a</w:t>
      </w:r>
      <w:r w:rsidR="00626F9E" w:rsidRPr="00293B28">
        <w:rPr>
          <w:rFonts w:ascii="Arial" w:hAnsi="Arial" w:cs="Arial"/>
          <w:sz w:val="22"/>
        </w:rPr>
        <w:t>l presente</w:t>
      </w:r>
      <w:r w:rsidRPr="00293B28">
        <w:rPr>
          <w:rFonts w:ascii="Arial" w:hAnsi="Arial" w:cs="Arial"/>
          <w:sz w:val="22"/>
        </w:rPr>
        <w:t xml:space="preserve"> acuerdo</w:t>
      </w:r>
      <w:r w:rsidRPr="00326270">
        <w:rPr>
          <w:rFonts w:ascii="Arial" w:hAnsi="Arial" w:cs="Arial"/>
          <w:sz w:val="22"/>
        </w:rPr>
        <w:t>.</w:t>
      </w:r>
    </w:p>
    <w:p w14:paraId="7AE2353F" w14:textId="77777777" w:rsidR="00D63CFC" w:rsidRPr="00326270" w:rsidRDefault="00D63CFC" w:rsidP="00D63CFC">
      <w:pPr>
        <w:suppressLineNumbers/>
        <w:rPr>
          <w:rFonts w:ascii="Arial" w:hAnsi="Arial" w:cs="Arial"/>
          <w:sz w:val="22"/>
        </w:rPr>
      </w:pPr>
      <w:r w:rsidRPr="00326270">
        <w:rPr>
          <w:rFonts w:ascii="Arial" w:hAnsi="Arial" w:cs="Arial"/>
          <w:b/>
          <w:sz w:val="22"/>
        </w:rPr>
        <w:t>Segundo.</w:t>
      </w:r>
      <w:r w:rsidRPr="00326270">
        <w:rPr>
          <w:rFonts w:ascii="Arial" w:hAnsi="Arial" w:cs="Arial"/>
          <w:sz w:val="22"/>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53219CF5" w14:textId="77777777" w:rsidR="00D63CFC" w:rsidRPr="00326270" w:rsidRDefault="00D63CFC" w:rsidP="00D63CFC">
      <w:pPr>
        <w:suppressLineNumbers/>
        <w:rPr>
          <w:rFonts w:ascii="Arial" w:hAnsi="Arial" w:cs="Arial"/>
          <w:sz w:val="22"/>
        </w:rPr>
      </w:pPr>
      <w:r w:rsidRPr="00326270">
        <w:rPr>
          <w:rFonts w:ascii="Arial" w:hAnsi="Arial" w:cs="Arial"/>
          <w:b/>
          <w:sz w:val="22"/>
        </w:rPr>
        <w:lastRenderedPageBreak/>
        <w:t>Tercero.</w:t>
      </w:r>
      <w:r w:rsidRPr="00326270">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1FB55C69" w14:textId="52E2E26A" w:rsidR="009875D3" w:rsidRDefault="009875D3" w:rsidP="009875D3">
      <w:pPr>
        <w:spacing w:line="288" w:lineRule="auto"/>
        <w:rPr>
          <w:rFonts w:ascii="Arial" w:hAnsi="Arial" w:cs="Arial"/>
          <w:sz w:val="22"/>
        </w:rPr>
      </w:pPr>
      <w:r w:rsidRPr="00326270">
        <w:rPr>
          <w:rFonts w:ascii="Arial" w:hAnsi="Arial" w:cs="Arial"/>
          <w:sz w:val="22"/>
        </w:rPr>
        <w:t xml:space="preserve">El presente acuerdo </w:t>
      </w:r>
      <w:r w:rsidR="004C3515" w:rsidRPr="004C3515">
        <w:rPr>
          <w:rFonts w:ascii="Arial" w:hAnsi="Arial" w:cs="Arial"/>
          <w:sz w:val="22"/>
        </w:rPr>
        <w:t>fue aprobado</w:t>
      </w:r>
      <w:r w:rsidR="004C3515">
        <w:rPr>
          <w:rFonts w:ascii="Arial" w:hAnsi="Arial" w:cs="Arial"/>
        </w:rPr>
        <w:t xml:space="preserve"> </w:t>
      </w:r>
      <w:r w:rsidRPr="00326270">
        <w:rPr>
          <w:rFonts w:ascii="Arial" w:hAnsi="Arial" w:cs="Arial"/>
          <w:sz w:val="22"/>
        </w:rPr>
        <w:t>en sesión</w:t>
      </w:r>
      <w:r w:rsidR="005D19BA">
        <w:rPr>
          <w:rFonts w:ascii="Arial" w:hAnsi="Arial" w:cs="Arial"/>
          <w:sz w:val="22"/>
        </w:rPr>
        <w:t xml:space="preserve"> extraordinaria </w:t>
      </w:r>
      <w:r w:rsidRPr="00326270">
        <w:rPr>
          <w:rFonts w:ascii="Arial" w:hAnsi="Arial" w:cs="Arial"/>
          <w:sz w:val="22"/>
        </w:rPr>
        <w:t xml:space="preserve">efectuada el </w:t>
      </w:r>
      <w:r w:rsidR="005D19BA">
        <w:rPr>
          <w:rFonts w:ascii="Arial" w:hAnsi="Arial" w:cs="Arial"/>
          <w:sz w:val="22"/>
        </w:rPr>
        <w:t>diecisiete</w:t>
      </w:r>
      <w:r w:rsidRPr="00326270">
        <w:rPr>
          <w:rFonts w:ascii="Arial" w:hAnsi="Arial" w:cs="Arial"/>
          <w:sz w:val="22"/>
        </w:rPr>
        <w:t xml:space="preserve"> de </w:t>
      </w:r>
      <w:r w:rsidR="005D19BA">
        <w:rPr>
          <w:rFonts w:ascii="Arial" w:hAnsi="Arial" w:cs="Arial"/>
          <w:sz w:val="22"/>
        </w:rPr>
        <w:t>enero</w:t>
      </w:r>
      <w:r w:rsidRPr="00326270">
        <w:rPr>
          <w:rFonts w:ascii="Arial" w:hAnsi="Arial" w:cs="Arial"/>
          <w:sz w:val="22"/>
        </w:rPr>
        <w:t xml:space="preserve"> del año dos mil veinticinco, por votación</w:t>
      </w:r>
      <w:r w:rsidR="005D19BA">
        <w:rPr>
          <w:rFonts w:ascii="Arial" w:hAnsi="Arial" w:cs="Arial"/>
          <w:sz w:val="22"/>
        </w:rPr>
        <w:t xml:space="preserve"> unánime</w:t>
      </w:r>
      <w:r w:rsidRPr="00326270">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7CE40832" w14:textId="6A14D7A1" w:rsidR="00293B28" w:rsidRDefault="00293B28" w:rsidP="009875D3">
      <w:pPr>
        <w:spacing w:line="288" w:lineRule="auto"/>
        <w:rPr>
          <w:rFonts w:ascii="Arial" w:hAnsi="Arial" w:cs="Arial"/>
          <w:sz w:val="22"/>
        </w:rPr>
      </w:pPr>
    </w:p>
    <w:p w14:paraId="3CA1181A" w14:textId="77777777" w:rsidR="00293B28" w:rsidRPr="00326270" w:rsidRDefault="00293B28" w:rsidP="009875D3">
      <w:pPr>
        <w:spacing w:line="288" w:lineRule="auto"/>
        <w:rPr>
          <w:rFonts w:ascii="Arial" w:hAnsi="Arial" w:cs="Arial"/>
          <w:sz w:val="22"/>
        </w:rPr>
      </w:pPr>
    </w:p>
    <w:p w14:paraId="0BA6DDB9" w14:textId="77777777" w:rsidR="009875D3" w:rsidRPr="00326270" w:rsidRDefault="009875D3" w:rsidP="009875D3">
      <w:pPr>
        <w:spacing w:line="288" w:lineRule="auto"/>
        <w:rPr>
          <w:rFonts w:ascii="Arial" w:hAnsi="Arial" w:cs="Arial"/>
          <w:sz w:val="22"/>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36"/>
        <w:gridCol w:w="4305"/>
      </w:tblGrid>
      <w:tr w:rsidR="009875D3" w:rsidRPr="00326270" w14:paraId="489D2C4C" w14:textId="77777777" w:rsidTr="009875D3">
        <w:tc>
          <w:tcPr>
            <w:tcW w:w="4390" w:type="dxa"/>
          </w:tcPr>
          <w:p w14:paraId="324FF4A7" w14:textId="77777777" w:rsidR="009875D3" w:rsidRPr="00326270" w:rsidRDefault="009875D3" w:rsidP="004B55BC">
            <w:pPr>
              <w:spacing w:before="0" w:after="0" w:line="288" w:lineRule="auto"/>
              <w:jc w:val="center"/>
              <w:rPr>
                <w:rFonts w:ascii="Arial" w:hAnsi="Arial" w:cs="Arial"/>
                <w:b/>
                <w:bCs/>
                <w:sz w:val="22"/>
              </w:rPr>
            </w:pPr>
            <w:r w:rsidRPr="00326270">
              <w:rPr>
                <w:rFonts w:ascii="Arial" w:hAnsi="Arial" w:cs="Arial"/>
                <w:b/>
                <w:bCs/>
                <w:sz w:val="22"/>
              </w:rPr>
              <w:t>MTRA. ELIZABETH NAVA GUTIÉRREZ</w:t>
            </w:r>
          </w:p>
          <w:p w14:paraId="40698362" w14:textId="77777777" w:rsidR="009875D3" w:rsidRPr="00326270" w:rsidRDefault="009875D3" w:rsidP="004B55BC">
            <w:pPr>
              <w:spacing w:before="0" w:after="0" w:line="288" w:lineRule="auto"/>
              <w:jc w:val="center"/>
              <w:rPr>
                <w:rFonts w:ascii="Arial" w:hAnsi="Arial" w:cs="Arial"/>
                <w:b/>
                <w:bCs/>
                <w:sz w:val="22"/>
              </w:rPr>
            </w:pPr>
            <w:r w:rsidRPr="00326270">
              <w:rPr>
                <w:rFonts w:ascii="Arial" w:hAnsi="Arial" w:cs="Arial"/>
                <w:b/>
                <w:bCs/>
                <w:sz w:val="22"/>
              </w:rPr>
              <w:t>CONSEJERA PRESIDENTA</w:t>
            </w:r>
          </w:p>
        </w:tc>
        <w:tc>
          <w:tcPr>
            <w:tcW w:w="236" w:type="dxa"/>
          </w:tcPr>
          <w:p w14:paraId="2AE222D7" w14:textId="77777777" w:rsidR="009875D3" w:rsidRPr="00326270" w:rsidRDefault="009875D3" w:rsidP="004B55BC">
            <w:pPr>
              <w:spacing w:before="0" w:after="0" w:line="288" w:lineRule="auto"/>
              <w:rPr>
                <w:rFonts w:ascii="Arial" w:hAnsi="Arial" w:cs="Arial"/>
                <w:b/>
                <w:bCs/>
                <w:sz w:val="22"/>
              </w:rPr>
            </w:pPr>
          </w:p>
        </w:tc>
        <w:tc>
          <w:tcPr>
            <w:tcW w:w="4305" w:type="dxa"/>
          </w:tcPr>
          <w:p w14:paraId="405F5C96" w14:textId="77777777" w:rsidR="009875D3" w:rsidRPr="00326270" w:rsidRDefault="009875D3" w:rsidP="004B55BC">
            <w:pPr>
              <w:spacing w:before="0" w:after="0" w:line="288" w:lineRule="auto"/>
              <w:jc w:val="center"/>
              <w:rPr>
                <w:rFonts w:ascii="Arial" w:hAnsi="Arial" w:cs="Arial"/>
                <w:b/>
                <w:bCs/>
                <w:sz w:val="22"/>
              </w:rPr>
            </w:pPr>
            <w:r w:rsidRPr="00326270">
              <w:rPr>
                <w:rFonts w:ascii="Arial" w:hAnsi="Arial" w:cs="Arial"/>
                <w:b/>
                <w:bCs/>
                <w:sz w:val="22"/>
              </w:rPr>
              <w:t>LIC. JORGE ALBERTO ZAVALA FRÍAS</w:t>
            </w:r>
          </w:p>
          <w:p w14:paraId="256FAF1A" w14:textId="77777777" w:rsidR="009875D3" w:rsidRPr="00326270" w:rsidRDefault="009875D3" w:rsidP="004B55BC">
            <w:pPr>
              <w:spacing w:before="0" w:after="0" w:line="288" w:lineRule="auto"/>
              <w:jc w:val="center"/>
              <w:rPr>
                <w:rFonts w:ascii="Arial" w:hAnsi="Arial" w:cs="Arial"/>
                <w:b/>
                <w:bCs/>
                <w:sz w:val="22"/>
              </w:rPr>
            </w:pPr>
            <w:r w:rsidRPr="00326270">
              <w:rPr>
                <w:rFonts w:ascii="Arial" w:hAnsi="Arial" w:cs="Arial"/>
                <w:b/>
                <w:bCs/>
                <w:sz w:val="22"/>
              </w:rPr>
              <w:t>SECRETARIO DEL CONSEJO</w:t>
            </w:r>
          </w:p>
        </w:tc>
      </w:tr>
    </w:tbl>
    <w:p w14:paraId="03DF11AA" w14:textId="77777777" w:rsidR="009875D3" w:rsidRPr="00326270" w:rsidRDefault="009875D3" w:rsidP="00D63CFC">
      <w:pPr>
        <w:suppressLineNumbers/>
        <w:rPr>
          <w:rFonts w:ascii="Arial" w:hAnsi="Arial" w:cs="Arial"/>
          <w:sz w:val="22"/>
        </w:rPr>
      </w:pPr>
    </w:p>
    <w:sectPr w:rsidR="009875D3" w:rsidRPr="00326270" w:rsidSect="00293B28">
      <w:headerReference w:type="default" r:id="rId7"/>
      <w:footerReference w:type="default" r:id="rId8"/>
      <w:pgSz w:w="12240" w:h="15840" w:code="1"/>
      <w:pgMar w:top="2977" w:right="2034"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50F0D" w14:textId="77777777" w:rsidR="00B4466B" w:rsidRDefault="00B4466B" w:rsidP="00D63CFC">
      <w:pPr>
        <w:spacing w:before="0" w:after="0" w:line="240" w:lineRule="auto"/>
      </w:pPr>
      <w:r>
        <w:separator/>
      </w:r>
    </w:p>
  </w:endnote>
  <w:endnote w:type="continuationSeparator" w:id="0">
    <w:p w14:paraId="47DE5D90" w14:textId="77777777" w:rsidR="00B4466B" w:rsidRDefault="00B4466B" w:rsidP="00D63C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6A798F-9168-4EA3-B5E4-503211FDDDBA}"/>
    <w:embedBold r:id="rId2" w:fontKey="{1CDC1091-9A5F-43CA-83DF-9D49D63D944C}"/>
  </w:font>
  <w:font w:name="Exo">
    <w:altName w:val="Times New Roman"/>
    <w:charset w:val="00"/>
    <w:family w:val="auto"/>
    <w:pitch w:val="variable"/>
    <w:sig w:usb0="00000001" w:usb1="4000204B" w:usb2="00000000" w:usb3="00000000" w:csb0="00000193" w:csb1="00000000"/>
    <w:embedRegular r:id="rId3" w:fontKey="{25E328B2-791A-48A3-9BE5-A31688411894}"/>
    <w:embedBold r:id="rId4" w:fontKey="{C311D964-7BCF-44EA-A60A-AE94AB3177C4}"/>
  </w:font>
  <w:font w:name="Calibri Light">
    <w:panose1 w:val="020F0302020204030204"/>
    <w:charset w:val="00"/>
    <w:family w:val="swiss"/>
    <w:pitch w:val="variable"/>
    <w:sig w:usb0="E4002EFF" w:usb1="C200247B" w:usb2="00000009" w:usb3="00000000" w:csb0="000001FF" w:csb1="00000000"/>
    <w:embedRegular r:id="rId5" w:fontKey="{69FEF2AB-D286-464F-B907-128767385B7E}"/>
    <w:embedItalic r:id="rId6" w:fontKey="{D674358D-32BF-46A2-BB0A-2FAA50DA7642}"/>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Cs w:val="24"/>
      </w:rPr>
      <w:id w:val="2110769244"/>
      <w:docPartObj>
        <w:docPartGallery w:val="Page Numbers (Top of Page)"/>
        <w:docPartUnique/>
      </w:docPartObj>
    </w:sdtPr>
    <w:sdtEndPr/>
    <w:sdtContent>
      <w:p w14:paraId="4705B91F" w14:textId="21F7DC62" w:rsidR="00D63CFC" w:rsidRPr="0048348B" w:rsidRDefault="00D63CFC" w:rsidP="00D63CFC">
        <w:pPr>
          <w:pStyle w:val="Piedepgina"/>
          <w:jc w:val="right"/>
          <w:rPr>
            <w:rFonts w:ascii="Arial" w:hAnsi="Arial" w:cs="Arial"/>
            <w:color w:val="993366"/>
            <w:szCs w:val="24"/>
          </w:rPr>
        </w:pPr>
        <w:r w:rsidRPr="0048348B">
          <w:rPr>
            <w:rFonts w:ascii="Arial" w:hAnsi="Arial" w:cs="Arial"/>
            <w:b/>
            <w:bCs/>
            <w:color w:val="993366"/>
            <w:szCs w:val="24"/>
          </w:rPr>
          <w:t xml:space="preserve">Página </w:t>
        </w:r>
        <w:r w:rsidRPr="0048348B">
          <w:rPr>
            <w:rFonts w:ascii="Arial" w:hAnsi="Arial" w:cs="Arial"/>
            <w:b/>
            <w:bCs/>
            <w:color w:val="993366"/>
            <w:szCs w:val="24"/>
          </w:rPr>
          <w:fldChar w:fldCharType="begin"/>
        </w:r>
        <w:r w:rsidRPr="0048348B">
          <w:rPr>
            <w:rFonts w:ascii="Arial" w:hAnsi="Arial" w:cs="Arial"/>
            <w:b/>
            <w:bCs/>
            <w:color w:val="993366"/>
            <w:szCs w:val="24"/>
          </w:rPr>
          <w:instrText>PAGE</w:instrText>
        </w:r>
        <w:r w:rsidRPr="0048348B">
          <w:rPr>
            <w:rFonts w:ascii="Arial" w:hAnsi="Arial" w:cs="Arial"/>
            <w:b/>
            <w:bCs/>
            <w:color w:val="993366"/>
            <w:szCs w:val="24"/>
          </w:rPr>
          <w:fldChar w:fldCharType="separate"/>
        </w:r>
        <w:r w:rsidR="0048348B">
          <w:rPr>
            <w:rFonts w:ascii="Arial" w:hAnsi="Arial" w:cs="Arial"/>
            <w:b/>
            <w:bCs/>
            <w:noProof/>
            <w:color w:val="993366"/>
            <w:szCs w:val="24"/>
          </w:rPr>
          <w:t>8</w:t>
        </w:r>
        <w:r w:rsidRPr="0048348B">
          <w:rPr>
            <w:rFonts w:ascii="Arial" w:hAnsi="Arial" w:cs="Arial"/>
            <w:b/>
            <w:bCs/>
            <w:color w:val="993366"/>
            <w:szCs w:val="24"/>
          </w:rPr>
          <w:fldChar w:fldCharType="end"/>
        </w:r>
        <w:r w:rsidRPr="0048348B">
          <w:rPr>
            <w:rFonts w:ascii="Arial" w:hAnsi="Arial" w:cs="Arial"/>
            <w:b/>
            <w:bCs/>
            <w:color w:val="993366"/>
            <w:szCs w:val="24"/>
          </w:rPr>
          <w:t xml:space="preserve"> | </w:t>
        </w:r>
        <w:r w:rsidRPr="0048348B">
          <w:rPr>
            <w:rFonts w:ascii="Arial" w:hAnsi="Arial" w:cs="Arial"/>
            <w:b/>
            <w:bCs/>
            <w:color w:val="993366"/>
            <w:szCs w:val="24"/>
          </w:rPr>
          <w:fldChar w:fldCharType="begin"/>
        </w:r>
        <w:r w:rsidRPr="0048348B">
          <w:rPr>
            <w:rFonts w:ascii="Arial" w:hAnsi="Arial" w:cs="Arial"/>
            <w:b/>
            <w:bCs/>
            <w:color w:val="993366"/>
            <w:szCs w:val="24"/>
          </w:rPr>
          <w:instrText>NUMPAGES</w:instrText>
        </w:r>
        <w:r w:rsidRPr="0048348B">
          <w:rPr>
            <w:rFonts w:ascii="Arial" w:hAnsi="Arial" w:cs="Arial"/>
            <w:b/>
            <w:bCs/>
            <w:color w:val="993366"/>
            <w:szCs w:val="24"/>
          </w:rPr>
          <w:fldChar w:fldCharType="separate"/>
        </w:r>
        <w:r w:rsidR="0048348B">
          <w:rPr>
            <w:rFonts w:ascii="Arial" w:hAnsi="Arial" w:cs="Arial"/>
            <w:b/>
            <w:bCs/>
            <w:noProof/>
            <w:color w:val="993366"/>
            <w:szCs w:val="24"/>
          </w:rPr>
          <w:t>8</w:t>
        </w:r>
        <w:r w:rsidRPr="0048348B">
          <w:rPr>
            <w:rFonts w:ascii="Arial" w:hAnsi="Arial" w:cs="Arial"/>
            <w:b/>
            <w:bCs/>
            <w:color w:val="993366"/>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1C15B" w14:textId="77777777" w:rsidR="00B4466B" w:rsidRDefault="00B4466B" w:rsidP="00D63CFC">
      <w:pPr>
        <w:spacing w:before="0" w:after="0" w:line="240" w:lineRule="auto"/>
      </w:pPr>
      <w:r>
        <w:separator/>
      </w:r>
    </w:p>
  </w:footnote>
  <w:footnote w:type="continuationSeparator" w:id="0">
    <w:p w14:paraId="40D445CD" w14:textId="77777777" w:rsidR="00B4466B" w:rsidRDefault="00B4466B" w:rsidP="00D63CF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3A7927" w14:paraId="550AD4CE" w14:textId="77777777" w:rsidTr="004B55BC">
      <w:tc>
        <w:tcPr>
          <w:tcW w:w="1813" w:type="dxa"/>
        </w:tcPr>
        <w:p w14:paraId="77BD9610" w14:textId="77777777" w:rsidR="003A7927" w:rsidRDefault="003A7927" w:rsidP="003A7927">
          <w:pPr>
            <w:pStyle w:val="Encabezado"/>
          </w:pPr>
          <w:r>
            <w:rPr>
              <w:b/>
              <w:noProof/>
              <w:sz w:val="32"/>
              <w:lang w:eastAsia="es-MX"/>
            </w:rPr>
            <w:drawing>
              <wp:inline distT="0" distB="0" distL="0" distR="0" wp14:anchorId="1B92BD5A" wp14:editId="6776E95A">
                <wp:extent cx="1014331" cy="1199403"/>
                <wp:effectExtent l="0" t="0" r="0" b="1270"/>
                <wp:docPr id="21" name="Imagen 2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F32CCDD" w14:textId="77777777" w:rsidR="003A7927" w:rsidRPr="00B33A23" w:rsidRDefault="003A7927" w:rsidP="003A7927">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1AEA073D" w14:textId="77777777" w:rsidR="003A7927" w:rsidRDefault="003A7927" w:rsidP="003A7927">
          <w:pPr>
            <w:pStyle w:val="Encabezado"/>
            <w:spacing w:before="60"/>
            <w:jc w:val="center"/>
          </w:pPr>
          <w:r w:rsidRPr="00B33A23">
            <w:rPr>
              <w:rFonts w:ascii="Arial" w:hAnsi="Arial" w:cs="Arial"/>
              <w:b/>
              <w:bCs/>
              <w:sz w:val="28"/>
              <w:szCs w:val="28"/>
            </w:rPr>
            <w:t>CONSEJO ESTATAL</w:t>
          </w:r>
        </w:p>
      </w:tc>
      <w:tc>
        <w:tcPr>
          <w:tcW w:w="1560" w:type="dxa"/>
        </w:tcPr>
        <w:p w14:paraId="1F24778B" w14:textId="77777777" w:rsidR="003A7927" w:rsidRDefault="003A7927" w:rsidP="003A7927">
          <w:pPr>
            <w:pStyle w:val="Encabezado"/>
            <w:spacing w:before="480"/>
            <w:jc w:val="right"/>
          </w:pPr>
          <w:r>
            <w:rPr>
              <w:noProof/>
              <w:lang w:eastAsia="es-MX"/>
            </w:rPr>
            <w:drawing>
              <wp:inline distT="0" distB="0" distL="0" distR="0" wp14:anchorId="57E322B8" wp14:editId="3FB7E4CE">
                <wp:extent cx="921600" cy="756000"/>
                <wp:effectExtent l="0" t="0" r="0" b="6350"/>
                <wp:docPr id="2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3B184D33" w14:textId="229D4164" w:rsidR="00D63CFC" w:rsidRPr="00293B28" w:rsidRDefault="00293B28" w:rsidP="00293B28">
    <w:pPr>
      <w:pStyle w:val="Encabezado"/>
      <w:jc w:val="right"/>
      <w:rPr>
        <w:rFonts w:ascii="Arial" w:hAnsi="Arial" w:cs="Arial"/>
        <w:b/>
      </w:rPr>
    </w:pPr>
    <w:r w:rsidRPr="00293B28">
      <w:rPr>
        <w:rFonts w:ascii="Arial" w:hAnsi="Arial" w:cs="Arial"/>
        <w:b/>
      </w:rPr>
      <w:t>CE/2025/001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20125"/>
    <w:multiLevelType w:val="hybridMultilevel"/>
    <w:tmpl w:val="CA7A5DBA"/>
    <w:lvl w:ilvl="0" w:tplc="0B064A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E44644A"/>
    <w:multiLevelType w:val="hybridMultilevel"/>
    <w:tmpl w:val="6F0ED0C4"/>
    <w:lvl w:ilvl="0" w:tplc="B3D44E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B025734"/>
    <w:multiLevelType w:val="multilevel"/>
    <w:tmpl w:val="E558F8F2"/>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AE2"/>
    <w:rsid w:val="0000542C"/>
    <w:rsid w:val="00012EA3"/>
    <w:rsid w:val="00055F7F"/>
    <w:rsid w:val="00071F3F"/>
    <w:rsid w:val="00144EB4"/>
    <w:rsid w:val="0021715D"/>
    <w:rsid w:val="00223EDE"/>
    <w:rsid w:val="00293B28"/>
    <w:rsid w:val="002A0547"/>
    <w:rsid w:val="002C12BC"/>
    <w:rsid w:val="00326270"/>
    <w:rsid w:val="003A7927"/>
    <w:rsid w:val="004074CC"/>
    <w:rsid w:val="0048348B"/>
    <w:rsid w:val="004C3515"/>
    <w:rsid w:val="004E00FD"/>
    <w:rsid w:val="00571B7A"/>
    <w:rsid w:val="00596DEF"/>
    <w:rsid w:val="005C0A47"/>
    <w:rsid w:val="005D19BA"/>
    <w:rsid w:val="00626F9E"/>
    <w:rsid w:val="006411C8"/>
    <w:rsid w:val="00694D26"/>
    <w:rsid w:val="00754AE2"/>
    <w:rsid w:val="007D6F94"/>
    <w:rsid w:val="007F250C"/>
    <w:rsid w:val="00842566"/>
    <w:rsid w:val="008D6F2F"/>
    <w:rsid w:val="009875D3"/>
    <w:rsid w:val="009A71A2"/>
    <w:rsid w:val="00AA6B91"/>
    <w:rsid w:val="00B05834"/>
    <w:rsid w:val="00B4466B"/>
    <w:rsid w:val="00B73806"/>
    <w:rsid w:val="00BD1C7B"/>
    <w:rsid w:val="00C270B0"/>
    <w:rsid w:val="00CF5345"/>
    <w:rsid w:val="00D63CFC"/>
    <w:rsid w:val="00E3030E"/>
    <w:rsid w:val="00F25112"/>
    <w:rsid w:val="00F867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8351A"/>
  <w15:chartTrackingRefBased/>
  <w15:docId w15:val="{D5E166BD-C808-4D43-94DD-FDF75B92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AE2"/>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4E00FD"/>
    <w:pPr>
      <w:keepNext/>
      <w:keepLines/>
      <w:numPr>
        <w:numId w:val="3"/>
      </w:numPr>
      <w:spacing w:before="600" w:after="36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754AE2"/>
    <w:pPr>
      <w:numPr>
        <w:ilvl w:val="1"/>
        <w:numId w:val="3"/>
      </w:numPr>
      <w:spacing w:before="480"/>
      <w:outlineLvl w:val="1"/>
    </w:pPr>
    <w:rPr>
      <w:b/>
    </w:rPr>
  </w:style>
  <w:style w:type="paragraph" w:styleId="Ttulo3">
    <w:name w:val="heading 3"/>
    <w:basedOn w:val="Normal"/>
    <w:next w:val="Normal"/>
    <w:link w:val="Ttulo3Car"/>
    <w:uiPriority w:val="9"/>
    <w:semiHidden/>
    <w:unhideWhenUsed/>
    <w:qFormat/>
    <w:rsid w:val="007D6F94"/>
    <w:pPr>
      <w:keepNext/>
      <w:keepLines/>
      <w:numPr>
        <w:ilvl w:val="2"/>
        <w:numId w:val="3"/>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7D6F94"/>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D6F94"/>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D6F94"/>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D6F94"/>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D6F94"/>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D6F94"/>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00FD"/>
    <w:rPr>
      <w:rFonts w:ascii="Exo" w:eastAsiaTheme="majorEastAsia" w:hAnsi="Exo" w:cstheme="majorBidi"/>
      <w:b/>
      <w:sz w:val="28"/>
      <w:szCs w:val="32"/>
    </w:rPr>
  </w:style>
  <w:style w:type="character" w:customStyle="1" w:styleId="Ttulo2Car">
    <w:name w:val="Título 2 Car"/>
    <w:basedOn w:val="Fuentedeprrafopredeter"/>
    <w:link w:val="Ttulo2"/>
    <w:uiPriority w:val="9"/>
    <w:rsid w:val="00754AE2"/>
    <w:rPr>
      <w:rFonts w:ascii="Exo" w:hAnsi="Exo"/>
      <w:b/>
      <w:sz w:val="24"/>
    </w:rPr>
  </w:style>
  <w:style w:type="paragraph" w:styleId="Prrafodelista">
    <w:name w:val="List Paragraph"/>
    <w:basedOn w:val="Normal"/>
    <w:uiPriority w:val="34"/>
    <w:qFormat/>
    <w:rsid w:val="00D63CFC"/>
    <w:pPr>
      <w:ind w:left="720"/>
      <w:contextualSpacing/>
    </w:pPr>
  </w:style>
  <w:style w:type="paragraph" w:styleId="Encabezado">
    <w:name w:val="header"/>
    <w:basedOn w:val="Normal"/>
    <w:link w:val="EncabezadoCar"/>
    <w:uiPriority w:val="99"/>
    <w:unhideWhenUsed/>
    <w:rsid w:val="00D63CF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63CFC"/>
    <w:rPr>
      <w:rFonts w:ascii="Exo" w:hAnsi="Exo"/>
      <w:sz w:val="24"/>
    </w:rPr>
  </w:style>
  <w:style w:type="paragraph" w:styleId="Piedepgina">
    <w:name w:val="footer"/>
    <w:basedOn w:val="Normal"/>
    <w:link w:val="PiedepginaCar"/>
    <w:uiPriority w:val="99"/>
    <w:unhideWhenUsed/>
    <w:rsid w:val="00D63CF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63CFC"/>
    <w:rPr>
      <w:rFonts w:ascii="Exo" w:hAnsi="Exo"/>
      <w:sz w:val="24"/>
    </w:rPr>
  </w:style>
  <w:style w:type="table" w:styleId="Tablaconcuadrcula">
    <w:name w:val="Table Grid"/>
    <w:basedOn w:val="Tablanormal"/>
    <w:uiPriority w:val="39"/>
    <w:rsid w:val="00D63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D6F9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D6F94"/>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7D6F94"/>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7D6F94"/>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7D6F94"/>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7D6F9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D6F9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2315</Words>
  <Characters>12738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27</cp:revision>
  <dcterms:created xsi:type="dcterms:W3CDTF">2024-12-02T16:03:00Z</dcterms:created>
  <dcterms:modified xsi:type="dcterms:W3CDTF">2025-01-16T21:00:00Z</dcterms:modified>
</cp:coreProperties>
</file>