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0BFBD" w14:textId="4DB54143" w:rsidR="001616F8" w:rsidRPr="004E4DB5" w:rsidRDefault="004E4DB5" w:rsidP="00751194">
      <w:pPr>
        <w:pStyle w:val="Ttulo"/>
        <w:rPr>
          <w:rFonts w:ascii="Arial" w:hAnsi="Arial" w:cs="Arial"/>
        </w:rPr>
      </w:pPr>
      <w:bookmarkStart w:id="0" w:name="_GoBack"/>
      <w:bookmarkEnd w:id="0"/>
      <w:r w:rsidRPr="004E4DB5">
        <w:rPr>
          <w:rFonts w:ascii="Arial" w:hAnsi="Arial" w:cs="Arial"/>
        </w:rPr>
        <w:t xml:space="preserve">ACUERDO QUE, A PROPUESTA DE LA COMISIÓN PERMANENTE DE ORGANIZACIÓN ELECTORAL Y EDUCACIÓN CÍVICA, EMITE EL CONSEJO ESTATAL DEL INSTITUTO ELECTORAL Y DE PARTICIPACIÓN CIUDADANA DE TABASCO, POR EL QUE SE APRUEBA EL MODELO OPERATIVO DE RECEPCIÓN DE PAQUETES Y MATERIAL ELECTORAL AL TÉRMINO DE LA JORNADA ELECTORAL CON MOTIVO DEL PROCESO ELECTORAL LOCAL EXTRAORDINARIO PARA PERSONAS JUZGADORAS DEL PODER JUDICIAL DEL ESTADO DE TABASCO 2024 – 2025 </w:t>
      </w:r>
    </w:p>
    <w:p w14:paraId="1A50690A" w14:textId="29689798" w:rsidR="001616F8" w:rsidRPr="004E4DB5" w:rsidRDefault="001616F8" w:rsidP="001616F8">
      <w:pPr>
        <w:rPr>
          <w:rFonts w:ascii="Arial" w:hAnsi="Arial" w:cs="Arial"/>
          <w:sz w:val="22"/>
        </w:rPr>
      </w:pPr>
      <w:r w:rsidRPr="004E4DB5">
        <w:rPr>
          <w:rFonts w:ascii="Arial" w:hAnsi="Arial" w:cs="Arial"/>
          <w:sz w:val="22"/>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6B3C1A" w:rsidRPr="004E4DB5" w14:paraId="47FCA43C" w14:textId="77777777" w:rsidTr="00C60BDE">
        <w:trPr>
          <w:trHeight w:val="624"/>
          <w:jc w:val="center"/>
        </w:trPr>
        <w:tc>
          <w:tcPr>
            <w:tcW w:w="2042" w:type="pct"/>
            <w:shd w:val="clear" w:color="auto" w:fill="auto"/>
            <w:vAlign w:val="center"/>
          </w:tcPr>
          <w:p w14:paraId="3CD35F4E" w14:textId="77777777" w:rsidR="006B3C1A" w:rsidRPr="004E4DB5" w:rsidRDefault="006B3C1A" w:rsidP="00C60BDE">
            <w:pPr>
              <w:spacing w:before="120" w:after="120"/>
              <w:jc w:val="right"/>
              <w:rPr>
                <w:rFonts w:ascii="Arial" w:hAnsi="Arial" w:cs="Arial"/>
                <w:b/>
                <w:bCs/>
                <w:sz w:val="20"/>
              </w:rPr>
            </w:pPr>
            <w:bookmarkStart w:id="1" w:name="_Hlk186652747"/>
            <w:r w:rsidRPr="004E4DB5">
              <w:rPr>
                <w:rFonts w:ascii="Arial" w:hAnsi="Arial" w:cs="Arial"/>
                <w:b/>
                <w:bCs/>
                <w:sz w:val="20"/>
              </w:rPr>
              <w:t>Comisión:</w:t>
            </w:r>
          </w:p>
        </w:tc>
        <w:tc>
          <w:tcPr>
            <w:tcW w:w="2958" w:type="pct"/>
            <w:shd w:val="clear" w:color="auto" w:fill="auto"/>
            <w:vAlign w:val="center"/>
          </w:tcPr>
          <w:p w14:paraId="13FC0FF3" w14:textId="77777777" w:rsidR="006B3C1A" w:rsidRPr="004E4DB5" w:rsidRDefault="006B3C1A" w:rsidP="00C60BDE">
            <w:pPr>
              <w:spacing w:before="120" w:after="120"/>
              <w:rPr>
                <w:rFonts w:ascii="Arial" w:hAnsi="Arial" w:cs="Arial"/>
                <w:sz w:val="20"/>
              </w:rPr>
            </w:pPr>
            <w:r w:rsidRPr="004E4DB5">
              <w:rPr>
                <w:rFonts w:ascii="Arial" w:hAnsi="Arial" w:cs="Arial"/>
                <w:sz w:val="20"/>
              </w:rPr>
              <w:t>Comisión Permanente de Organización Electoral y Educación Cívica.</w:t>
            </w:r>
          </w:p>
        </w:tc>
      </w:tr>
      <w:tr w:rsidR="006B3C1A" w:rsidRPr="004E4DB5" w14:paraId="43C74C17" w14:textId="77777777" w:rsidTr="00C60BDE">
        <w:trPr>
          <w:trHeight w:val="624"/>
          <w:jc w:val="center"/>
        </w:trPr>
        <w:tc>
          <w:tcPr>
            <w:tcW w:w="2042" w:type="pct"/>
            <w:shd w:val="clear" w:color="auto" w:fill="auto"/>
            <w:vAlign w:val="center"/>
          </w:tcPr>
          <w:p w14:paraId="42356C29" w14:textId="77777777" w:rsidR="006B3C1A" w:rsidRPr="004E4DB5" w:rsidRDefault="006B3C1A" w:rsidP="00C60BDE">
            <w:pPr>
              <w:spacing w:before="120" w:after="120"/>
              <w:jc w:val="right"/>
              <w:rPr>
                <w:rFonts w:ascii="Arial" w:hAnsi="Arial" w:cs="Arial"/>
                <w:b/>
                <w:bCs/>
                <w:sz w:val="20"/>
              </w:rPr>
            </w:pPr>
            <w:r w:rsidRPr="004E4DB5">
              <w:rPr>
                <w:rFonts w:ascii="Arial" w:hAnsi="Arial" w:cs="Arial"/>
                <w:b/>
                <w:bCs/>
                <w:sz w:val="20"/>
              </w:rPr>
              <w:t>Consejo Estatal:</w:t>
            </w:r>
          </w:p>
        </w:tc>
        <w:tc>
          <w:tcPr>
            <w:tcW w:w="2958" w:type="pct"/>
            <w:shd w:val="clear" w:color="auto" w:fill="auto"/>
            <w:vAlign w:val="center"/>
          </w:tcPr>
          <w:p w14:paraId="16833CFC" w14:textId="77777777" w:rsidR="006B3C1A" w:rsidRPr="004E4DB5" w:rsidRDefault="006B3C1A" w:rsidP="00C60BDE">
            <w:pPr>
              <w:spacing w:before="120" w:after="120"/>
              <w:rPr>
                <w:rFonts w:ascii="Arial" w:hAnsi="Arial" w:cs="Arial"/>
                <w:sz w:val="20"/>
              </w:rPr>
            </w:pPr>
            <w:r w:rsidRPr="004E4DB5">
              <w:rPr>
                <w:rFonts w:ascii="Arial" w:hAnsi="Arial" w:cs="Arial"/>
                <w:sz w:val="20"/>
              </w:rPr>
              <w:t>Consejo Estatal del Instituto Electoral y de Participación Ciudadana de Tabasco.</w:t>
            </w:r>
          </w:p>
        </w:tc>
      </w:tr>
      <w:tr w:rsidR="006B3C1A" w:rsidRPr="004E4DB5" w14:paraId="6A722340" w14:textId="77777777" w:rsidTr="00C60BDE">
        <w:trPr>
          <w:trHeight w:val="624"/>
          <w:jc w:val="center"/>
        </w:trPr>
        <w:tc>
          <w:tcPr>
            <w:tcW w:w="2042" w:type="pct"/>
            <w:shd w:val="clear" w:color="auto" w:fill="auto"/>
            <w:vAlign w:val="center"/>
          </w:tcPr>
          <w:p w14:paraId="4FBEDF34" w14:textId="77777777" w:rsidR="006B3C1A" w:rsidRPr="004E4DB5" w:rsidRDefault="006B3C1A" w:rsidP="00C60BDE">
            <w:pPr>
              <w:spacing w:before="120" w:after="120"/>
              <w:jc w:val="right"/>
              <w:rPr>
                <w:rFonts w:ascii="Arial" w:hAnsi="Arial" w:cs="Arial"/>
                <w:b/>
                <w:bCs/>
                <w:sz w:val="20"/>
              </w:rPr>
            </w:pPr>
            <w:r w:rsidRPr="004E4DB5">
              <w:rPr>
                <w:rFonts w:ascii="Arial" w:hAnsi="Arial" w:cs="Arial"/>
                <w:b/>
                <w:bCs/>
                <w:sz w:val="20"/>
              </w:rPr>
              <w:t>Consejos Distritales:</w:t>
            </w:r>
          </w:p>
        </w:tc>
        <w:tc>
          <w:tcPr>
            <w:tcW w:w="2958" w:type="pct"/>
            <w:shd w:val="clear" w:color="auto" w:fill="auto"/>
            <w:vAlign w:val="center"/>
          </w:tcPr>
          <w:p w14:paraId="6885A75A" w14:textId="77777777" w:rsidR="006B3C1A" w:rsidRPr="004E4DB5" w:rsidRDefault="006B3C1A" w:rsidP="00C60BDE">
            <w:pPr>
              <w:spacing w:before="120" w:after="120"/>
              <w:rPr>
                <w:rFonts w:ascii="Arial" w:hAnsi="Arial" w:cs="Arial"/>
                <w:sz w:val="20"/>
              </w:rPr>
            </w:pPr>
            <w:r w:rsidRPr="004E4DB5">
              <w:rPr>
                <w:rFonts w:ascii="Arial" w:hAnsi="Arial" w:cs="Arial"/>
                <w:sz w:val="20"/>
              </w:rPr>
              <w:t>Consejos Electorales Distritales del Instituto Electoral y de Participación Ciudadana de Tabasco.</w:t>
            </w:r>
          </w:p>
        </w:tc>
      </w:tr>
      <w:tr w:rsidR="006B3C1A" w:rsidRPr="004E4DB5" w14:paraId="77AA4685" w14:textId="77777777" w:rsidTr="00C60BDE">
        <w:trPr>
          <w:trHeight w:val="624"/>
          <w:jc w:val="center"/>
        </w:trPr>
        <w:tc>
          <w:tcPr>
            <w:tcW w:w="2042" w:type="pct"/>
            <w:shd w:val="clear" w:color="auto" w:fill="auto"/>
            <w:vAlign w:val="center"/>
          </w:tcPr>
          <w:p w14:paraId="37BF3C3F" w14:textId="77777777" w:rsidR="006B3C1A" w:rsidRPr="004E4DB5" w:rsidRDefault="006B3C1A" w:rsidP="00C60BDE">
            <w:pPr>
              <w:spacing w:before="120" w:after="120"/>
              <w:jc w:val="right"/>
              <w:rPr>
                <w:rFonts w:ascii="Arial" w:hAnsi="Arial" w:cs="Arial"/>
                <w:b/>
                <w:bCs/>
                <w:sz w:val="20"/>
              </w:rPr>
            </w:pPr>
            <w:r w:rsidRPr="004E4DB5">
              <w:rPr>
                <w:rFonts w:ascii="Arial" w:hAnsi="Arial" w:cs="Arial"/>
                <w:b/>
                <w:bCs/>
                <w:sz w:val="20"/>
              </w:rPr>
              <w:t>Constitución Federal:</w:t>
            </w:r>
          </w:p>
        </w:tc>
        <w:tc>
          <w:tcPr>
            <w:tcW w:w="2958" w:type="pct"/>
            <w:shd w:val="clear" w:color="auto" w:fill="auto"/>
            <w:vAlign w:val="center"/>
          </w:tcPr>
          <w:p w14:paraId="3E77093D" w14:textId="77777777" w:rsidR="006B3C1A" w:rsidRPr="004E4DB5" w:rsidRDefault="006B3C1A" w:rsidP="00C60BDE">
            <w:pPr>
              <w:spacing w:before="120" w:after="120"/>
              <w:rPr>
                <w:rFonts w:ascii="Arial" w:hAnsi="Arial" w:cs="Arial"/>
                <w:sz w:val="20"/>
              </w:rPr>
            </w:pPr>
            <w:r w:rsidRPr="004E4DB5">
              <w:rPr>
                <w:rFonts w:ascii="Arial" w:hAnsi="Arial" w:cs="Arial"/>
                <w:sz w:val="20"/>
              </w:rPr>
              <w:t>Constitución Política de los Estados Unidos Mexicanos.</w:t>
            </w:r>
          </w:p>
        </w:tc>
      </w:tr>
      <w:tr w:rsidR="006B3C1A" w:rsidRPr="004E4DB5" w14:paraId="04DE2401" w14:textId="77777777" w:rsidTr="00C60BDE">
        <w:trPr>
          <w:trHeight w:val="624"/>
          <w:jc w:val="center"/>
        </w:trPr>
        <w:tc>
          <w:tcPr>
            <w:tcW w:w="2042" w:type="pct"/>
            <w:shd w:val="clear" w:color="auto" w:fill="auto"/>
            <w:vAlign w:val="center"/>
          </w:tcPr>
          <w:p w14:paraId="5A604298" w14:textId="77777777" w:rsidR="006B3C1A" w:rsidRPr="004E4DB5" w:rsidRDefault="006B3C1A" w:rsidP="00C60BDE">
            <w:pPr>
              <w:spacing w:before="120" w:after="120"/>
              <w:jc w:val="right"/>
              <w:rPr>
                <w:rFonts w:ascii="Arial" w:hAnsi="Arial" w:cs="Arial"/>
                <w:b/>
                <w:bCs/>
                <w:sz w:val="20"/>
              </w:rPr>
            </w:pPr>
            <w:r w:rsidRPr="004E4DB5">
              <w:rPr>
                <w:rFonts w:ascii="Arial" w:hAnsi="Arial" w:cs="Arial"/>
                <w:b/>
                <w:bCs/>
                <w:sz w:val="20"/>
              </w:rPr>
              <w:t>Constitución Local:</w:t>
            </w:r>
          </w:p>
        </w:tc>
        <w:tc>
          <w:tcPr>
            <w:tcW w:w="2958" w:type="pct"/>
            <w:shd w:val="clear" w:color="auto" w:fill="auto"/>
            <w:vAlign w:val="center"/>
          </w:tcPr>
          <w:p w14:paraId="39E798D0" w14:textId="77777777" w:rsidR="006B3C1A" w:rsidRPr="004E4DB5" w:rsidRDefault="006B3C1A" w:rsidP="00C60BDE">
            <w:pPr>
              <w:spacing w:before="120" w:after="120"/>
              <w:rPr>
                <w:rFonts w:ascii="Arial" w:hAnsi="Arial" w:cs="Arial"/>
                <w:sz w:val="20"/>
              </w:rPr>
            </w:pPr>
            <w:r w:rsidRPr="004E4DB5">
              <w:rPr>
                <w:rFonts w:ascii="Arial" w:hAnsi="Arial" w:cs="Arial"/>
                <w:sz w:val="20"/>
              </w:rPr>
              <w:t>Constitución Política del Estado Libre y Soberano de Tabasco.</w:t>
            </w:r>
          </w:p>
        </w:tc>
      </w:tr>
      <w:tr w:rsidR="006B3C1A" w:rsidRPr="004E4DB5" w14:paraId="2053B1E0" w14:textId="77777777" w:rsidTr="00C60BDE">
        <w:trPr>
          <w:trHeight w:val="624"/>
          <w:jc w:val="center"/>
        </w:trPr>
        <w:tc>
          <w:tcPr>
            <w:tcW w:w="2042" w:type="pct"/>
            <w:shd w:val="clear" w:color="auto" w:fill="auto"/>
            <w:vAlign w:val="center"/>
          </w:tcPr>
          <w:p w14:paraId="5917F5EE" w14:textId="77777777" w:rsidR="006B3C1A" w:rsidRPr="004E4DB5" w:rsidRDefault="006B3C1A" w:rsidP="00C60BDE">
            <w:pPr>
              <w:spacing w:before="120" w:after="120"/>
              <w:jc w:val="right"/>
              <w:rPr>
                <w:rFonts w:ascii="Arial" w:hAnsi="Arial" w:cs="Arial"/>
                <w:b/>
                <w:bCs/>
                <w:sz w:val="20"/>
              </w:rPr>
            </w:pPr>
            <w:r w:rsidRPr="004E4DB5">
              <w:rPr>
                <w:rFonts w:ascii="Arial" w:hAnsi="Arial" w:cs="Arial"/>
                <w:b/>
                <w:bCs/>
                <w:sz w:val="20"/>
              </w:rPr>
              <w:t>INE:</w:t>
            </w:r>
          </w:p>
        </w:tc>
        <w:tc>
          <w:tcPr>
            <w:tcW w:w="2958" w:type="pct"/>
            <w:shd w:val="clear" w:color="auto" w:fill="auto"/>
            <w:vAlign w:val="center"/>
          </w:tcPr>
          <w:p w14:paraId="074294D0" w14:textId="77777777" w:rsidR="006B3C1A" w:rsidRPr="004E4DB5" w:rsidRDefault="006B3C1A" w:rsidP="00C60BDE">
            <w:pPr>
              <w:spacing w:before="120" w:after="120"/>
              <w:rPr>
                <w:rFonts w:ascii="Arial" w:hAnsi="Arial" w:cs="Arial"/>
                <w:sz w:val="20"/>
              </w:rPr>
            </w:pPr>
            <w:r w:rsidRPr="004E4DB5">
              <w:rPr>
                <w:rFonts w:ascii="Arial" w:hAnsi="Arial" w:cs="Arial"/>
                <w:sz w:val="20"/>
              </w:rPr>
              <w:t>Instituto Nacional Electoral.</w:t>
            </w:r>
          </w:p>
        </w:tc>
      </w:tr>
      <w:tr w:rsidR="006B3C1A" w:rsidRPr="004E4DB5" w14:paraId="357342F2" w14:textId="77777777" w:rsidTr="00C60BDE">
        <w:trPr>
          <w:trHeight w:val="624"/>
          <w:jc w:val="center"/>
        </w:trPr>
        <w:tc>
          <w:tcPr>
            <w:tcW w:w="2042" w:type="pct"/>
            <w:shd w:val="clear" w:color="auto" w:fill="auto"/>
            <w:vAlign w:val="center"/>
          </w:tcPr>
          <w:p w14:paraId="45DBAEB3" w14:textId="77777777" w:rsidR="006B3C1A" w:rsidRPr="004E4DB5" w:rsidRDefault="006B3C1A" w:rsidP="00C60BDE">
            <w:pPr>
              <w:spacing w:before="120" w:after="120"/>
              <w:jc w:val="right"/>
              <w:rPr>
                <w:rFonts w:ascii="Arial" w:hAnsi="Arial" w:cs="Arial"/>
                <w:b/>
                <w:bCs/>
                <w:sz w:val="20"/>
              </w:rPr>
            </w:pPr>
            <w:r w:rsidRPr="004E4DB5">
              <w:rPr>
                <w:rFonts w:ascii="Arial" w:hAnsi="Arial" w:cs="Arial"/>
                <w:b/>
                <w:bCs/>
                <w:sz w:val="20"/>
              </w:rPr>
              <w:t>Instituto:</w:t>
            </w:r>
          </w:p>
        </w:tc>
        <w:tc>
          <w:tcPr>
            <w:tcW w:w="2958" w:type="pct"/>
            <w:shd w:val="clear" w:color="auto" w:fill="auto"/>
          </w:tcPr>
          <w:p w14:paraId="17C9D814" w14:textId="77777777" w:rsidR="006B3C1A" w:rsidRPr="004E4DB5" w:rsidRDefault="006B3C1A" w:rsidP="00C60BDE">
            <w:pPr>
              <w:spacing w:before="120" w:after="120"/>
              <w:rPr>
                <w:rFonts w:ascii="Arial" w:hAnsi="Arial" w:cs="Arial"/>
                <w:sz w:val="20"/>
              </w:rPr>
            </w:pPr>
            <w:r w:rsidRPr="004E4DB5">
              <w:rPr>
                <w:rFonts w:ascii="Arial" w:hAnsi="Arial" w:cs="Arial"/>
                <w:sz w:val="20"/>
              </w:rPr>
              <w:t>Instituto Electoral y de Participación Ciudadana de Tabasco.</w:t>
            </w:r>
          </w:p>
        </w:tc>
      </w:tr>
      <w:tr w:rsidR="006B3C1A" w:rsidRPr="004E4DB5" w14:paraId="26B4B2CE" w14:textId="77777777" w:rsidTr="00C60BDE">
        <w:trPr>
          <w:trHeight w:val="624"/>
          <w:jc w:val="center"/>
        </w:trPr>
        <w:tc>
          <w:tcPr>
            <w:tcW w:w="2042" w:type="pct"/>
            <w:shd w:val="clear" w:color="auto" w:fill="auto"/>
            <w:vAlign w:val="center"/>
          </w:tcPr>
          <w:p w14:paraId="21DC02ED" w14:textId="77777777" w:rsidR="006B3C1A" w:rsidRPr="004E4DB5" w:rsidRDefault="006B3C1A" w:rsidP="00C60BDE">
            <w:pPr>
              <w:spacing w:before="120" w:after="120"/>
              <w:jc w:val="right"/>
              <w:rPr>
                <w:rFonts w:ascii="Arial" w:hAnsi="Arial" w:cs="Arial"/>
                <w:b/>
                <w:bCs/>
                <w:sz w:val="20"/>
              </w:rPr>
            </w:pPr>
            <w:r w:rsidRPr="004E4DB5">
              <w:rPr>
                <w:rFonts w:ascii="Arial" w:hAnsi="Arial" w:cs="Arial"/>
                <w:b/>
                <w:bCs/>
                <w:sz w:val="20"/>
              </w:rPr>
              <w:t>Ley Electoral:</w:t>
            </w:r>
          </w:p>
        </w:tc>
        <w:tc>
          <w:tcPr>
            <w:tcW w:w="2958" w:type="pct"/>
            <w:shd w:val="clear" w:color="auto" w:fill="auto"/>
            <w:vAlign w:val="center"/>
          </w:tcPr>
          <w:p w14:paraId="1068FCBE" w14:textId="77777777" w:rsidR="006B3C1A" w:rsidRPr="004E4DB5" w:rsidRDefault="006B3C1A" w:rsidP="00C60BDE">
            <w:pPr>
              <w:spacing w:before="120" w:after="120"/>
              <w:rPr>
                <w:rFonts w:ascii="Arial" w:hAnsi="Arial" w:cs="Arial"/>
                <w:sz w:val="20"/>
              </w:rPr>
            </w:pPr>
            <w:r w:rsidRPr="004E4DB5">
              <w:rPr>
                <w:rFonts w:ascii="Arial" w:hAnsi="Arial" w:cs="Arial"/>
                <w:sz w:val="20"/>
              </w:rPr>
              <w:t>Ley Electoral y de Partidos Políticos del Estado de Tabasco.</w:t>
            </w:r>
          </w:p>
        </w:tc>
      </w:tr>
      <w:tr w:rsidR="006B3C1A" w:rsidRPr="004E4DB5" w14:paraId="5EB106C3" w14:textId="77777777" w:rsidTr="00C60BDE">
        <w:trPr>
          <w:trHeight w:val="624"/>
          <w:jc w:val="center"/>
        </w:trPr>
        <w:tc>
          <w:tcPr>
            <w:tcW w:w="2042" w:type="pct"/>
            <w:shd w:val="clear" w:color="auto" w:fill="auto"/>
            <w:vAlign w:val="center"/>
          </w:tcPr>
          <w:p w14:paraId="7D3C61FF" w14:textId="77777777" w:rsidR="006B3C1A" w:rsidRPr="004E4DB5" w:rsidRDefault="006B3C1A" w:rsidP="00C60BDE">
            <w:pPr>
              <w:spacing w:before="120" w:after="120"/>
              <w:jc w:val="right"/>
              <w:rPr>
                <w:rFonts w:ascii="Arial" w:hAnsi="Arial" w:cs="Arial"/>
                <w:b/>
                <w:bCs/>
                <w:sz w:val="20"/>
              </w:rPr>
            </w:pPr>
            <w:r w:rsidRPr="004E4DB5">
              <w:rPr>
                <w:rFonts w:ascii="Arial" w:hAnsi="Arial" w:cs="Arial"/>
                <w:b/>
                <w:bCs/>
                <w:sz w:val="20"/>
              </w:rPr>
              <w:t>Ley General:</w:t>
            </w:r>
          </w:p>
        </w:tc>
        <w:tc>
          <w:tcPr>
            <w:tcW w:w="2958" w:type="pct"/>
            <w:shd w:val="clear" w:color="auto" w:fill="auto"/>
            <w:vAlign w:val="center"/>
          </w:tcPr>
          <w:p w14:paraId="108879B0" w14:textId="77777777" w:rsidR="006B3C1A" w:rsidRPr="004E4DB5" w:rsidRDefault="006B3C1A" w:rsidP="00C60BDE">
            <w:pPr>
              <w:spacing w:before="120" w:after="120"/>
              <w:rPr>
                <w:rFonts w:ascii="Arial" w:hAnsi="Arial" w:cs="Arial"/>
                <w:sz w:val="20"/>
              </w:rPr>
            </w:pPr>
            <w:r w:rsidRPr="004E4DB5">
              <w:rPr>
                <w:rFonts w:ascii="Arial" w:hAnsi="Arial" w:cs="Arial"/>
                <w:sz w:val="20"/>
              </w:rPr>
              <w:t>Ley General de Instituciones y Procedimientos Electorales.</w:t>
            </w:r>
          </w:p>
        </w:tc>
      </w:tr>
      <w:tr w:rsidR="006B3C1A" w:rsidRPr="004E4DB5" w14:paraId="1D045136" w14:textId="77777777" w:rsidTr="00C60BDE">
        <w:trPr>
          <w:trHeight w:val="624"/>
          <w:jc w:val="center"/>
        </w:trPr>
        <w:tc>
          <w:tcPr>
            <w:tcW w:w="2042" w:type="pct"/>
            <w:shd w:val="clear" w:color="auto" w:fill="auto"/>
            <w:vAlign w:val="center"/>
          </w:tcPr>
          <w:p w14:paraId="485D5F06" w14:textId="77777777" w:rsidR="006B3C1A" w:rsidRPr="004E4DB5" w:rsidRDefault="006B3C1A" w:rsidP="00C60BDE">
            <w:pPr>
              <w:spacing w:before="120" w:after="120"/>
              <w:jc w:val="right"/>
              <w:rPr>
                <w:rFonts w:ascii="Arial" w:hAnsi="Arial" w:cs="Arial"/>
                <w:b/>
                <w:bCs/>
                <w:sz w:val="20"/>
              </w:rPr>
            </w:pPr>
            <w:r w:rsidRPr="004E4DB5">
              <w:rPr>
                <w:rFonts w:ascii="Arial" w:hAnsi="Arial" w:cs="Arial"/>
                <w:b/>
                <w:bCs/>
                <w:sz w:val="20"/>
              </w:rPr>
              <w:t>Organismo electoral:</w:t>
            </w:r>
          </w:p>
        </w:tc>
        <w:tc>
          <w:tcPr>
            <w:tcW w:w="2958" w:type="pct"/>
            <w:shd w:val="clear" w:color="auto" w:fill="auto"/>
            <w:vAlign w:val="center"/>
          </w:tcPr>
          <w:p w14:paraId="41135082" w14:textId="77777777" w:rsidR="006B3C1A" w:rsidRPr="004E4DB5" w:rsidRDefault="006B3C1A" w:rsidP="00C60BDE">
            <w:pPr>
              <w:spacing w:before="120" w:after="120"/>
              <w:rPr>
                <w:rFonts w:ascii="Arial" w:hAnsi="Arial" w:cs="Arial"/>
                <w:sz w:val="20"/>
              </w:rPr>
            </w:pPr>
            <w:r w:rsidRPr="004E4DB5">
              <w:rPr>
                <w:rFonts w:ascii="Arial" w:hAnsi="Arial" w:cs="Arial"/>
                <w:sz w:val="20"/>
              </w:rPr>
              <w:t xml:space="preserve">Organismo(s) público(s) local(es) electoral(es). </w:t>
            </w:r>
          </w:p>
        </w:tc>
      </w:tr>
      <w:tr w:rsidR="006B3C1A" w:rsidRPr="004E4DB5" w14:paraId="053C7734" w14:textId="77777777" w:rsidTr="00C60BDE">
        <w:trPr>
          <w:trHeight w:val="624"/>
          <w:jc w:val="center"/>
        </w:trPr>
        <w:tc>
          <w:tcPr>
            <w:tcW w:w="2042" w:type="pct"/>
            <w:shd w:val="clear" w:color="auto" w:fill="auto"/>
            <w:vAlign w:val="center"/>
          </w:tcPr>
          <w:p w14:paraId="49AC511E" w14:textId="77777777" w:rsidR="006B3C1A" w:rsidRPr="004E4DB5" w:rsidRDefault="006B3C1A" w:rsidP="00C60BDE">
            <w:pPr>
              <w:spacing w:before="120" w:after="120"/>
              <w:jc w:val="right"/>
              <w:rPr>
                <w:rFonts w:ascii="Arial" w:hAnsi="Arial" w:cs="Arial"/>
                <w:b/>
                <w:bCs/>
                <w:sz w:val="20"/>
              </w:rPr>
            </w:pPr>
            <w:r w:rsidRPr="004E4DB5">
              <w:rPr>
                <w:rFonts w:ascii="Arial" w:hAnsi="Arial" w:cs="Arial"/>
                <w:b/>
                <w:bCs/>
                <w:sz w:val="20"/>
              </w:rPr>
              <w:lastRenderedPageBreak/>
              <w:t>Proceso Electoral Extraordinario:</w:t>
            </w:r>
          </w:p>
        </w:tc>
        <w:tc>
          <w:tcPr>
            <w:tcW w:w="2958" w:type="pct"/>
            <w:shd w:val="clear" w:color="auto" w:fill="auto"/>
            <w:vAlign w:val="center"/>
          </w:tcPr>
          <w:p w14:paraId="72B0D731" w14:textId="77777777" w:rsidR="006B3C1A" w:rsidRPr="004E4DB5" w:rsidRDefault="006B3C1A" w:rsidP="00C60BDE">
            <w:pPr>
              <w:spacing w:before="120" w:after="120"/>
              <w:rPr>
                <w:rFonts w:ascii="Arial" w:hAnsi="Arial" w:cs="Arial"/>
                <w:sz w:val="20"/>
              </w:rPr>
            </w:pPr>
            <w:r w:rsidRPr="004E4DB5">
              <w:rPr>
                <w:rFonts w:ascii="Arial" w:hAnsi="Arial" w:cs="Arial"/>
                <w:sz w:val="20"/>
              </w:rPr>
              <w:t>Proceso Electoral Local Extraordinario para personas juzgadoras del Poder Judicial del Estado de Tabasco 2024 – 2025.</w:t>
            </w:r>
          </w:p>
        </w:tc>
      </w:tr>
      <w:tr w:rsidR="006B3C1A" w:rsidRPr="004E4DB5" w14:paraId="26FF3804" w14:textId="77777777" w:rsidTr="00C60BDE">
        <w:trPr>
          <w:trHeight w:val="624"/>
          <w:jc w:val="center"/>
        </w:trPr>
        <w:tc>
          <w:tcPr>
            <w:tcW w:w="2042" w:type="pct"/>
            <w:shd w:val="clear" w:color="auto" w:fill="auto"/>
            <w:vAlign w:val="center"/>
          </w:tcPr>
          <w:p w14:paraId="7BB5B7DD" w14:textId="77777777" w:rsidR="006B3C1A" w:rsidRPr="004E4DB5" w:rsidRDefault="006B3C1A" w:rsidP="00C60BDE">
            <w:pPr>
              <w:spacing w:before="120" w:after="120"/>
              <w:jc w:val="right"/>
              <w:rPr>
                <w:rFonts w:ascii="Arial" w:hAnsi="Arial" w:cs="Arial"/>
                <w:b/>
                <w:bCs/>
                <w:sz w:val="20"/>
              </w:rPr>
            </w:pPr>
            <w:r w:rsidRPr="004E4DB5">
              <w:rPr>
                <w:rFonts w:ascii="Arial" w:hAnsi="Arial" w:cs="Arial"/>
                <w:b/>
                <w:bCs/>
                <w:sz w:val="20"/>
              </w:rPr>
              <w:t>Reglamento de Elecciones:</w:t>
            </w:r>
          </w:p>
        </w:tc>
        <w:tc>
          <w:tcPr>
            <w:tcW w:w="2958" w:type="pct"/>
            <w:shd w:val="clear" w:color="auto" w:fill="auto"/>
            <w:vAlign w:val="center"/>
          </w:tcPr>
          <w:p w14:paraId="055B9F69" w14:textId="77777777" w:rsidR="006B3C1A" w:rsidRPr="004E4DB5" w:rsidRDefault="006B3C1A" w:rsidP="00C60BDE">
            <w:pPr>
              <w:spacing w:before="120" w:after="120"/>
              <w:rPr>
                <w:rFonts w:ascii="Arial" w:hAnsi="Arial" w:cs="Arial"/>
                <w:sz w:val="20"/>
              </w:rPr>
            </w:pPr>
            <w:r w:rsidRPr="004E4DB5">
              <w:rPr>
                <w:rFonts w:ascii="Arial" w:hAnsi="Arial" w:cs="Arial"/>
                <w:sz w:val="20"/>
              </w:rPr>
              <w:t>Reglamento de Elecciones del Instituto Nacional Electoral.</w:t>
            </w:r>
          </w:p>
        </w:tc>
      </w:tr>
    </w:tbl>
    <w:bookmarkEnd w:id="1"/>
    <w:p w14:paraId="0603B964" w14:textId="082BB72D" w:rsidR="001616F8" w:rsidRPr="004E4DB5" w:rsidRDefault="001616F8" w:rsidP="004E4DB5">
      <w:pPr>
        <w:pStyle w:val="Ttulo1"/>
        <w:spacing w:before="360"/>
        <w:rPr>
          <w:rFonts w:ascii="Arial" w:hAnsi="Arial" w:cs="Arial"/>
          <w:sz w:val="24"/>
        </w:rPr>
      </w:pPr>
      <w:r w:rsidRPr="004E4DB5">
        <w:rPr>
          <w:rFonts w:ascii="Arial" w:hAnsi="Arial" w:cs="Arial"/>
          <w:sz w:val="24"/>
        </w:rPr>
        <w:t>Antecedentes</w:t>
      </w:r>
    </w:p>
    <w:p w14:paraId="57EBEA33" w14:textId="607AFA8A" w:rsidR="001616F8" w:rsidRPr="004E4DB5" w:rsidRDefault="001616F8" w:rsidP="004E4DB5">
      <w:pPr>
        <w:pStyle w:val="Ttulo2"/>
        <w:spacing w:before="240"/>
        <w:rPr>
          <w:rFonts w:ascii="Arial" w:hAnsi="Arial" w:cs="Arial"/>
          <w:sz w:val="22"/>
        </w:rPr>
      </w:pPr>
      <w:r w:rsidRPr="004E4DB5">
        <w:rPr>
          <w:rFonts w:ascii="Arial" w:hAnsi="Arial" w:cs="Arial"/>
          <w:sz w:val="22"/>
        </w:rPr>
        <w:t>Fines del Instituto</w:t>
      </w:r>
    </w:p>
    <w:p w14:paraId="10847B33" w14:textId="77777777" w:rsidR="001616F8" w:rsidRPr="004E4DB5" w:rsidRDefault="001616F8" w:rsidP="004E4DB5">
      <w:pPr>
        <w:rPr>
          <w:rFonts w:ascii="Arial" w:hAnsi="Arial" w:cs="Arial"/>
          <w:sz w:val="22"/>
        </w:rPr>
      </w:pPr>
      <w:r w:rsidRPr="004E4DB5">
        <w:rPr>
          <w:rFonts w:ascii="Arial" w:hAnsi="Arial" w:cs="Arial"/>
          <w:sz w:val="22"/>
        </w:rPr>
        <w:t>De conformidad con el artículo 9 apartado C, base I, inciso a) de la Constitución Local,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457710BE" w14:textId="77777777" w:rsidR="001616F8" w:rsidRPr="004E4DB5" w:rsidRDefault="001616F8" w:rsidP="004E4DB5">
      <w:pPr>
        <w:rPr>
          <w:rFonts w:ascii="Arial" w:hAnsi="Arial" w:cs="Arial"/>
          <w:sz w:val="22"/>
        </w:rPr>
      </w:pPr>
      <w:r w:rsidRPr="004E4DB5">
        <w:rPr>
          <w:rFonts w:ascii="Arial" w:hAnsi="Arial" w:cs="Arial"/>
          <w:sz w:val="22"/>
        </w:rPr>
        <w:t>Además, es responsable de la organización de las elecciones estatales, distritales y municipales, así como la relativa a las personas titulares de las magistraturas del Tribunal de Disciplina Judicial y del Tribunal Superior de Justicia, y Juezas y Jueces del Poder Judicial del Estado de Tabasco.</w:t>
      </w:r>
    </w:p>
    <w:p w14:paraId="03CA323A" w14:textId="50DC823D" w:rsidR="001616F8" w:rsidRDefault="001616F8" w:rsidP="004E4DB5">
      <w:pPr>
        <w:rPr>
          <w:rFonts w:ascii="Arial" w:hAnsi="Arial" w:cs="Arial"/>
          <w:sz w:val="22"/>
        </w:rPr>
      </w:pPr>
      <w:r w:rsidRPr="004E4DB5">
        <w:rPr>
          <w:rFonts w:ascii="Arial" w:hAnsi="Arial" w:cs="Arial"/>
          <w:sz w:val="22"/>
        </w:rPr>
        <w:t>Las finalidades del Instituto, de conformidad con el artículo 101 de la Ley Electoral son: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Judicial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w:t>
      </w:r>
    </w:p>
    <w:p w14:paraId="367D2DE3" w14:textId="187085FB" w:rsidR="004E4DB5" w:rsidRDefault="004E4DB5" w:rsidP="004E4DB5">
      <w:pPr>
        <w:rPr>
          <w:rFonts w:ascii="Arial" w:hAnsi="Arial" w:cs="Arial"/>
          <w:sz w:val="22"/>
        </w:rPr>
      </w:pPr>
    </w:p>
    <w:p w14:paraId="2FD0BFDB" w14:textId="77777777" w:rsidR="004E4DB5" w:rsidRPr="004E4DB5" w:rsidRDefault="004E4DB5" w:rsidP="004E4DB5">
      <w:pPr>
        <w:rPr>
          <w:rFonts w:ascii="Arial" w:hAnsi="Arial" w:cs="Arial"/>
          <w:sz w:val="22"/>
        </w:rPr>
      </w:pPr>
    </w:p>
    <w:p w14:paraId="7EF58F71" w14:textId="7FB988DB" w:rsidR="001616F8" w:rsidRPr="004E4DB5" w:rsidRDefault="001616F8" w:rsidP="004E4DB5">
      <w:pPr>
        <w:pStyle w:val="Ttulo2"/>
        <w:spacing w:before="240"/>
        <w:rPr>
          <w:rFonts w:ascii="Arial" w:hAnsi="Arial" w:cs="Arial"/>
          <w:sz w:val="22"/>
        </w:rPr>
      </w:pPr>
      <w:r w:rsidRPr="004E4DB5">
        <w:rPr>
          <w:rFonts w:ascii="Arial" w:hAnsi="Arial" w:cs="Arial"/>
          <w:sz w:val="22"/>
        </w:rPr>
        <w:lastRenderedPageBreak/>
        <w:t>Integración del órgano superior de dirección</w:t>
      </w:r>
    </w:p>
    <w:p w14:paraId="2D8CE0FB" w14:textId="77777777" w:rsidR="001616F8" w:rsidRPr="004E4DB5" w:rsidRDefault="001616F8" w:rsidP="004E4DB5">
      <w:pPr>
        <w:rPr>
          <w:rFonts w:ascii="Arial" w:hAnsi="Arial" w:cs="Arial"/>
          <w:sz w:val="22"/>
        </w:rPr>
      </w:pPr>
      <w:r w:rsidRPr="004E4DB5">
        <w:rPr>
          <w:rFonts w:ascii="Arial" w:hAnsi="Arial" w:cs="Arial"/>
          <w:sz w:val="22"/>
        </w:rPr>
        <w:t>En términos del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109FCBA3" w14:textId="77777777" w:rsidR="001616F8" w:rsidRPr="004E4DB5" w:rsidRDefault="001616F8" w:rsidP="004E4DB5">
      <w:pPr>
        <w:rPr>
          <w:rFonts w:ascii="Arial" w:hAnsi="Arial" w:cs="Arial"/>
          <w:sz w:val="22"/>
        </w:rPr>
      </w:pPr>
      <w:r w:rsidRPr="004E4DB5">
        <w:rPr>
          <w:rFonts w:ascii="Arial" w:hAnsi="Arial" w:cs="Arial"/>
          <w:sz w:val="22"/>
        </w:rPr>
        <w:t>Dicho órgano electoral, de conformidad con los artículos 99 de la Ley General y 107 numeral 1 de la Ley Electoral,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5D53E682" w14:textId="77777777" w:rsidR="001616F8" w:rsidRPr="004E4DB5" w:rsidRDefault="001616F8" w:rsidP="004E4DB5">
      <w:pPr>
        <w:rPr>
          <w:rFonts w:ascii="Arial" w:hAnsi="Arial" w:cs="Arial"/>
          <w:sz w:val="22"/>
        </w:rPr>
      </w:pPr>
      <w:r w:rsidRPr="004E4DB5">
        <w:rPr>
          <w:rFonts w:ascii="Arial" w:hAnsi="Arial" w:cs="Arial"/>
          <w:sz w:val="22"/>
        </w:rPr>
        <w:t>No obstante, de acuerdo con el artículo segundo transitorio del decreto 080 de reforma publicado el 16 de diciembre de 2024 en el Periódico Oficial del Estado de Tabasco, se estableció que las y los representantes de los partidos políticos ante el Consejo Estatal no podrán participar en las acciones, actividades y sesiones relacionadas con el Proceso Electoral Extraordinario.</w:t>
      </w:r>
    </w:p>
    <w:p w14:paraId="76BEEF33" w14:textId="66B571BF" w:rsidR="001616F8" w:rsidRPr="004E4DB5" w:rsidRDefault="001616F8" w:rsidP="004E4DB5">
      <w:pPr>
        <w:pStyle w:val="Ttulo2"/>
        <w:spacing w:before="240"/>
        <w:rPr>
          <w:rFonts w:ascii="Arial" w:hAnsi="Arial" w:cs="Arial"/>
          <w:sz w:val="22"/>
        </w:rPr>
      </w:pPr>
      <w:r w:rsidRPr="004E4DB5">
        <w:rPr>
          <w:rFonts w:ascii="Arial" w:hAnsi="Arial" w:cs="Arial"/>
          <w:sz w:val="22"/>
        </w:rPr>
        <w:t>Órganos centrales del Instituto</w:t>
      </w:r>
    </w:p>
    <w:p w14:paraId="15EB7FE6" w14:textId="77777777" w:rsidR="001616F8" w:rsidRPr="004E4DB5" w:rsidRDefault="001616F8" w:rsidP="004E4DB5">
      <w:pPr>
        <w:rPr>
          <w:rFonts w:ascii="Arial" w:hAnsi="Arial" w:cs="Arial"/>
          <w:sz w:val="22"/>
        </w:rPr>
      </w:pPr>
      <w:r w:rsidRPr="004E4DB5">
        <w:rPr>
          <w:rFonts w:ascii="Arial" w:hAnsi="Arial" w:cs="Arial"/>
          <w:sz w:val="22"/>
        </w:rPr>
        <w:t>De acuerdo con el artículo 105 numeral 1 de la Ley Electoral los órganos centrales del Instituto son los siguientes:</w:t>
      </w:r>
    </w:p>
    <w:p w14:paraId="06966483" w14:textId="347985FB" w:rsidR="001616F8" w:rsidRPr="004E4DB5" w:rsidRDefault="001616F8" w:rsidP="004E4DB5">
      <w:pPr>
        <w:pStyle w:val="Prrafodelista"/>
        <w:numPr>
          <w:ilvl w:val="0"/>
          <w:numId w:val="5"/>
        </w:numPr>
        <w:spacing w:before="120" w:after="120"/>
        <w:ind w:left="851" w:hanging="567"/>
        <w:contextualSpacing w:val="0"/>
        <w:rPr>
          <w:rFonts w:ascii="Arial" w:hAnsi="Arial" w:cs="Arial"/>
          <w:sz w:val="22"/>
        </w:rPr>
      </w:pPr>
      <w:r w:rsidRPr="004E4DB5">
        <w:rPr>
          <w:rFonts w:ascii="Arial" w:hAnsi="Arial" w:cs="Arial"/>
          <w:sz w:val="22"/>
        </w:rPr>
        <w:t>Consejo Estatal;</w:t>
      </w:r>
    </w:p>
    <w:p w14:paraId="529AB3C8" w14:textId="40BD1D93" w:rsidR="001616F8" w:rsidRPr="004E4DB5" w:rsidRDefault="001616F8" w:rsidP="004E4DB5">
      <w:pPr>
        <w:pStyle w:val="Prrafodelista"/>
        <w:numPr>
          <w:ilvl w:val="0"/>
          <w:numId w:val="5"/>
        </w:numPr>
        <w:spacing w:before="120" w:after="120"/>
        <w:ind w:left="851" w:hanging="567"/>
        <w:contextualSpacing w:val="0"/>
        <w:rPr>
          <w:rFonts w:ascii="Arial" w:hAnsi="Arial" w:cs="Arial"/>
          <w:sz w:val="22"/>
        </w:rPr>
      </w:pPr>
      <w:r w:rsidRPr="004E4DB5">
        <w:rPr>
          <w:rFonts w:ascii="Arial" w:hAnsi="Arial" w:cs="Arial"/>
          <w:sz w:val="22"/>
        </w:rPr>
        <w:t>Presidencia del Consejo Estatal;</w:t>
      </w:r>
    </w:p>
    <w:p w14:paraId="13EFD05B" w14:textId="04952252" w:rsidR="001616F8" w:rsidRPr="004E4DB5" w:rsidRDefault="001616F8" w:rsidP="004E4DB5">
      <w:pPr>
        <w:pStyle w:val="Prrafodelista"/>
        <w:numPr>
          <w:ilvl w:val="0"/>
          <w:numId w:val="5"/>
        </w:numPr>
        <w:spacing w:before="120" w:after="120"/>
        <w:ind w:left="851" w:hanging="567"/>
        <w:contextualSpacing w:val="0"/>
        <w:rPr>
          <w:rFonts w:ascii="Arial" w:hAnsi="Arial" w:cs="Arial"/>
          <w:sz w:val="22"/>
        </w:rPr>
      </w:pPr>
      <w:r w:rsidRPr="004E4DB5">
        <w:rPr>
          <w:rFonts w:ascii="Arial" w:hAnsi="Arial" w:cs="Arial"/>
          <w:sz w:val="22"/>
        </w:rPr>
        <w:t>Junta Estatal Ejecutiva;</w:t>
      </w:r>
    </w:p>
    <w:p w14:paraId="7218FE95" w14:textId="2333D0CC" w:rsidR="001616F8" w:rsidRPr="004E4DB5" w:rsidRDefault="001616F8" w:rsidP="004E4DB5">
      <w:pPr>
        <w:pStyle w:val="Prrafodelista"/>
        <w:numPr>
          <w:ilvl w:val="0"/>
          <w:numId w:val="5"/>
        </w:numPr>
        <w:spacing w:before="120" w:after="120"/>
        <w:ind w:left="851" w:hanging="567"/>
        <w:contextualSpacing w:val="0"/>
        <w:rPr>
          <w:rFonts w:ascii="Arial" w:hAnsi="Arial" w:cs="Arial"/>
          <w:sz w:val="22"/>
        </w:rPr>
      </w:pPr>
      <w:r w:rsidRPr="004E4DB5">
        <w:rPr>
          <w:rFonts w:ascii="Arial" w:hAnsi="Arial" w:cs="Arial"/>
          <w:sz w:val="22"/>
        </w:rPr>
        <w:t>Secretaría Ejecutiva, y</w:t>
      </w:r>
    </w:p>
    <w:p w14:paraId="43EB9DEE" w14:textId="27D2C5F2" w:rsidR="001616F8" w:rsidRPr="004E4DB5" w:rsidRDefault="001616F8" w:rsidP="004E4DB5">
      <w:pPr>
        <w:pStyle w:val="Prrafodelista"/>
        <w:numPr>
          <w:ilvl w:val="0"/>
          <w:numId w:val="5"/>
        </w:numPr>
        <w:spacing w:before="120" w:after="120"/>
        <w:ind w:left="851" w:hanging="567"/>
        <w:contextualSpacing w:val="0"/>
        <w:rPr>
          <w:rFonts w:ascii="Arial" w:hAnsi="Arial" w:cs="Arial"/>
          <w:sz w:val="22"/>
        </w:rPr>
      </w:pPr>
      <w:r w:rsidRPr="004E4DB5">
        <w:rPr>
          <w:rFonts w:ascii="Arial" w:hAnsi="Arial" w:cs="Arial"/>
          <w:sz w:val="22"/>
        </w:rPr>
        <w:t>Órgano Técnico de Fiscalización.</w:t>
      </w:r>
    </w:p>
    <w:p w14:paraId="41167A6B" w14:textId="576EDE7A" w:rsidR="001616F8" w:rsidRPr="004E4DB5" w:rsidRDefault="001616F8" w:rsidP="004E4DB5">
      <w:pPr>
        <w:pStyle w:val="Ttulo2"/>
        <w:spacing w:before="240"/>
        <w:rPr>
          <w:rFonts w:ascii="Arial" w:hAnsi="Arial" w:cs="Arial"/>
          <w:sz w:val="22"/>
        </w:rPr>
      </w:pPr>
      <w:r w:rsidRPr="004E4DB5">
        <w:rPr>
          <w:rFonts w:ascii="Arial" w:hAnsi="Arial" w:cs="Arial"/>
          <w:sz w:val="22"/>
        </w:rPr>
        <w:t xml:space="preserve">Reforma Constitucional </w:t>
      </w:r>
    </w:p>
    <w:p w14:paraId="1663353D" w14:textId="77777777" w:rsidR="001616F8" w:rsidRPr="004E4DB5" w:rsidRDefault="001616F8" w:rsidP="004E4DB5">
      <w:pPr>
        <w:rPr>
          <w:rFonts w:ascii="Arial" w:hAnsi="Arial" w:cs="Arial"/>
          <w:sz w:val="22"/>
        </w:rPr>
      </w:pPr>
      <w:r w:rsidRPr="004E4DB5">
        <w:rPr>
          <w:rFonts w:ascii="Arial" w:hAnsi="Arial" w:cs="Arial"/>
          <w:sz w:val="22"/>
        </w:rPr>
        <w:t xml:space="preserve">El 16 de diciembre de 2024 se publicó en el Periódico Oficial del Estado de Tabasco, el decreto 080 mediante el cual, el Congreso Local reformó los artículos 9, párrafo tercero, la fracción I de su Apartado C, y las fracciones VI y VII del Apartado D; 36, fracciones XIV, XIX y XXI; 55, párrafos primero y segundo; 55 Bis; 55 Ter; 56; 57; 59, párrafo primero; 62; 63; 68, párrafo primero; 73 Ter, párrafo segundo, fracción VII; 75, párrafo primero y 79; asimismo, adicionó la fracción VIII del Apartado D del artículo 9 y derogó el párrafo segundo </w:t>
      </w:r>
      <w:r w:rsidRPr="004E4DB5">
        <w:rPr>
          <w:rFonts w:ascii="Arial" w:hAnsi="Arial" w:cs="Arial"/>
          <w:sz w:val="22"/>
        </w:rPr>
        <w:lastRenderedPageBreak/>
        <w:t>de la fracción XXI del artículo 36, la fracción IV del artículo 39; el inciso b) de la fracción I del artículo 55; y el artículo 61; todos de la Constitución Local.  Dicha reforma entró en vigor el 17 de diciembre de 2024.</w:t>
      </w:r>
    </w:p>
    <w:p w14:paraId="76FE1AE1" w14:textId="77777777" w:rsidR="001616F8" w:rsidRPr="004E4DB5" w:rsidRDefault="001616F8" w:rsidP="004E4DB5">
      <w:pPr>
        <w:rPr>
          <w:rFonts w:ascii="Arial" w:hAnsi="Arial" w:cs="Arial"/>
          <w:sz w:val="22"/>
        </w:rPr>
      </w:pPr>
      <w:r w:rsidRPr="004E4DB5">
        <w:rPr>
          <w:rFonts w:ascii="Arial" w:hAnsi="Arial" w:cs="Arial"/>
          <w:sz w:val="22"/>
        </w:rPr>
        <w:t>Con la reforma mencionada se determinó que la renovación de los Poderes Legislativo, Ejecutivo, Judicial y de los gobiernos municipales, se realizará mediante elecciones libres, auténticas y periódicas, a través del sufragio universal, libre, secreto, directo, personal e intransferible, cuyo ejercicio está garantizado por la propia Constitución Local.</w:t>
      </w:r>
    </w:p>
    <w:p w14:paraId="0D5A3303" w14:textId="59D98FF8" w:rsidR="001616F8" w:rsidRPr="004E4DB5" w:rsidRDefault="001616F8" w:rsidP="004E4DB5">
      <w:pPr>
        <w:pStyle w:val="Ttulo2"/>
        <w:spacing w:before="240"/>
        <w:rPr>
          <w:rFonts w:ascii="Arial" w:hAnsi="Arial" w:cs="Arial"/>
          <w:sz w:val="22"/>
        </w:rPr>
      </w:pPr>
      <w:r w:rsidRPr="004E4DB5">
        <w:rPr>
          <w:rFonts w:ascii="Arial" w:hAnsi="Arial" w:cs="Arial"/>
          <w:sz w:val="22"/>
        </w:rPr>
        <w:t>Inicio del Proceso Electoral Extraordinario</w:t>
      </w:r>
    </w:p>
    <w:p w14:paraId="5863A493" w14:textId="77777777" w:rsidR="001616F8" w:rsidRPr="004E4DB5" w:rsidRDefault="001616F8" w:rsidP="004E4DB5">
      <w:pPr>
        <w:rPr>
          <w:rFonts w:ascii="Arial" w:hAnsi="Arial" w:cs="Arial"/>
          <w:sz w:val="22"/>
        </w:rPr>
      </w:pPr>
      <w:r w:rsidRPr="004E4DB5">
        <w:rPr>
          <w:rFonts w:ascii="Arial" w:hAnsi="Arial" w:cs="Arial"/>
          <w:sz w:val="22"/>
        </w:rPr>
        <w:t>El 20 de diciembre de 2024, en cumplimiento al artículo segundo transitorio del decreto 080, el Consejo Estatal declaró el inicio del Proceso Electoral Extraordinario en el que se elegirán a las Magistradas y Magistrados que integran el Tribunal de Disciplina Judicial, el cincuenta por ciento de las Magistradas y Magistrados que integran el Pleno del Tribunal Superior de Justicia, así como el cincuenta por ciento de las Juezas y Jueces del Poder Judicial del Estado.</w:t>
      </w:r>
    </w:p>
    <w:p w14:paraId="01AD74DF" w14:textId="0A74F6F0" w:rsidR="001616F8" w:rsidRPr="004E4DB5" w:rsidRDefault="001616F8" w:rsidP="004E4DB5">
      <w:pPr>
        <w:pStyle w:val="Ttulo2"/>
        <w:spacing w:before="240"/>
        <w:rPr>
          <w:rFonts w:ascii="Arial" w:hAnsi="Arial" w:cs="Arial"/>
          <w:sz w:val="22"/>
        </w:rPr>
      </w:pPr>
      <w:r w:rsidRPr="004E4DB5">
        <w:rPr>
          <w:rFonts w:ascii="Arial" w:hAnsi="Arial" w:cs="Arial"/>
          <w:sz w:val="22"/>
        </w:rPr>
        <w:t>Reforma a la Ley Electoral</w:t>
      </w:r>
    </w:p>
    <w:p w14:paraId="76693DD7" w14:textId="77777777" w:rsidR="001616F8" w:rsidRPr="004E4DB5" w:rsidRDefault="001616F8" w:rsidP="004E4DB5">
      <w:pPr>
        <w:rPr>
          <w:rFonts w:ascii="Arial" w:hAnsi="Arial" w:cs="Arial"/>
          <w:sz w:val="22"/>
        </w:rPr>
      </w:pPr>
      <w:r w:rsidRPr="004E4DB5">
        <w:rPr>
          <w:rFonts w:ascii="Arial" w:hAnsi="Arial" w:cs="Arial"/>
          <w:sz w:val="22"/>
        </w:rPr>
        <w:t>El 18 de enero de 2025, se publicó en el Periódico Oficial del Estado de Tabasco, el decreto 083, mediante el cual, el H. Congreso del Estado reformó los artículos 1 fracción IV, 101 fracción IV, 115 numeral 1 fracciones XXXVIII y XXXIX, 116 fracción III, 127 numeral 4, 128, 335 numeral 1 fracción III y adicionó las fracciones II bis y II ter del numeral 1 del artículo 2, la fracción XL al numeral 1 del artículo 115, el numeral 5 del artículo 115, segundo párrafo al numeral 1 del artículo 127, el libro noveno que comprenden los artículos 384 al 419, todos de la Ley Electoral.</w:t>
      </w:r>
    </w:p>
    <w:p w14:paraId="3E764F1A" w14:textId="4432007F" w:rsidR="001616F8" w:rsidRPr="004E4DB5" w:rsidRDefault="001616F8" w:rsidP="004E4DB5">
      <w:pPr>
        <w:pStyle w:val="Ttulo2"/>
        <w:spacing w:before="240"/>
        <w:rPr>
          <w:rFonts w:ascii="Arial" w:hAnsi="Arial" w:cs="Arial"/>
          <w:sz w:val="22"/>
        </w:rPr>
      </w:pPr>
      <w:r w:rsidRPr="004E4DB5">
        <w:rPr>
          <w:rFonts w:ascii="Arial" w:hAnsi="Arial" w:cs="Arial"/>
          <w:sz w:val="22"/>
        </w:rPr>
        <w:t xml:space="preserve">Directrices del INE </w:t>
      </w:r>
    </w:p>
    <w:p w14:paraId="5BC57BE0" w14:textId="77777777" w:rsidR="001616F8" w:rsidRPr="004E4DB5" w:rsidRDefault="001616F8" w:rsidP="004E4DB5">
      <w:pPr>
        <w:rPr>
          <w:rFonts w:ascii="Arial" w:hAnsi="Arial" w:cs="Arial"/>
          <w:sz w:val="22"/>
        </w:rPr>
      </w:pPr>
      <w:r w:rsidRPr="004E4DB5">
        <w:rPr>
          <w:rFonts w:ascii="Arial" w:hAnsi="Arial" w:cs="Arial"/>
          <w:sz w:val="22"/>
        </w:rPr>
        <w:t>El 30 de enero de 2025, el Consejo General del INE mediante acuerdo INE/CG52/2025 emitió las directrices generales para la organización de los procesos electorales de los poderes judiciales de las entidades federativas en el Proceso Electoral Extraordinario.</w:t>
      </w:r>
    </w:p>
    <w:p w14:paraId="4E3B4B5D" w14:textId="170CE381" w:rsidR="002B7E8F" w:rsidRPr="004E4DB5" w:rsidRDefault="002B7E8F" w:rsidP="004E4DB5">
      <w:pPr>
        <w:pStyle w:val="Ttulo2"/>
        <w:spacing w:before="240"/>
        <w:rPr>
          <w:rFonts w:ascii="Arial" w:hAnsi="Arial" w:cs="Arial"/>
          <w:sz w:val="22"/>
        </w:rPr>
      </w:pPr>
      <w:r w:rsidRPr="004E4DB5">
        <w:rPr>
          <w:rFonts w:ascii="Arial" w:hAnsi="Arial" w:cs="Arial"/>
          <w:sz w:val="22"/>
        </w:rPr>
        <w:t>Integración de la Comisión</w:t>
      </w:r>
    </w:p>
    <w:p w14:paraId="693B23E3" w14:textId="53C71210" w:rsidR="002B7E8F" w:rsidRPr="004E4DB5" w:rsidRDefault="002B7E8F" w:rsidP="004E4DB5">
      <w:pPr>
        <w:rPr>
          <w:rFonts w:ascii="Arial" w:hAnsi="Arial" w:cs="Arial"/>
          <w:sz w:val="22"/>
        </w:rPr>
      </w:pPr>
      <w:r w:rsidRPr="004E4DB5">
        <w:rPr>
          <w:rFonts w:ascii="Arial" w:hAnsi="Arial" w:cs="Arial"/>
          <w:sz w:val="22"/>
        </w:rPr>
        <w:t>El 4 de octubre de 2024, mediante acuerdo CE/2024/090, el Consejo Estatal modificó la conformación de las Comisiones Permanentes, entre ellas, la relativa a la de Organización Electoral y Educación Cívica, quedando integrada por el Consejero Electoral Mtro. Hernán González Sala y las Consejeras Electorales, Licda. Ángela Guadalupe Araujo Segura y Licda. María Elvia Magaña Sandoval, ésta última, Presidenta de la Comisión.</w:t>
      </w:r>
    </w:p>
    <w:p w14:paraId="3CD3D29D" w14:textId="766E1443" w:rsidR="001616F8" w:rsidRPr="004E4DB5" w:rsidRDefault="001616F8" w:rsidP="004E4DB5">
      <w:pPr>
        <w:pStyle w:val="Ttulo2"/>
        <w:spacing w:before="240"/>
        <w:rPr>
          <w:rFonts w:ascii="Arial" w:hAnsi="Arial" w:cs="Arial"/>
          <w:sz w:val="22"/>
        </w:rPr>
      </w:pPr>
      <w:r w:rsidRPr="004E4DB5">
        <w:rPr>
          <w:rFonts w:ascii="Arial" w:hAnsi="Arial" w:cs="Arial"/>
          <w:sz w:val="22"/>
        </w:rPr>
        <w:lastRenderedPageBreak/>
        <w:t>Jornada electoral</w:t>
      </w:r>
    </w:p>
    <w:p w14:paraId="25439526" w14:textId="77777777" w:rsidR="001616F8" w:rsidRPr="004E4DB5" w:rsidRDefault="001616F8" w:rsidP="004E4DB5">
      <w:pPr>
        <w:rPr>
          <w:rFonts w:ascii="Arial" w:hAnsi="Arial" w:cs="Arial"/>
          <w:sz w:val="22"/>
        </w:rPr>
      </w:pPr>
      <w:r w:rsidRPr="004E4DB5">
        <w:rPr>
          <w:rFonts w:ascii="Arial" w:hAnsi="Arial" w:cs="Arial"/>
          <w:sz w:val="22"/>
        </w:rPr>
        <w:t>En términos del artículo segundo transitorio del decreto 080, la jornada electoral se celebrará el primer domingo de junio del año de la elección; que, en el caso del Proceso Electoral Extraordinario, corresponde al 1 de junio de 2025. Asimismo, podrán participar como observadoras las personas o agrupaciones acreditadas por el Instituto, con excepción de las y los representantes o militantes de un partido político.</w:t>
      </w:r>
    </w:p>
    <w:p w14:paraId="2CBD8A8E" w14:textId="780C55BB" w:rsidR="001616F8" w:rsidRPr="004E4DB5" w:rsidRDefault="001616F8" w:rsidP="004E4DB5">
      <w:pPr>
        <w:pStyle w:val="Ttulo2"/>
        <w:spacing w:before="240"/>
        <w:rPr>
          <w:rFonts w:ascii="Arial" w:hAnsi="Arial" w:cs="Arial"/>
          <w:sz w:val="22"/>
        </w:rPr>
      </w:pPr>
      <w:r w:rsidRPr="004E4DB5">
        <w:rPr>
          <w:rFonts w:ascii="Arial" w:hAnsi="Arial" w:cs="Arial"/>
          <w:sz w:val="22"/>
        </w:rPr>
        <w:t>Presentación de la propuesta</w:t>
      </w:r>
    </w:p>
    <w:p w14:paraId="380B956C" w14:textId="26A3DE9C" w:rsidR="001616F8" w:rsidRPr="004E4DB5" w:rsidRDefault="001616F8" w:rsidP="004E4DB5">
      <w:pPr>
        <w:rPr>
          <w:rFonts w:ascii="Arial" w:hAnsi="Arial" w:cs="Arial"/>
          <w:sz w:val="22"/>
        </w:rPr>
      </w:pPr>
      <w:r w:rsidRPr="004E4DB5">
        <w:rPr>
          <w:rFonts w:ascii="Arial" w:hAnsi="Arial" w:cs="Arial"/>
          <w:sz w:val="22"/>
        </w:rPr>
        <w:t>El 1</w:t>
      </w:r>
      <w:r w:rsidR="00922658" w:rsidRPr="004E4DB5">
        <w:rPr>
          <w:rFonts w:ascii="Arial" w:hAnsi="Arial" w:cs="Arial"/>
          <w:sz w:val="22"/>
        </w:rPr>
        <w:t>0</w:t>
      </w:r>
      <w:r w:rsidRPr="004E4DB5">
        <w:rPr>
          <w:rFonts w:ascii="Arial" w:hAnsi="Arial" w:cs="Arial"/>
          <w:sz w:val="22"/>
        </w:rPr>
        <w:t xml:space="preserve"> de </w:t>
      </w:r>
      <w:r w:rsidR="00922658" w:rsidRPr="004E4DB5">
        <w:rPr>
          <w:rFonts w:ascii="Arial" w:hAnsi="Arial" w:cs="Arial"/>
          <w:sz w:val="22"/>
        </w:rPr>
        <w:t xml:space="preserve">mayo </w:t>
      </w:r>
      <w:r w:rsidRPr="004E4DB5">
        <w:rPr>
          <w:rFonts w:ascii="Arial" w:hAnsi="Arial" w:cs="Arial"/>
          <w:sz w:val="22"/>
        </w:rPr>
        <w:t xml:space="preserve">de 2025, el Secretario Técnico de la Comisión remitió a la Presidencia del Consejo, la propuesta relativa al </w:t>
      </w:r>
      <w:r w:rsidR="0099640A" w:rsidRPr="004E4DB5">
        <w:rPr>
          <w:rFonts w:ascii="Arial" w:hAnsi="Arial" w:cs="Arial"/>
          <w:sz w:val="22"/>
        </w:rPr>
        <w:t>modelo operativo de recepción de paquetes y material electoral al término de la Jornada Electoral con motivo del Proceso Electoral Extraordinario</w:t>
      </w:r>
      <w:r w:rsidRPr="004E4DB5">
        <w:rPr>
          <w:rFonts w:ascii="Arial" w:hAnsi="Arial" w:cs="Arial"/>
          <w:sz w:val="22"/>
        </w:rPr>
        <w:t>, formulado por dicha Comisión; lo anterior, para efectos de someterlo a la deliberación de este Consejo Estatal.</w:t>
      </w:r>
    </w:p>
    <w:p w14:paraId="6A8380FB" w14:textId="77777777" w:rsidR="001616F8" w:rsidRPr="004E4DB5" w:rsidRDefault="001616F8" w:rsidP="004E4DB5">
      <w:pPr>
        <w:pStyle w:val="Ttulo1"/>
        <w:spacing w:before="360"/>
        <w:rPr>
          <w:rFonts w:ascii="Arial" w:hAnsi="Arial" w:cs="Arial"/>
          <w:sz w:val="24"/>
        </w:rPr>
      </w:pPr>
      <w:r w:rsidRPr="004E4DB5">
        <w:rPr>
          <w:rFonts w:ascii="Arial" w:hAnsi="Arial" w:cs="Arial"/>
          <w:sz w:val="24"/>
        </w:rPr>
        <w:t>Considerando</w:t>
      </w:r>
    </w:p>
    <w:p w14:paraId="51F7FF6A" w14:textId="77777777" w:rsidR="001616F8" w:rsidRPr="004E4DB5" w:rsidRDefault="001616F8" w:rsidP="004E4DB5">
      <w:pPr>
        <w:pStyle w:val="Ttulo2"/>
        <w:spacing w:before="240"/>
        <w:rPr>
          <w:rFonts w:ascii="Arial" w:hAnsi="Arial" w:cs="Arial"/>
          <w:sz w:val="22"/>
          <w:szCs w:val="22"/>
        </w:rPr>
      </w:pPr>
      <w:r w:rsidRPr="004E4DB5">
        <w:rPr>
          <w:rFonts w:ascii="Arial" w:hAnsi="Arial" w:cs="Arial"/>
          <w:sz w:val="22"/>
          <w:szCs w:val="22"/>
        </w:rPr>
        <w:t>Competencia del Consejo Estatal</w:t>
      </w:r>
    </w:p>
    <w:p w14:paraId="320E645E" w14:textId="77777777" w:rsidR="001616F8" w:rsidRPr="004E4DB5" w:rsidRDefault="001616F8" w:rsidP="004E4DB5">
      <w:pPr>
        <w:widowControl w:val="0"/>
        <w:rPr>
          <w:rFonts w:ascii="Arial" w:hAnsi="Arial" w:cs="Arial"/>
          <w:sz w:val="22"/>
          <w:szCs w:val="22"/>
        </w:rPr>
      </w:pPr>
      <w:r w:rsidRPr="004E4DB5">
        <w:rPr>
          <w:rFonts w:ascii="Arial" w:hAnsi="Arial" w:cs="Arial"/>
          <w:sz w:val="22"/>
          <w:szCs w:val="22"/>
        </w:rPr>
        <w:t>Que, de conformidad con los artículos 115 numeral 1, fracción XL y 393 numeral 1, fracción II de la Ley Electoral, el Consejo Estatal es competente para organizar el proceso electivo de las personas juzgadoras, su jornada electoral y los cómputos de los resultados electorales, en los términos que determine la Ley General y la Ley Electoral; así como, para aprobar los lineamientos o acuerdos necesarios para llevar a cabo la organización, desarrollo y cómputo de la elección.</w:t>
      </w:r>
    </w:p>
    <w:p w14:paraId="6D2D4256" w14:textId="77777777" w:rsidR="001616F8" w:rsidRPr="004E4DB5" w:rsidRDefault="001616F8" w:rsidP="004E4DB5">
      <w:pPr>
        <w:widowControl w:val="0"/>
        <w:rPr>
          <w:rFonts w:ascii="Arial" w:hAnsi="Arial" w:cs="Arial"/>
          <w:sz w:val="22"/>
          <w:szCs w:val="22"/>
        </w:rPr>
      </w:pPr>
      <w:r w:rsidRPr="004E4DB5">
        <w:rPr>
          <w:rFonts w:ascii="Arial" w:hAnsi="Arial" w:cs="Arial"/>
          <w:sz w:val="22"/>
          <w:szCs w:val="22"/>
        </w:rPr>
        <w:t>Acorde a lo anterior, el artículo 115 numeral 5 de la Ley Electoral establece que, el Consejo Estatal podrá emitir los acuerdos que estime necesarios para la organización, integración de la estructura, desarrollo, cómputo, vigilancia y fiscalización de los procesos electorales de las personas juzgadoras, garantizando el cumplimiento de las disposiciones constitucionales y legales aplicables para los procesos electorales estatales, observando los principios de certeza, legalidad, independencia, imparcialidad, máxima publicidad, objetividad y paridad de género.</w:t>
      </w:r>
    </w:p>
    <w:p w14:paraId="7C56D56C" w14:textId="77777777" w:rsidR="001616F8" w:rsidRPr="004E4DB5" w:rsidRDefault="001616F8" w:rsidP="004E4DB5">
      <w:pPr>
        <w:pStyle w:val="Ttulo2"/>
        <w:spacing w:before="240"/>
        <w:rPr>
          <w:rFonts w:ascii="Arial" w:hAnsi="Arial" w:cs="Arial"/>
          <w:sz w:val="22"/>
          <w:szCs w:val="22"/>
        </w:rPr>
      </w:pPr>
      <w:r w:rsidRPr="004E4DB5">
        <w:rPr>
          <w:rFonts w:ascii="Arial" w:hAnsi="Arial" w:cs="Arial"/>
          <w:sz w:val="22"/>
          <w:szCs w:val="22"/>
        </w:rPr>
        <w:t xml:space="preserve">Atribuciones de la Comisión  </w:t>
      </w:r>
    </w:p>
    <w:p w14:paraId="2A469DED" w14:textId="77777777" w:rsidR="001616F8" w:rsidRPr="004E4DB5" w:rsidRDefault="001616F8" w:rsidP="004E4DB5">
      <w:pPr>
        <w:rPr>
          <w:rFonts w:ascii="Arial" w:hAnsi="Arial" w:cs="Arial"/>
          <w:sz w:val="22"/>
          <w:szCs w:val="22"/>
        </w:rPr>
      </w:pPr>
      <w:r w:rsidRPr="004E4DB5">
        <w:rPr>
          <w:rFonts w:ascii="Arial" w:hAnsi="Arial" w:cs="Arial"/>
          <w:sz w:val="22"/>
          <w:szCs w:val="22"/>
        </w:rPr>
        <w:t xml:space="preserve">Que, de acuerdo a los dispuesto en los artículos 113, numerales 1 y 3 de la Ley Electoral; y 14, numeral 1, fracción VI y VII del Reglamento de Comisiones, la Comisión, es el órgano auxiliar del Consejo Estatal, que tiene entre otras funciones, formular recomendaciones y </w:t>
      </w:r>
      <w:r w:rsidRPr="004E4DB5">
        <w:rPr>
          <w:rFonts w:ascii="Arial" w:hAnsi="Arial" w:cs="Arial"/>
          <w:sz w:val="22"/>
          <w:szCs w:val="22"/>
        </w:rPr>
        <w:lastRenderedPageBreak/>
        <w:t>sugerir directrices a la Dirección de Organización Electoral y Educación Cívica, para el cumplimiento del Programa Anual, así como proponer al Consejo Estatal, políticas y programas generales en materia de Organización Electoral, Educación Cívica o Participación Ciudadana.</w:t>
      </w:r>
    </w:p>
    <w:p w14:paraId="72255327" w14:textId="77777777" w:rsidR="001616F8" w:rsidRPr="004E4DB5" w:rsidRDefault="001616F8" w:rsidP="004E4DB5">
      <w:pPr>
        <w:pStyle w:val="Ttulo2"/>
        <w:spacing w:before="240"/>
        <w:rPr>
          <w:rFonts w:ascii="Arial" w:hAnsi="Arial" w:cs="Arial"/>
          <w:sz w:val="22"/>
          <w:szCs w:val="22"/>
        </w:rPr>
      </w:pPr>
      <w:r w:rsidRPr="004E4DB5">
        <w:rPr>
          <w:rFonts w:ascii="Arial" w:hAnsi="Arial" w:cs="Arial"/>
          <w:sz w:val="22"/>
          <w:szCs w:val="22"/>
        </w:rPr>
        <w:t>Proceso electoral de las personas juzgadoras</w:t>
      </w:r>
    </w:p>
    <w:p w14:paraId="1CF3F901" w14:textId="77777777" w:rsidR="001616F8" w:rsidRPr="004E4DB5" w:rsidRDefault="001616F8" w:rsidP="004E4DB5">
      <w:pPr>
        <w:widowControl w:val="0"/>
        <w:rPr>
          <w:rFonts w:ascii="Arial" w:hAnsi="Arial" w:cs="Arial"/>
          <w:sz w:val="22"/>
          <w:szCs w:val="22"/>
        </w:rPr>
      </w:pPr>
      <w:r w:rsidRPr="004E4DB5">
        <w:rPr>
          <w:rFonts w:ascii="Arial" w:hAnsi="Arial" w:cs="Arial"/>
          <w:sz w:val="22"/>
          <w:szCs w:val="22"/>
        </w:rPr>
        <w:t>Que, el artículo 386 numeral 1 de la Ley Electoral dispone que, el proceso electoral de las personas juzgadoras del Poder Judicial es el conjunto de actos ordenados por la Constitución Local y la Ley Electoral, realizado por las autoridades electorales, el Congreso del Estado, así como la ciudadanía, que tiene por objeto la renovación periódica de las personas juzgadoras que integran el Poder Judicial.</w:t>
      </w:r>
    </w:p>
    <w:p w14:paraId="56A45C53" w14:textId="77777777" w:rsidR="001616F8" w:rsidRPr="004E4DB5" w:rsidRDefault="001616F8" w:rsidP="004E4DB5">
      <w:pPr>
        <w:pStyle w:val="Ttulo2"/>
        <w:spacing w:before="240"/>
        <w:rPr>
          <w:rFonts w:ascii="Arial" w:hAnsi="Arial" w:cs="Arial"/>
          <w:sz w:val="22"/>
          <w:szCs w:val="22"/>
        </w:rPr>
      </w:pPr>
      <w:r w:rsidRPr="004E4DB5">
        <w:rPr>
          <w:rFonts w:ascii="Arial" w:hAnsi="Arial" w:cs="Arial"/>
          <w:sz w:val="22"/>
          <w:szCs w:val="22"/>
        </w:rPr>
        <w:t>Etapas del proceso electoral de las personas juzgadoras</w:t>
      </w:r>
    </w:p>
    <w:p w14:paraId="7A76C87F" w14:textId="77777777" w:rsidR="001616F8" w:rsidRPr="004E4DB5" w:rsidRDefault="001616F8" w:rsidP="004E4DB5">
      <w:pPr>
        <w:widowControl w:val="0"/>
        <w:rPr>
          <w:rFonts w:ascii="Arial" w:hAnsi="Arial" w:cs="Arial"/>
          <w:sz w:val="22"/>
          <w:szCs w:val="22"/>
        </w:rPr>
      </w:pPr>
      <w:r w:rsidRPr="004E4DB5">
        <w:rPr>
          <w:rFonts w:ascii="Arial" w:hAnsi="Arial" w:cs="Arial"/>
          <w:sz w:val="22"/>
          <w:szCs w:val="22"/>
        </w:rPr>
        <w:t>Que, el artículo 387 numeral 1 de la Ley Electoral establece que, el proceso de elección de las personas juzgadoras del Poder Judicial comprende las siguientes etapas:</w:t>
      </w:r>
    </w:p>
    <w:p w14:paraId="39F6A301" w14:textId="77777777" w:rsidR="001616F8" w:rsidRPr="004E4DB5" w:rsidRDefault="001616F8" w:rsidP="004E4DB5">
      <w:pPr>
        <w:pStyle w:val="Prrafodelista"/>
        <w:widowControl w:val="0"/>
        <w:numPr>
          <w:ilvl w:val="0"/>
          <w:numId w:val="1"/>
        </w:numPr>
        <w:spacing w:before="120" w:after="120"/>
        <w:ind w:left="703" w:hanging="703"/>
        <w:contextualSpacing w:val="0"/>
        <w:rPr>
          <w:rFonts w:ascii="Arial" w:hAnsi="Arial" w:cs="Arial"/>
          <w:sz w:val="22"/>
          <w:szCs w:val="22"/>
        </w:rPr>
      </w:pPr>
      <w:r w:rsidRPr="004E4DB5">
        <w:rPr>
          <w:rFonts w:ascii="Arial" w:hAnsi="Arial" w:cs="Arial"/>
          <w:sz w:val="22"/>
          <w:szCs w:val="22"/>
        </w:rPr>
        <w:t>Preparación de la elección;</w:t>
      </w:r>
    </w:p>
    <w:p w14:paraId="45D8225F" w14:textId="77777777" w:rsidR="001616F8" w:rsidRPr="004E4DB5" w:rsidRDefault="001616F8" w:rsidP="004E4DB5">
      <w:pPr>
        <w:pStyle w:val="Prrafodelista"/>
        <w:widowControl w:val="0"/>
        <w:numPr>
          <w:ilvl w:val="0"/>
          <w:numId w:val="1"/>
        </w:numPr>
        <w:spacing w:before="120" w:after="120"/>
        <w:ind w:left="703" w:hanging="703"/>
        <w:contextualSpacing w:val="0"/>
        <w:rPr>
          <w:rFonts w:ascii="Arial" w:hAnsi="Arial" w:cs="Arial"/>
          <w:sz w:val="22"/>
          <w:szCs w:val="22"/>
        </w:rPr>
      </w:pPr>
      <w:r w:rsidRPr="004E4DB5">
        <w:rPr>
          <w:rFonts w:ascii="Arial" w:hAnsi="Arial" w:cs="Arial"/>
          <w:sz w:val="22"/>
          <w:szCs w:val="22"/>
        </w:rPr>
        <w:t>Convocatoria y postulación de candidaturas;</w:t>
      </w:r>
    </w:p>
    <w:p w14:paraId="0FAB7B85" w14:textId="77777777" w:rsidR="001616F8" w:rsidRPr="004E4DB5" w:rsidRDefault="001616F8" w:rsidP="004E4DB5">
      <w:pPr>
        <w:pStyle w:val="Prrafodelista"/>
        <w:widowControl w:val="0"/>
        <w:numPr>
          <w:ilvl w:val="0"/>
          <w:numId w:val="1"/>
        </w:numPr>
        <w:spacing w:before="120" w:after="120"/>
        <w:ind w:left="703" w:hanging="703"/>
        <w:contextualSpacing w:val="0"/>
        <w:rPr>
          <w:rFonts w:ascii="Arial" w:hAnsi="Arial" w:cs="Arial"/>
          <w:sz w:val="22"/>
          <w:szCs w:val="22"/>
        </w:rPr>
      </w:pPr>
      <w:r w:rsidRPr="004E4DB5">
        <w:rPr>
          <w:rFonts w:ascii="Arial" w:hAnsi="Arial" w:cs="Arial"/>
          <w:sz w:val="22"/>
          <w:szCs w:val="22"/>
        </w:rPr>
        <w:t>Jornada electoral;</w:t>
      </w:r>
    </w:p>
    <w:p w14:paraId="40AE4B19" w14:textId="77777777" w:rsidR="001616F8" w:rsidRPr="004E4DB5" w:rsidRDefault="001616F8" w:rsidP="004E4DB5">
      <w:pPr>
        <w:pStyle w:val="Prrafodelista"/>
        <w:widowControl w:val="0"/>
        <w:numPr>
          <w:ilvl w:val="0"/>
          <w:numId w:val="1"/>
        </w:numPr>
        <w:spacing w:before="120" w:after="120"/>
        <w:ind w:left="703" w:hanging="703"/>
        <w:contextualSpacing w:val="0"/>
        <w:rPr>
          <w:rFonts w:ascii="Arial" w:hAnsi="Arial" w:cs="Arial"/>
          <w:sz w:val="22"/>
          <w:szCs w:val="22"/>
        </w:rPr>
      </w:pPr>
      <w:r w:rsidRPr="004E4DB5">
        <w:rPr>
          <w:rFonts w:ascii="Arial" w:hAnsi="Arial" w:cs="Arial"/>
          <w:sz w:val="22"/>
          <w:szCs w:val="22"/>
        </w:rPr>
        <w:t>Cómputos y sumatoria;</w:t>
      </w:r>
    </w:p>
    <w:p w14:paraId="7983D73E" w14:textId="77777777" w:rsidR="001616F8" w:rsidRPr="004E4DB5" w:rsidRDefault="001616F8" w:rsidP="004E4DB5">
      <w:pPr>
        <w:pStyle w:val="Prrafodelista"/>
        <w:widowControl w:val="0"/>
        <w:numPr>
          <w:ilvl w:val="0"/>
          <w:numId w:val="1"/>
        </w:numPr>
        <w:spacing w:before="120" w:after="120"/>
        <w:ind w:left="703" w:hanging="703"/>
        <w:contextualSpacing w:val="0"/>
        <w:rPr>
          <w:rFonts w:ascii="Arial" w:hAnsi="Arial" w:cs="Arial"/>
          <w:sz w:val="22"/>
          <w:szCs w:val="22"/>
        </w:rPr>
      </w:pPr>
      <w:r w:rsidRPr="004E4DB5">
        <w:rPr>
          <w:rFonts w:ascii="Arial" w:hAnsi="Arial" w:cs="Arial"/>
          <w:sz w:val="22"/>
          <w:szCs w:val="22"/>
        </w:rPr>
        <w:t>Asignación de cargos, y</w:t>
      </w:r>
    </w:p>
    <w:p w14:paraId="51E56B92" w14:textId="77777777" w:rsidR="001616F8" w:rsidRPr="004E4DB5" w:rsidRDefault="001616F8" w:rsidP="004E4DB5">
      <w:pPr>
        <w:pStyle w:val="Prrafodelista"/>
        <w:widowControl w:val="0"/>
        <w:numPr>
          <w:ilvl w:val="0"/>
          <w:numId w:val="1"/>
        </w:numPr>
        <w:spacing w:before="120" w:after="120"/>
        <w:ind w:left="703" w:hanging="703"/>
        <w:contextualSpacing w:val="0"/>
        <w:rPr>
          <w:rFonts w:ascii="Arial" w:hAnsi="Arial" w:cs="Arial"/>
          <w:sz w:val="22"/>
          <w:szCs w:val="22"/>
        </w:rPr>
      </w:pPr>
      <w:r w:rsidRPr="004E4DB5">
        <w:rPr>
          <w:rFonts w:ascii="Arial" w:hAnsi="Arial" w:cs="Arial"/>
          <w:sz w:val="22"/>
          <w:szCs w:val="22"/>
        </w:rPr>
        <w:t>La entrega de constancias de mayoría y declaración de validez de la elección.</w:t>
      </w:r>
    </w:p>
    <w:p w14:paraId="695C983A" w14:textId="77777777" w:rsidR="001616F8" w:rsidRPr="004E4DB5" w:rsidRDefault="001616F8" w:rsidP="004E4DB5">
      <w:pPr>
        <w:widowControl w:val="0"/>
        <w:rPr>
          <w:rFonts w:ascii="Arial" w:hAnsi="Arial" w:cs="Arial"/>
          <w:sz w:val="22"/>
          <w:szCs w:val="22"/>
        </w:rPr>
      </w:pPr>
      <w:r w:rsidRPr="004E4DB5">
        <w:rPr>
          <w:rFonts w:ascii="Arial" w:hAnsi="Arial" w:cs="Arial"/>
          <w:sz w:val="22"/>
          <w:szCs w:val="22"/>
        </w:rPr>
        <w:t>En términos del numeral 2 del artículo en cita, la etapa de preparación de la elección inicia con la primera sesión que el Instituto celebre en los primeros siete días del mes de septiembre del año anterior a la elección, y concluye al iniciarse la jornada electoral.</w:t>
      </w:r>
    </w:p>
    <w:p w14:paraId="2048E142" w14:textId="77777777" w:rsidR="001616F8" w:rsidRPr="004E4DB5" w:rsidRDefault="001616F8" w:rsidP="004E4DB5">
      <w:pPr>
        <w:widowControl w:val="0"/>
        <w:rPr>
          <w:rFonts w:ascii="Arial" w:hAnsi="Arial" w:cs="Arial"/>
          <w:sz w:val="22"/>
          <w:szCs w:val="22"/>
        </w:rPr>
      </w:pPr>
      <w:r w:rsidRPr="004E4DB5">
        <w:rPr>
          <w:rFonts w:ascii="Arial" w:hAnsi="Arial" w:cs="Arial"/>
          <w:sz w:val="22"/>
          <w:szCs w:val="22"/>
        </w:rPr>
        <w:t>Por su parte, el numeral 3 del artículo 387 de la Ley Electoral refiere que, la etapa de convocatoria y postulación de candidaturas inicia con la publicación de la convocatoria que emita el Congreso Local conforme a la fracción I del primer párrafo del artículo 56 de la Constitución Local, y concluye con la remisión por dicho órgano legislativo del listado de candidaturas al Instituto.</w:t>
      </w:r>
    </w:p>
    <w:p w14:paraId="26F661F1" w14:textId="77777777" w:rsidR="001616F8" w:rsidRPr="004E4DB5" w:rsidRDefault="001616F8" w:rsidP="004E4DB5">
      <w:pPr>
        <w:widowControl w:val="0"/>
        <w:rPr>
          <w:rFonts w:ascii="Arial" w:hAnsi="Arial" w:cs="Arial"/>
          <w:sz w:val="22"/>
          <w:szCs w:val="22"/>
        </w:rPr>
      </w:pPr>
      <w:r w:rsidRPr="004E4DB5">
        <w:rPr>
          <w:rFonts w:ascii="Arial" w:hAnsi="Arial" w:cs="Arial"/>
          <w:sz w:val="22"/>
          <w:szCs w:val="22"/>
        </w:rPr>
        <w:t>En el caso de la jornada electoral, ésta inicia a las 8:00 horas del primer domingo de junio del año que corresponda y concluye con el cómputo de los votos en casilla, de conformidad con el numeral 4 del artículo 387 de la Ley Electoral.</w:t>
      </w:r>
    </w:p>
    <w:p w14:paraId="55182088" w14:textId="77777777" w:rsidR="001616F8" w:rsidRPr="004E4DB5" w:rsidRDefault="001616F8" w:rsidP="004E4DB5">
      <w:pPr>
        <w:widowControl w:val="0"/>
        <w:rPr>
          <w:rFonts w:ascii="Arial" w:hAnsi="Arial" w:cs="Arial"/>
          <w:sz w:val="22"/>
          <w:szCs w:val="22"/>
        </w:rPr>
      </w:pPr>
      <w:r w:rsidRPr="004E4DB5">
        <w:rPr>
          <w:rFonts w:ascii="Arial" w:hAnsi="Arial" w:cs="Arial"/>
          <w:sz w:val="22"/>
          <w:szCs w:val="22"/>
        </w:rPr>
        <w:lastRenderedPageBreak/>
        <w:t>De acuerdo con el numeral 5 del artículo referido, la etapa de cómputos y sumatoria inicia con la remisión de la documentación y los expedientes electorales a los Consejos Distritales y concluye con la sumatoria de los cómputos de la elección que realice el Consejo Estatal.</w:t>
      </w:r>
    </w:p>
    <w:p w14:paraId="19A4F446" w14:textId="77777777" w:rsidR="001616F8" w:rsidRPr="004E4DB5" w:rsidRDefault="001616F8" w:rsidP="004E4DB5">
      <w:pPr>
        <w:widowControl w:val="0"/>
        <w:rPr>
          <w:rFonts w:ascii="Arial" w:hAnsi="Arial" w:cs="Arial"/>
          <w:sz w:val="22"/>
          <w:szCs w:val="22"/>
        </w:rPr>
      </w:pPr>
      <w:r w:rsidRPr="004E4DB5">
        <w:rPr>
          <w:rFonts w:ascii="Arial" w:hAnsi="Arial" w:cs="Arial"/>
          <w:sz w:val="22"/>
          <w:szCs w:val="22"/>
        </w:rPr>
        <w:t>Respecto a la etapa de asignación de cargos, conforme al numeral 6 del artículo 387 de la Ley Electoral inicia con la identificación por el Instituto de las candidaturas que hayan obtenido el mayor número de votos y la asignación de estas en cada cargo, en función de su especialización por materia y alternando entre mujeres y hombres. Concluye con la entrega por el Instituto de las constancias de mayoría a las candidaturas que resulten ganadoras y la emisión de la declaración de validez respectiva.</w:t>
      </w:r>
    </w:p>
    <w:p w14:paraId="683BE65D" w14:textId="77777777" w:rsidR="001616F8" w:rsidRPr="004E4DB5" w:rsidRDefault="001616F8" w:rsidP="004E4DB5">
      <w:pPr>
        <w:widowControl w:val="0"/>
        <w:rPr>
          <w:rFonts w:ascii="Arial" w:hAnsi="Arial" w:cs="Arial"/>
          <w:sz w:val="22"/>
          <w:szCs w:val="22"/>
        </w:rPr>
      </w:pPr>
      <w:r w:rsidRPr="004E4DB5">
        <w:rPr>
          <w:rFonts w:ascii="Arial" w:hAnsi="Arial" w:cs="Arial"/>
          <w:sz w:val="22"/>
          <w:szCs w:val="22"/>
        </w:rPr>
        <w:t>Finalmente, en términos del numeral 7 del artículo citado, la etapa de calificación y declaración de validez inicia al resolverse el último de los medios de impugnación que se hubiesen interpuesto en contra de las elecciones respectivas o cuando se tenga constancia de que no se presentó ninguno, y concluye al aprobar el Tribunal Electoral el dictamen que contenga el cómputo final de la elección.</w:t>
      </w:r>
    </w:p>
    <w:p w14:paraId="5D015BD2" w14:textId="77777777" w:rsidR="001616F8" w:rsidRPr="004E4DB5" w:rsidRDefault="001616F8" w:rsidP="004E4DB5">
      <w:pPr>
        <w:pStyle w:val="Ttulo2"/>
        <w:spacing w:before="240"/>
        <w:rPr>
          <w:rFonts w:ascii="Arial" w:hAnsi="Arial" w:cs="Arial"/>
          <w:sz w:val="22"/>
          <w:szCs w:val="22"/>
        </w:rPr>
      </w:pPr>
      <w:r w:rsidRPr="004E4DB5">
        <w:rPr>
          <w:rFonts w:ascii="Arial" w:hAnsi="Arial" w:cs="Arial"/>
          <w:sz w:val="22"/>
          <w:szCs w:val="22"/>
        </w:rPr>
        <w:t>Derecho de la ciudadanía a participar en los procesos de selección y evaluación de candidaturas</w:t>
      </w:r>
    </w:p>
    <w:p w14:paraId="182C5F8F" w14:textId="77777777" w:rsidR="001616F8" w:rsidRPr="004E4DB5" w:rsidRDefault="001616F8" w:rsidP="004E4DB5">
      <w:pPr>
        <w:widowControl w:val="0"/>
        <w:rPr>
          <w:rFonts w:ascii="Arial" w:hAnsi="Arial" w:cs="Arial"/>
          <w:sz w:val="22"/>
          <w:szCs w:val="22"/>
        </w:rPr>
      </w:pPr>
      <w:r w:rsidRPr="004E4DB5">
        <w:rPr>
          <w:rFonts w:ascii="Arial" w:hAnsi="Arial" w:cs="Arial"/>
          <w:sz w:val="22"/>
          <w:szCs w:val="22"/>
        </w:rPr>
        <w:t>Que, de conformidad con el artículo 389 numeral 1 de la Ley Electoral, es derecho de la ciudadanía participar en igualdad de condiciones en los procesos de evaluación y selección de candidaturas para todos los cargos de elección del Poder Judicial. Dichos procesos serán públicos, abiertos, transparentes, inclusivos, accesibles y deberán garantizar la participación de todas las personas interesadas que cumplan con los requisitos, condiciones y términos que determine la Constitución Federal, la Constitución Local y la propia Ley Electoral.</w:t>
      </w:r>
    </w:p>
    <w:p w14:paraId="6A4F1CBC" w14:textId="1FB69AD2" w:rsidR="009F6F5E" w:rsidRPr="004E4DB5" w:rsidRDefault="009F6F5E" w:rsidP="004E4DB5">
      <w:pPr>
        <w:pStyle w:val="Ttulo2"/>
        <w:spacing w:before="240"/>
        <w:rPr>
          <w:rFonts w:ascii="Arial" w:hAnsi="Arial" w:cs="Arial"/>
          <w:sz w:val="22"/>
          <w:szCs w:val="22"/>
        </w:rPr>
      </w:pPr>
      <w:r w:rsidRPr="004E4DB5">
        <w:rPr>
          <w:rFonts w:ascii="Arial" w:hAnsi="Arial" w:cs="Arial"/>
          <w:sz w:val="22"/>
          <w:szCs w:val="22"/>
        </w:rPr>
        <w:t>Remisión del paquete electoral al Consejo Distrital</w:t>
      </w:r>
    </w:p>
    <w:p w14:paraId="780E5460" w14:textId="77777777" w:rsidR="009F6F5E" w:rsidRPr="004E4DB5" w:rsidRDefault="009F6F5E" w:rsidP="004E4DB5">
      <w:pPr>
        <w:widowControl w:val="0"/>
        <w:rPr>
          <w:rFonts w:ascii="Arial" w:hAnsi="Arial" w:cs="Arial"/>
          <w:sz w:val="22"/>
          <w:szCs w:val="22"/>
        </w:rPr>
      </w:pPr>
      <w:r w:rsidRPr="004E4DB5">
        <w:rPr>
          <w:rFonts w:ascii="Arial" w:hAnsi="Arial" w:cs="Arial"/>
          <w:sz w:val="22"/>
          <w:szCs w:val="22"/>
        </w:rPr>
        <w:t xml:space="preserve">Que, el artículo 249 numerales 1, 3 y 4 de la Ley Electoral señala que, una vez clausuradas las casillas, quienes presidan las mismas, bajo su responsabilidad, harán llegar al Consejo Distrital que corresponda, los paquetes electorales y los expedientes de casilla. </w:t>
      </w:r>
    </w:p>
    <w:p w14:paraId="58C7DF49" w14:textId="77777777" w:rsidR="009F6F5E" w:rsidRPr="004E4DB5" w:rsidRDefault="009F6F5E" w:rsidP="004E4DB5">
      <w:pPr>
        <w:widowControl w:val="0"/>
        <w:rPr>
          <w:rFonts w:ascii="Arial" w:hAnsi="Arial" w:cs="Arial"/>
          <w:sz w:val="22"/>
          <w:szCs w:val="22"/>
        </w:rPr>
      </w:pPr>
      <w:r w:rsidRPr="004E4DB5">
        <w:rPr>
          <w:rFonts w:ascii="Arial" w:hAnsi="Arial" w:cs="Arial"/>
          <w:sz w:val="22"/>
          <w:szCs w:val="22"/>
        </w:rPr>
        <w:t>Los Consejos Distritales adoptarán, previamente al día de la elección, las providencias necesarias para que los paquetes con los expedientes de las elecciones sean recibidos en forma simultánea de conformidad con lo dispuesto en la Ley Electoral, y acordarán que se establezca un mecanismo para la recolección de la documentación de las casillas cuando fuere necesaria en los términos de la ley de referencia, incluyendo el establecimiento de centros de acopio, siempre y cuando se garantice la seguridad de la documentación electoral y del personal auxiliar y del funcionariado de casilla.</w:t>
      </w:r>
    </w:p>
    <w:p w14:paraId="0B248DFD" w14:textId="06CDC977" w:rsidR="009F6F5E" w:rsidRPr="004E4DB5" w:rsidRDefault="009F6F5E" w:rsidP="004E4DB5">
      <w:pPr>
        <w:widowControl w:val="0"/>
        <w:rPr>
          <w:rFonts w:ascii="Arial" w:hAnsi="Arial" w:cs="Arial"/>
          <w:sz w:val="22"/>
          <w:szCs w:val="22"/>
        </w:rPr>
      </w:pPr>
      <w:r w:rsidRPr="004E4DB5">
        <w:rPr>
          <w:rFonts w:ascii="Arial" w:hAnsi="Arial" w:cs="Arial"/>
          <w:sz w:val="22"/>
          <w:szCs w:val="22"/>
        </w:rPr>
        <w:lastRenderedPageBreak/>
        <w:t>Por su parte, el artículo 253 numeral 2 fracciones I, IV y V de la Ley en cita, dispone que las personas que supervisen y funjan como capacitadoras asistentes electorales auxiliarán a las Juntas y Consejos Distritales en los trabajos de recepción y distribución de la documentación y materiales electorales en los días previos a la elección; así como apoyo al funcionariado de casilla en el traslado de los paquetes electorales y en los trabajos que expresamente les confiera el órgano distrital.</w:t>
      </w:r>
    </w:p>
    <w:p w14:paraId="72346F6C" w14:textId="78BF17D0" w:rsidR="009F6F5E" w:rsidRPr="004E4DB5" w:rsidRDefault="009F6F5E" w:rsidP="004E4DB5">
      <w:pPr>
        <w:pStyle w:val="Ttulo2"/>
        <w:spacing w:before="240"/>
        <w:rPr>
          <w:rFonts w:ascii="Arial" w:hAnsi="Arial" w:cs="Arial"/>
          <w:sz w:val="22"/>
          <w:szCs w:val="22"/>
        </w:rPr>
      </w:pPr>
      <w:r w:rsidRPr="004E4DB5">
        <w:rPr>
          <w:rFonts w:ascii="Arial" w:hAnsi="Arial" w:cs="Arial"/>
          <w:sz w:val="22"/>
          <w:szCs w:val="22"/>
        </w:rPr>
        <w:t>Recepción de paquetes electorales</w:t>
      </w:r>
    </w:p>
    <w:p w14:paraId="066AA723" w14:textId="60A36DFB" w:rsidR="009F6F5E" w:rsidRPr="004E4DB5" w:rsidRDefault="009F6F5E" w:rsidP="004E4DB5">
      <w:pPr>
        <w:widowControl w:val="0"/>
        <w:rPr>
          <w:rFonts w:ascii="Arial" w:hAnsi="Arial" w:cs="Arial"/>
          <w:sz w:val="22"/>
          <w:szCs w:val="22"/>
        </w:rPr>
      </w:pPr>
      <w:r w:rsidRPr="004E4DB5">
        <w:rPr>
          <w:rFonts w:ascii="Arial" w:hAnsi="Arial" w:cs="Arial"/>
          <w:sz w:val="22"/>
          <w:szCs w:val="22"/>
        </w:rPr>
        <w:t>Que, de conformidad con el artículo 383 numeral 1 del Reglamento de Elecciones, la recepción, depósito y salvaguarda de los paquetes electorales en que se contengan los expedientes de casilla, por parte de los órganos competentes del INE y del organismo electoral, según el caso, una vez concluida la Jornada Electoral, se desarrollará conforme al procedimiento que se describe en el anexo 14 de dicho Reglamento, con el propósito de realizar una eficiente y correcta recepción de paquetes electorales, en la que se garantice que los tiempos de recepción de los paquetes electorales en las instalaciones del INE y de los organismos electorales se ajusten a lo establecido en la Ley General y las leyes vigentes de los estados que corresponda, en cumplimiento a los principios de certeza y legalidad.</w:t>
      </w:r>
    </w:p>
    <w:p w14:paraId="22BDD8B3" w14:textId="6746A125" w:rsidR="001616F8" w:rsidRPr="004E4DB5" w:rsidRDefault="00275A81" w:rsidP="004E4DB5">
      <w:pPr>
        <w:pStyle w:val="Ttulo2"/>
        <w:spacing w:before="240"/>
        <w:rPr>
          <w:rFonts w:ascii="Arial" w:hAnsi="Arial" w:cs="Arial"/>
          <w:sz w:val="22"/>
          <w:szCs w:val="22"/>
        </w:rPr>
      </w:pPr>
      <w:r w:rsidRPr="004E4DB5">
        <w:rPr>
          <w:rFonts w:ascii="Arial" w:hAnsi="Arial" w:cs="Arial"/>
          <w:sz w:val="22"/>
          <w:szCs w:val="22"/>
        </w:rPr>
        <w:t>Directrices para la recepción de paquetes</w:t>
      </w:r>
    </w:p>
    <w:p w14:paraId="08491C7C" w14:textId="33846B20" w:rsidR="00275A81" w:rsidRPr="004E4DB5" w:rsidRDefault="00275A81" w:rsidP="004E4DB5">
      <w:pPr>
        <w:rPr>
          <w:rFonts w:ascii="Arial" w:hAnsi="Arial" w:cs="Arial"/>
          <w:sz w:val="22"/>
          <w:szCs w:val="22"/>
        </w:rPr>
      </w:pPr>
      <w:r w:rsidRPr="004E4DB5">
        <w:rPr>
          <w:rFonts w:ascii="Arial" w:hAnsi="Arial" w:cs="Arial"/>
          <w:sz w:val="22"/>
          <w:szCs w:val="22"/>
        </w:rPr>
        <w:t xml:space="preserve">Que, de conformidad con el acuerdo INE/CG52/2025, el Consejo General del INE determinó como directriz general relacionada con la recepción de paquetes electorales que, el órgano competente </w:t>
      </w:r>
      <w:r w:rsidR="006B3C1A" w:rsidRPr="004E4DB5">
        <w:rPr>
          <w:rFonts w:ascii="Arial" w:hAnsi="Arial" w:cs="Arial"/>
          <w:sz w:val="22"/>
          <w:szCs w:val="22"/>
        </w:rPr>
        <w:t xml:space="preserve">de los </w:t>
      </w:r>
      <w:r w:rsidRPr="004E4DB5">
        <w:rPr>
          <w:rFonts w:ascii="Arial" w:hAnsi="Arial" w:cs="Arial"/>
          <w:sz w:val="22"/>
          <w:szCs w:val="22"/>
        </w:rPr>
        <w:t>organismo</w:t>
      </w:r>
      <w:r w:rsidR="006B3C1A" w:rsidRPr="004E4DB5">
        <w:rPr>
          <w:rFonts w:ascii="Arial" w:hAnsi="Arial" w:cs="Arial"/>
          <w:sz w:val="22"/>
          <w:szCs w:val="22"/>
        </w:rPr>
        <w:t>s</w:t>
      </w:r>
      <w:r w:rsidRPr="004E4DB5">
        <w:rPr>
          <w:rFonts w:ascii="Arial" w:hAnsi="Arial" w:cs="Arial"/>
          <w:sz w:val="22"/>
          <w:szCs w:val="22"/>
        </w:rPr>
        <w:t xml:space="preserve"> electoral</w:t>
      </w:r>
      <w:r w:rsidR="006B3C1A" w:rsidRPr="004E4DB5">
        <w:rPr>
          <w:rFonts w:ascii="Arial" w:hAnsi="Arial" w:cs="Arial"/>
          <w:sz w:val="22"/>
          <w:szCs w:val="22"/>
        </w:rPr>
        <w:t>es</w:t>
      </w:r>
      <w:r w:rsidRPr="004E4DB5">
        <w:rPr>
          <w:rFonts w:ascii="Arial" w:hAnsi="Arial" w:cs="Arial"/>
          <w:sz w:val="22"/>
          <w:szCs w:val="22"/>
        </w:rPr>
        <w:t>, a más tardar en la segunda semana de mayo, aprobará mediante acuerdo el modelo operativo de recepción de los paquetes electorales al término de la jornada electoral, así como la designación de un número suficiente de auxiliares de recepción, traslado, generales y de orientación para la implementación del procedimiento; quienes podrán ser personal administrativo del propio órgano.</w:t>
      </w:r>
    </w:p>
    <w:p w14:paraId="56DD8C7B" w14:textId="1AAFAD8A" w:rsidR="00275A81" w:rsidRPr="004E4DB5" w:rsidRDefault="00275A81" w:rsidP="004E4DB5">
      <w:pPr>
        <w:pStyle w:val="Ttulo2"/>
        <w:spacing w:before="240"/>
        <w:rPr>
          <w:rFonts w:ascii="Arial" w:hAnsi="Arial" w:cs="Arial"/>
          <w:sz w:val="22"/>
          <w:szCs w:val="22"/>
        </w:rPr>
      </w:pPr>
      <w:r w:rsidRPr="004E4DB5">
        <w:rPr>
          <w:rFonts w:ascii="Arial" w:hAnsi="Arial" w:cs="Arial"/>
          <w:sz w:val="22"/>
          <w:szCs w:val="22"/>
        </w:rPr>
        <w:t>Modelo operativo de recepción de los paquetes electorales</w:t>
      </w:r>
    </w:p>
    <w:p w14:paraId="0C631CE2" w14:textId="4E275ED3" w:rsidR="00275A81" w:rsidRPr="004E4DB5" w:rsidRDefault="00275A81" w:rsidP="004E4DB5">
      <w:pPr>
        <w:rPr>
          <w:rFonts w:ascii="Arial" w:hAnsi="Arial" w:cs="Arial"/>
          <w:sz w:val="22"/>
          <w:szCs w:val="22"/>
        </w:rPr>
      </w:pPr>
      <w:r w:rsidRPr="004E4DB5">
        <w:rPr>
          <w:rFonts w:ascii="Arial" w:hAnsi="Arial" w:cs="Arial"/>
          <w:sz w:val="22"/>
          <w:szCs w:val="22"/>
        </w:rPr>
        <w:t xml:space="preserve">Que, acorde a lo anterior, el anexo 14 del Reglamento de Elecciones, establece como actividad previa a la recepción de los paquetes electorales que, el órgano competente del INE y del organismo electoral, a más tardar en la segunda semana de mayo, aprobará mediante acuerdo, el modelo operativo de recepción de los paquetes electorales al término de la jornada electoral. </w:t>
      </w:r>
    </w:p>
    <w:p w14:paraId="5157C78B" w14:textId="77777777" w:rsidR="00275A81" w:rsidRPr="004E4DB5" w:rsidRDefault="00275A81" w:rsidP="004E4DB5">
      <w:pPr>
        <w:rPr>
          <w:rFonts w:ascii="Arial" w:hAnsi="Arial" w:cs="Arial"/>
          <w:sz w:val="22"/>
          <w:szCs w:val="22"/>
        </w:rPr>
      </w:pPr>
      <w:r w:rsidRPr="004E4DB5">
        <w:rPr>
          <w:rFonts w:ascii="Arial" w:hAnsi="Arial" w:cs="Arial"/>
          <w:sz w:val="22"/>
          <w:szCs w:val="22"/>
        </w:rPr>
        <w:t xml:space="preserve">Para tal efecto se elaborará un diagrama de flujo que ilustre gráficamente el modelo operativo aprobado, mismo que se adjuntará como anexo al acuerdo correspondiente. </w:t>
      </w:r>
    </w:p>
    <w:p w14:paraId="3C00B919" w14:textId="2F8EF73D" w:rsidR="00275A81" w:rsidRPr="004E4DB5" w:rsidRDefault="00275A81" w:rsidP="004E4DB5">
      <w:pPr>
        <w:rPr>
          <w:rFonts w:ascii="Arial" w:hAnsi="Arial" w:cs="Arial"/>
          <w:sz w:val="22"/>
          <w:szCs w:val="22"/>
        </w:rPr>
      </w:pPr>
      <w:r w:rsidRPr="004E4DB5">
        <w:rPr>
          <w:rFonts w:ascii="Arial" w:hAnsi="Arial" w:cs="Arial"/>
          <w:sz w:val="22"/>
          <w:szCs w:val="22"/>
        </w:rPr>
        <w:lastRenderedPageBreak/>
        <w:t>Las juntas locales del INE remitirán los acuerdos aprobados por los consejos distritales y los órganos competentes del Instituto y del organismo electoral de forma inmediata al órgano correspondiente del Instituto, quien a su vez los remitirá de forma inmediata a la Comisión correspondiente.</w:t>
      </w:r>
    </w:p>
    <w:p w14:paraId="00055C94" w14:textId="0858AE60" w:rsidR="00275A81" w:rsidRPr="004E4DB5" w:rsidRDefault="00275A81" w:rsidP="004E4DB5">
      <w:pPr>
        <w:pStyle w:val="Ttulo2"/>
        <w:spacing w:before="240"/>
        <w:rPr>
          <w:rFonts w:ascii="Arial" w:hAnsi="Arial" w:cs="Arial"/>
          <w:sz w:val="22"/>
          <w:szCs w:val="22"/>
        </w:rPr>
      </w:pPr>
      <w:r w:rsidRPr="004E4DB5">
        <w:rPr>
          <w:rFonts w:ascii="Arial" w:hAnsi="Arial" w:cs="Arial"/>
          <w:sz w:val="22"/>
          <w:szCs w:val="22"/>
        </w:rPr>
        <w:t>Actividades a la conclusión de la jornada electoral</w:t>
      </w:r>
    </w:p>
    <w:p w14:paraId="68BD3FE7" w14:textId="77777777" w:rsidR="00275A81" w:rsidRPr="004E4DB5" w:rsidRDefault="00275A81" w:rsidP="004E4DB5">
      <w:pPr>
        <w:rPr>
          <w:rFonts w:ascii="Arial" w:hAnsi="Arial" w:cs="Arial"/>
          <w:sz w:val="22"/>
          <w:szCs w:val="22"/>
        </w:rPr>
      </w:pPr>
      <w:r w:rsidRPr="004E4DB5">
        <w:rPr>
          <w:rFonts w:ascii="Arial" w:hAnsi="Arial" w:cs="Arial"/>
          <w:sz w:val="22"/>
          <w:szCs w:val="22"/>
        </w:rPr>
        <w:t>Que, del mismo modo, el anexo 14 del Reglamento de Elecciones establece que, para efectos de la recepción, depósito y salvaguarda de los paquetes electorales en que se contengan los expedientes de casilla, una vez concluida la jornada electoral se deberán realizar las actividades siguientes:</w:t>
      </w:r>
    </w:p>
    <w:p w14:paraId="3F496C38" w14:textId="3EDCB872" w:rsidR="00275A81" w:rsidRPr="004E4DB5" w:rsidRDefault="00275A81" w:rsidP="004E4DB5">
      <w:pPr>
        <w:pStyle w:val="Prrafodelista"/>
        <w:numPr>
          <w:ilvl w:val="0"/>
          <w:numId w:val="3"/>
        </w:numPr>
        <w:spacing w:before="120" w:after="120"/>
        <w:ind w:left="851" w:hanging="567"/>
        <w:contextualSpacing w:val="0"/>
        <w:rPr>
          <w:rFonts w:ascii="Arial" w:hAnsi="Arial" w:cs="Arial"/>
          <w:sz w:val="22"/>
          <w:szCs w:val="22"/>
        </w:rPr>
      </w:pPr>
      <w:r w:rsidRPr="004E4DB5">
        <w:rPr>
          <w:rFonts w:ascii="Arial" w:hAnsi="Arial" w:cs="Arial"/>
          <w:sz w:val="22"/>
          <w:szCs w:val="22"/>
        </w:rPr>
        <w:t xml:space="preserve">Se recibirán en el orden en que sean entregados por las personas facultadas para ello, previendo primeramente la recepción del sobre </w:t>
      </w:r>
      <w:proofErr w:type="spellStart"/>
      <w:r w:rsidRPr="004E4DB5">
        <w:rPr>
          <w:rFonts w:ascii="Arial" w:hAnsi="Arial" w:cs="Arial"/>
          <w:sz w:val="22"/>
          <w:szCs w:val="22"/>
        </w:rPr>
        <w:t>PREP</w:t>
      </w:r>
      <w:proofErr w:type="spellEnd"/>
      <w:r w:rsidRPr="004E4DB5">
        <w:rPr>
          <w:rFonts w:ascii="Arial" w:hAnsi="Arial" w:cs="Arial"/>
          <w:sz w:val="22"/>
          <w:szCs w:val="22"/>
        </w:rPr>
        <w:t>.</w:t>
      </w:r>
    </w:p>
    <w:p w14:paraId="7EC965E0" w14:textId="50F293C1" w:rsidR="00275A81" w:rsidRPr="004E4DB5" w:rsidRDefault="00275A81" w:rsidP="004E4DB5">
      <w:pPr>
        <w:pStyle w:val="Prrafodelista"/>
        <w:numPr>
          <w:ilvl w:val="0"/>
          <w:numId w:val="3"/>
        </w:numPr>
        <w:spacing w:before="120" w:after="120"/>
        <w:ind w:left="851" w:hanging="567"/>
        <w:contextualSpacing w:val="0"/>
        <w:rPr>
          <w:rFonts w:ascii="Arial" w:hAnsi="Arial" w:cs="Arial"/>
          <w:sz w:val="22"/>
          <w:szCs w:val="22"/>
        </w:rPr>
      </w:pPr>
      <w:r w:rsidRPr="004E4DB5">
        <w:rPr>
          <w:rFonts w:ascii="Arial" w:hAnsi="Arial" w:cs="Arial"/>
          <w:sz w:val="22"/>
          <w:szCs w:val="22"/>
        </w:rPr>
        <w:t>Se establecerá la fila única en donde el auxiliar de orientación indicará al funcionario de casilla el punto de recepción disponible para la entrega del paquete electoral.</w:t>
      </w:r>
    </w:p>
    <w:p w14:paraId="0F5631CC" w14:textId="6119824C" w:rsidR="00275A81" w:rsidRPr="004E4DB5" w:rsidRDefault="00275A81" w:rsidP="004E4DB5">
      <w:pPr>
        <w:pStyle w:val="Prrafodelista"/>
        <w:numPr>
          <w:ilvl w:val="0"/>
          <w:numId w:val="3"/>
        </w:numPr>
        <w:spacing w:before="120" w:after="120"/>
        <w:ind w:left="851" w:hanging="567"/>
        <w:contextualSpacing w:val="0"/>
        <w:rPr>
          <w:rFonts w:ascii="Arial" w:hAnsi="Arial" w:cs="Arial"/>
          <w:sz w:val="22"/>
          <w:szCs w:val="22"/>
        </w:rPr>
      </w:pPr>
      <w:r w:rsidRPr="004E4DB5">
        <w:rPr>
          <w:rFonts w:ascii="Arial" w:hAnsi="Arial" w:cs="Arial"/>
          <w:sz w:val="22"/>
          <w:szCs w:val="22"/>
        </w:rPr>
        <w:t>La persona auxiliar de recepción autorizada extenderá el recibo correspondiente.</w:t>
      </w:r>
    </w:p>
    <w:p w14:paraId="78C1167A" w14:textId="7E0FD4A5" w:rsidR="00275A81" w:rsidRPr="004E4DB5" w:rsidRDefault="00275A81" w:rsidP="004E4DB5">
      <w:pPr>
        <w:pStyle w:val="Prrafodelista"/>
        <w:numPr>
          <w:ilvl w:val="0"/>
          <w:numId w:val="3"/>
        </w:numPr>
        <w:spacing w:before="120" w:after="120"/>
        <w:ind w:left="851" w:hanging="567"/>
        <w:contextualSpacing w:val="0"/>
        <w:rPr>
          <w:rFonts w:ascii="Arial" w:hAnsi="Arial" w:cs="Arial"/>
          <w:sz w:val="22"/>
          <w:szCs w:val="22"/>
        </w:rPr>
      </w:pPr>
      <w:r w:rsidRPr="004E4DB5">
        <w:rPr>
          <w:rFonts w:ascii="Arial" w:hAnsi="Arial" w:cs="Arial"/>
          <w:sz w:val="22"/>
          <w:szCs w:val="22"/>
        </w:rPr>
        <w:t>Una vez extendido el recibo, la persona auxiliar de traslado llevará el paquete electoral a la sala del órgano competente, para que el funcionario responsable extraiga copia del acta de escrutinio y cómputo de la casilla y dé a conocer y se registre el resultado de la votación en la casilla. Una vez realizado lo anterior, el auxiliar de traslado llevará el paquete electoral a la bodega electoral.</w:t>
      </w:r>
    </w:p>
    <w:p w14:paraId="22884F71" w14:textId="2C94DCAD" w:rsidR="00275A81" w:rsidRPr="004E4DB5" w:rsidRDefault="00275A81" w:rsidP="004E4DB5">
      <w:pPr>
        <w:pStyle w:val="Prrafodelista"/>
        <w:numPr>
          <w:ilvl w:val="0"/>
          <w:numId w:val="3"/>
        </w:numPr>
        <w:spacing w:before="120" w:after="120"/>
        <w:ind w:left="851" w:hanging="567"/>
        <w:contextualSpacing w:val="0"/>
        <w:rPr>
          <w:rFonts w:ascii="Arial" w:hAnsi="Arial" w:cs="Arial"/>
          <w:sz w:val="22"/>
          <w:szCs w:val="22"/>
        </w:rPr>
      </w:pPr>
      <w:r w:rsidRPr="004E4DB5">
        <w:rPr>
          <w:rFonts w:ascii="Arial" w:hAnsi="Arial" w:cs="Arial"/>
          <w:sz w:val="22"/>
          <w:szCs w:val="22"/>
        </w:rPr>
        <w:t>La o el Consejero Presidente dispondrá su depósito en orden numérico de las casillas, en un lugar dentro de la bodega electoral, colocando por separado los de las especiales.</w:t>
      </w:r>
    </w:p>
    <w:p w14:paraId="625C651C" w14:textId="195EDE76" w:rsidR="00275A81" w:rsidRPr="004E4DB5" w:rsidRDefault="00275A81" w:rsidP="004E4DB5">
      <w:pPr>
        <w:pStyle w:val="Prrafodelista"/>
        <w:numPr>
          <w:ilvl w:val="0"/>
          <w:numId w:val="3"/>
        </w:numPr>
        <w:spacing w:before="120" w:after="120"/>
        <w:ind w:left="851" w:hanging="567"/>
        <w:contextualSpacing w:val="0"/>
        <w:rPr>
          <w:rFonts w:ascii="Arial" w:hAnsi="Arial" w:cs="Arial"/>
          <w:sz w:val="22"/>
          <w:szCs w:val="22"/>
        </w:rPr>
      </w:pPr>
      <w:r w:rsidRPr="004E4DB5">
        <w:rPr>
          <w:rFonts w:ascii="Arial" w:hAnsi="Arial" w:cs="Arial"/>
          <w:sz w:val="22"/>
          <w:szCs w:val="22"/>
        </w:rPr>
        <w:t>Se contará con una persona auxiliar de bodega que llevará un control del ingreso inmediato de estos paquetes, una vez efectuadas las actividades del numeral anterior.</w:t>
      </w:r>
    </w:p>
    <w:p w14:paraId="0D9FD2D2" w14:textId="78884C04" w:rsidR="00275A81" w:rsidRPr="004E4DB5" w:rsidRDefault="00275A81" w:rsidP="004E4DB5">
      <w:pPr>
        <w:pStyle w:val="Prrafodelista"/>
        <w:numPr>
          <w:ilvl w:val="0"/>
          <w:numId w:val="3"/>
        </w:numPr>
        <w:spacing w:before="120" w:after="120"/>
        <w:ind w:left="851" w:hanging="567"/>
        <w:contextualSpacing w:val="0"/>
        <w:rPr>
          <w:rFonts w:ascii="Arial" w:hAnsi="Arial" w:cs="Arial"/>
          <w:sz w:val="22"/>
          <w:szCs w:val="22"/>
        </w:rPr>
      </w:pPr>
      <w:r w:rsidRPr="004E4DB5">
        <w:rPr>
          <w:rFonts w:ascii="Arial" w:hAnsi="Arial" w:cs="Arial"/>
          <w:sz w:val="22"/>
          <w:szCs w:val="22"/>
        </w:rPr>
        <w:t>Los paquetes permanecerán de esta forma resguardados desde el momento de su recepción hasta el día en que se practique el cómputo correspondiente.</w:t>
      </w:r>
    </w:p>
    <w:p w14:paraId="47676821" w14:textId="453B3D92" w:rsidR="00275A81" w:rsidRPr="004E4DB5" w:rsidRDefault="00275A81" w:rsidP="004E4DB5">
      <w:pPr>
        <w:pStyle w:val="Prrafodelista"/>
        <w:numPr>
          <w:ilvl w:val="0"/>
          <w:numId w:val="3"/>
        </w:numPr>
        <w:spacing w:before="120" w:after="120"/>
        <w:ind w:left="851" w:hanging="567"/>
        <w:contextualSpacing w:val="0"/>
        <w:rPr>
          <w:rFonts w:ascii="Arial" w:hAnsi="Arial" w:cs="Arial"/>
          <w:sz w:val="22"/>
          <w:szCs w:val="22"/>
        </w:rPr>
      </w:pPr>
      <w:r w:rsidRPr="004E4DB5">
        <w:rPr>
          <w:rFonts w:ascii="Arial" w:hAnsi="Arial" w:cs="Arial"/>
          <w:sz w:val="22"/>
          <w:szCs w:val="22"/>
        </w:rPr>
        <w:t>Recibido el último paquete electoral, la o el Consejero Presidente, como responsable de la salvaguarda de los mismos, dispondrá que sean selladas las puertas de acceso a la bodega electoral en la que fueron depositados, en presencia de los representantes de los partidos políticos; y en su caso de candidaturas independientes, conforme a lo señalado en el propio anexo.</w:t>
      </w:r>
    </w:p>
    <w:p w14:paraId="65128969" w14:textId="543630F1" w:rsidR="00275A81" w:rsidRPr="004E4DB5" w:rsidRDefault="00275A81" w:rsidP="004E4DB5">
      <w:pPr>
        <w:pStyle w:val="Prrafodelista"/>
        <w:numPr>
          <w:ilvl w:val="0"/>
          <w:numId w:val="3"/>
        </w:numPr>
        <w:spacing w:before="120" w:after="120"/>
        <w:ind w:left="851" w:hanging="567"/>
        <w:contextualSpacing w:val="0"/>
        <w:rPr>
          <w:rFonts w:ascii="Arial" w:hAnsi="Arial" w:cs="Arial"/>
          <w:sz w:val="22"/>
          <w:szCs w:val="22"/>
        </w:rPr>
      </w:pPr>
      <w:r w:rsidRPr="004E4DB5">
        <w:rPr>
          <w:rFonts w:ascii="Arial" w:hAnsi="Arial" w:cs="Arial"/>
          <w:sz w:val="22"/>
          <w:szCs w:val="22"/>
        </w:rPr>
        <w:lastRenderedPageBreak/>
        <w:t>De la recepción de los paquetes, se llevará un control estricto y al término se levantará acta circunstanciada. Ésta incluirá invariablemente la hora de recepción y el estado en que se encuentra cada paquete electoral con base en la copia del recibo que se le extendió a la o al funcionario de mesa directiva de casilla. Se constatará mediante el control que lleve a cabo el auxiliar de la bodega que todos y cada uno de los paquetes recibidos se encuentran bajo resguardo. Dichas actas se remitirán en copia simple a más tardar 15 (quince) días después de la conclusión del cómputo correspondiente al órgano correspondiente del INE o del organismo electoral para su conocimiento.</w:t>
      </w:r>
    </w:p>
    <w:p w14:paraId="132E6FAB" w14:textId="0919BB61" w:rsidR="00275A81" w:rsidRPr="004E4DB5" w:rsidRDefault="00275A81" w:rsidP="004E4DB5">
      <w:pPr>
        <w:pStyle w:val="Prrafodelista"/>
        <w:numPr>
          <w:ilvl w:val="0"/>
          <w:numId w:val="3"/>
        </w:numPr>
        <w:spacing w:before="120" w:after="120"/>
        <w:ind w:left="851" w:hanging="567"/>
        <w:contextualSpacing w:val="0"/>
        <w:rPr>
          <w:rFonts w:ascii="Arial" w:hAnsi="Arial" w:cs="Arial"/>
          <w:sz w:val="22"/>
          <w:szCs w:val="22"/>
        </w:rPr>
      </w:pPr>
      <w:r w:rsidRPr="004E4DB5">
        <w:rPr>
          <w:rFonts w:ascii="Arial" w:hAnsi="Arial" w:cs="Arial"/>
          <w:sz w:val="22"/>
          <w:szCs w:val="22"/>
        </w:rPr>
        <w:t>Si se recibieran paquetes electorales que correspondan a otro ámbito de competencia, la o el Presidente lo notificará por la vía más expedita a la Presidencia del Consejo Local del INE o del Consejo General del organismo electoral. Éste a su vez, procederá a convocar a una comisión del órgano competente para la recepción de las boletas electorales que estará integrada por la o el presidente y/o, consejeras y consejeros electorales quienes podrán ser apoyados para tal efecto por personal de la estructura administrativa y, en su caso, por las representaciones de los partidos políticos y candidatos independientes que decidan participar. En el caso de elecciones concurrentes, la Junta Local respectiva y el órgano superior de dirección del organismo electoral, se coordinarán para que se convoque a las comisiones correspondientes para realizar dicho intercambio de boletas electorales. Las boletas electorales serán entregadas por la o el Presidente del órgano competente en sus instalaciones a la presidencia responsable de la comisión. De lo anterior se levantará un Acta circunstanciada y se entregará una copia a los integrantes de la comisión. De los incidentes presentados en el traslado a la sede del órgano que recibió los paquetes electorales a través de la comisión, se levantará de igual manera un acta circunstanciada. La o el Presidente del Consejo Distrital o del Consejo General del organismo electoral remitirá dicha información de inmediato a la Junta Local del INE correspondiente.</w:t>
      </w:r>
    </w:p>
    <w:p w14:paraId="777EA386" w14:textId="58F6B32F" w:rsidR="00275A81" w:rsidRPr="004E4DB5" w:rsidRDefault="00275A81" w:rsidP="004E4DB5">
      <w:pPr>
        <w:pStyle w:val="Prrafodelista"/>
        <w:numPr>
          <w:ilvl w:val="0"/>
          <w:numId w:val="3"/>
        </w:numPr>
        <w:spacing w:before="120" w:after="120"/>
        <w:ind w:left="851" w:hanging="567"/>
        <w:contextualSpacing w:val="0"/>
        <w:rPr>
          <w:rFonts w:ascii="Arial" w:hAnsi="Arial" w:cs="Arial"/>
          <w:sz w:val="22"/>
          <w:szCs w:val="22"/>
        </w:rPr>
      </w:pPr>
      <w:r w:rsidRPr="004E4DB5">
        <w:rPr>
          <w:rFonts w:ascii="Arial" w:hAnsi="Arial" w:cs="Arial"/>
          <w:sz w:val="22"/>
          <w:szCs w:val="22"/>
        </w:rPr>
        <w:t>Los órganos competentes llevarán un registro detallado de la cantidad de paquetes recibidos y remitidos especificándose el número y tipo de casilla.</w:t>
      </w:r>
    </w:p>
    <w:p w14:paraId="22FA64C4" w14:textId="77777777" w:rsidR="00275A81" w:rsidRPr="004E4DB5" w:rsidRDefault="00275A81" w:rsidP="004E4DB5">
      <w:pPr>
        <w:pStyle w:val="Prrafodelista"/>
        <w:numPr>
          <w:ilvl w:val="0"/>
          <w:numId w:val="3"/>
        </w:numPr>
        <w:spacing w:before="120" w:after="120"/>
        <w:ind w:left="851" w:hanging="567"/>
        <w:contextualSpacing w:val="0"/>
        <w:rPr>
          <w:rFonts w:ascii="Arial" w:hAnsi="Arial" w:cs="Arial"/>
          <w:sz w:val="22"/>
          <w:szCs w:val="22"/>
        </w:rPr>
      </w:pPr>
      <w:r w:rsidRPr="004E4DB5">
        <w:rPr>
          <w:rFonts w:ascii="Arial" w:hAnsi="Arial" w:cs="Arial"/>
          <w:sz w:val="22"/>
          <w:szCs w:val="22"/>
        </w:rPr>
        <w:t>En elecciones locales, en los casos en que se reciban los paquetes electorales por disposición legal en un órgano distinto a aquel que realizará el cómputo correspondiente, se estará a lo siguiente:</w:t>
      </w:r>
    </w:p>
    <w:p w14:paraId="461FCDBF" w14:textId="77777777" w:rsidR="00275A81" w:rsidRPr="004E4DB5" w:rsidRDefault="00275A81" w:rsidP="004E4DB5">
      <w:pPr>
        <w:pStyle w:val="Prrafodelista"/>
        <w:numPr>
          <w:ilvl w:val="1"/>
          <w:numId w:val="3"/>
        </w:numPr>
        <w:spacing w:before="120" w:after="120"/>
        <w:ind w:left="1134" w:hanging="567"/>
        <w:contextualSpacing w:val="0"/>
        <w:rPr>
          <w:rFonts w:ascii="Arial" w:hAnsi="Arial" w:cs="Arial"/>
          <w:sz w:val="22"/>
          <w:szCs w:val="22"/>
        </w:rPr>
      </w:pPr>
      <w:r w:rsidRPr="004E4DB5">
        <w:rPr>
          <w:rFonts w:ascii="Arial" w:hAnsi="Arial" w:cs="Arial"/>
          <w:sz w:val="22"/>
          <w:szCs w:val="22"/>
        </w:rPr>
        <w:t>El Consejo General del organismo electoral en coordinación con sus órganos distritales y municipales desarrollarán un programa de remisión y recepción a fin de que puedan llevar a cabo oportunamente los cómputos mandatados en la Ley Electoral.</w:t>
      </w:r>
    </w:p>
    <w:p w14:paraId="0D697F85" w14:textId="2D3619F9" w:rsidR="00275A81" w:rsidRPr="004E4DB5" w:rsidRDefault="00275A81" w:rsidP="004E4DB5">
      <w:pPr>
        <w:pStyle w:val="Prrafodelista"/>
        <w:numPr>
          <w:ilvl w:val="1"/>
          <w:numId w:val="3"/>
        </w:numPr>
        <w:spacing w:before="120" w:after="120"/>
        <w:ind w:left="1134" w:hanging="567"/>
        <w:contextualSpacing w:val="0"/>
        <w:rPr>
          <w:rFonts w:ascii="Arial" w:hAnsi="Arial" w:cs="Arial"/>
          <w:sz w:val="22"/>
          <w:szCs w:val="22"/>
        </w:rPr>
      </w:pPr>
      <w:r w:rsidRPr="004E4DB5">
        <w:rPr>
          <w:rFonts w:ascii="Arial" w:hAnsi="Arial" w:cs="Arial"/>
          <w:sz w:val="22"/>
          <w:szCs w:val="22"/>
        </w:rPr>
        <w:lastRenderedPageBreak/>
        <w:t>El Consejo General del organismo electoral a más tardar el mes anterior al que se celebre la elección, aprobará mediante acuerdo el modelo de remisión y recepción de los paquetes electorales a efecto de garantizar su entrega oportuna para realizar el cómputo en los órganos competentes. Para tal efecto se elaborará un diagrama de flujo que ilustre gráficamente el modelo operativo aprobado, mismo que se adjuntará al acuerdo correspondiente. En el mismo acuerdo designará al personal de la estructura municipal y/o distrital que acompañará el traslado de los paquetes electorales. La Junta Local del INE orientará y asesorará a los órganos competentes del organismo electoral.</w:t>
      </w:r>
    </w:p>
    <w:p w14:paraId="126CED84" w14:textId="71463397" w:rsidR="00275A81" w:rsidRPr="004E4DB5" w:rsidRDefault="00275A81" w:rsidP="004E4DB5">
      <w:pPr>
        <w:pStyle w:val="Prrafodelista"/>
        <w:numPr>
          <w:ilvl w:val="1"/>
          <w:numId w:val="3"/>
        </w:numPr>
        <w:spacing w:before="120" w:after="120"/>
        <w:ind w:left="1134" w:hanging="567"/>
        <w:contextualSpacing w:val="0"/>
        <w:rPr>
          <w:rFonts w:ascii="Arial" w:hAnsi="Arial" w:cs="Arial"/>
          <w:sz w:val="22"/>
          <w:szCs w:val="22"/>
        </w:rPr>
      </w:pPr>
      <w:r w:rsidRPr="004E4DB5">
        <w:rPr>
          <w:rFonts w:ascii="Arial" w:hAnsi="Arial" w:cs="Arial"/>
          <w:sz w:val="22"/>
          <w:szCs w:val="22"/>
        </w:rPr>
        <w:t>El órgano que reciba inicialmente los paquetes convocará a los integrantes del mismo, para llevar a cabo el procedimiento para transportarlos al órgano competente; levantando para ello un acta circunstanciada en la que se registre la cantidad, el estado en que salen los paquetes electorales junto con la hora de inicio y conclusión del referido procedimiento.</w:t>
      </w:r>
    </w:p>
    <w:p w14:paraId="1AF23EB4" w14:textId="77E0A343" w:rsidR="00275A81" w:rsidRPr="004E4DB5" w:rsidRDefault="00275A81" w:rsidP="004E4DB5">
      <w:pPr>
        <w:pStyle w:val="Prrafodelista"/>
        <w:numPr>
          <w:ilvl w:val="1"/>
          <w:numId w:val="3"/>
        </w:numPr>
        <w:spacing w:before="120" w:after="120"/>
        <w:ind w:left="1134" w:hanging="567"/>
        <w:contextualSpacing w:val="0"/>
        <w:rPr>
          <w:rFonts w:ascii="Arial" w:hAnsi="Arial" w:cs="Arial"/>
          <w:sz w:val="22"/>
          <w:szCs w:val="22"/>
        </w:rPr>
      </w:pPr>
      <w:r w:rsidRPr="004E4DB5">
        <w:rPr>
          <w:rFonts w:ascii="Arial" w:hAnsi="Arial" w:cs="Arial"/>
          <w:sz w:val="22"/>
          <w:szCs w:val="22"/>
        </w:rPr>
        <w:t>El órgano competente que recibirá los paquetes electorales convocará a los integrantes del mismo para la recepción y depósito de los paquetes electorales consignando en el acta la cantidad, el estado en se reciben, la hora de inicio y conclusión del referido procedimiento.</w:t>
      </w:r>
    </w:p>
    <w:p w14:paraId="0AF35855" w14:textId="1EE96AF3" w:rsidR="00CE756A" w:rsidRPr="004E4DB5" w:rsidRDefault="00CE756A" w:rsidP="004E4DB5">
      <w:pPr>
        <w:pStyle w:val="Ttulo2"/>
        <w:spacing w:before="240"/>
        <w:rPr>
          <w:rFonts w:ascii="Arial" w:hAnsi="Arial" w:cs="Arial"/>
          <w:sz w:val="22"/>
          <w:szCs w:val="22"/>
        </w:rPr>
      </w:pPr>
      <w:r w:rsidRPr="004E4DB5">
        <w:rPr>
          <w:rFonts w:ascii="Arial" w:hAnsi="Arial" w:cs="Arial"/>
          <w:sz w:val="22"/>
          <w:szCs w:val="22"/>
        </w:rPr>
        <w:t>Elaboración y propuesta del Modelo Operativo</w:t>
      </w:r>
    </w:p>
    <w:p w14:paraId="34906BCD" w14:textId="3A6D3FD0" w:rsidR="00CE756A" w:rsidRPr="004E4DB5" w:rsidRDefault="00CE756A" w:rsidP="004E4DB5">
      <w:pPr>
        <w:rPr>
          <w:rFonts w:ascii="Arial" w:hAnsi="Arial" w:cs="Arial"/>
          <w:sz w:val="22"/>
          <w:szCs w:val="22"/>
        </w:rPr>
      </w:pPr>
      <w:r w:rsidRPr="004E4DB5">
        <w:rPr>
          <w:rFonts w:ascii="Arial" w:hAnsi="Arial" w:cs="Arial"/>
          <w:sz w:val="22"/>
          <w:szCs w:val="22"/>
        </w:rPr>
        <w:t>Que, conforme a las disposiciones señaladas, el modelo operativo que se presenta fue realizado por la Dirección de Organización Electoral y Educación Cívica en colaboración con la Coordinación de Organización Electoral, en el cual se establecen las bases para ejecutar e implementar el anexo 14 del Reglamento de Elecciones, inherente a  la recepción de paquetes electorales en los Consejos Distritales, así como la descripción de las actividades y funciones del personal que se designe para la actividad que se desarrollará el día de la Jornada Electoral al concluir la recepción de votación de la ciudadanía participante en las elecciones extraordinarias. Ello permitirá contar con un esquema operativo eficiente que permita la correcta recepción de los paquetes electorales en las sedes de los 16 Consejos Distritales y en las mesas receptoras que se instalen en los Centros de Recolección y Traslados Fijos o Itinerantes.</w:t>
      </w:r>
    </w:p>
    <w:p w14:paraId="238476C9" w14:textId="77777777" w:rsidR="00CE756A" w:rsidRPr="004E4DB5" w:rsidRDefault="00CE756A" w:rsidP="004E4DB5">
      <w:pPr>
        <w:rPr>
          <w:rFonts w:ascii="Arial" w:hAnsi="Arial" w:cs="Arial"/>
          <w:sz w:val="22"/>
          <w:szCs w:val="22"/>
        </w:rPr>
      </w:pPr>
      <w:r w:rsidRPr="004E4DB5">
        <w:rPr>
          <w:rFonts w:ascii="Arial" w:hAnsi="Arial" w:cs="Arial"/>
          <w:sz w:val="22"/>
          <w:szCs w:val="22"/>
        </w:rPr>
        <w:t xml:space="preserve">En ese sentido, en cumplimiento a la cláusula segunda numeral 15 del Convenio  General, así como al inciso d), numeral 15.2 del anexo técnico y en atención al oficio INE/JLETAB/VE/0561/2025 del 23 abril del 2025, signado por la Vocal Ejecutiva de la Junta Local Ejecutiva del Estado de Tabasco, por el que solicitó la remisión de los modelos operativos, el 24 de abril del año que transcurre, vía correo institucional, la Secretaría Ejecutiva remitió mediante el oficio SE/0739/2025 a la Vocal Ejecutiva de la Junta Local </w:t>
      </w:r>
      <w:r w:rsidRPr="004E4DB5">
        <w:rPr>
          <w:rFonts w:ascii="Arial" w:hAnsi="Arial" w:cs="Arial"/>
          <w:sz w:val="22"/>
          <w:szCs w:val="22"/>
        </w:rPr>
        <w:lastRenderedPageBreak/>
        <w:t xml:space="preserve">Ejecutiva del INE en la entidad, los archivos digitales correspondientes al proyecto “Modelo Operativo de recepción de Paquetes y Material Electoral al término de la Jornada Electoral” para las observaciones correspondientes. </w:t>
      </w:r>
    </w:p>
    <w:p w14:paraId="2BCDB24C" w14:textId="66E423B2" w:rsidR="00CE756A" w:rsidRPr="004E4DB5" w:rsidRDefault="00CE756A" w:rsidP="004E4DB5">
      <w:pPr>
        <w:rPr>
          <w:rFonts w:ascii="Arial" w:hAnsi="Arial" w:cs="Arial"/>
          <w:sz w:val="22"/>
          <w:szCs w:val="22"/>
        </w:rPr>
      </w:pPr>
      <w:r w:rsidRPr="004E4DB5">
        <w:rPr>
          <w:rFonts w:ascii="Arial" w:hAnsi="Arial" w:cs="Arial"/>
          <w:sz w:val="22"/>
          <w:szCs w:val="22"/>
        </w:rPr>
        <w:t xml:space="preserve">El 29 de abril del presente año, a través del oficio INE/JLETAB/VE/0596/2025 la Vocal Ejecutiva de la Junta Local Ejecutiva en la entidad, envió el proyecto antes referido con las diversas observaciones realizadas por las seis Juntas Electorales Distritales del INE. </w:t>
      </w:r>
    </w:p>
    <w:p w14:paraId="373909EE" w14:textId="454297CF" w:rsidR="00CE756A" w:rsidRPr="004E4DB5" w:rsidRDefault="00CE756A" w:rsidP="004E4DB5">
      <w:pPr>
        <w:rPr>
          <w:rFonts w:ascii="Arial" w:hAnsi="Arial" w:cs="Arial"/>
          <w:sz w:val="22"/>
          <w:szCs w:val="22"/>
        </w:rPr>
      </w:pPr>
      <w:r w:rsidRPr="004E4DB5">
        <w:rPr>
          <w:rFonts w:ascii="Arial" w:hAnsi="Arial" w:cs="Arial"/>
          <w:sz w:val="22"/>
          <w:szCs w:val="22"/>
        </w:rPr>
        <w:t>Una vez solventadas las mismas, el 5 de mayo del año que transcurre, mediante circular número 15, la Dirección de Organización Electoral y Educación Cívica remitió a las 16 Juntas Distritales, el Modelo Operativo para la Recepción de Paquetes y Material Electoral al término de la Jornada Electoral, así como los Esquemas Operativos de Recepción Electorales de cada Junta Distrital, para que en el ámbito de sus competencias previeran las acciones para su aprobación posterior a la emisión del Consejo Estatal.</w:t>
      </w:r>
    </w:p>
    <w:p w14:paraId="736A27C7" w14:textId="2676D0E8" w:rsidR="00275A81" w:rsidRPr="004E4DB5" w:rsidRDefault="00275A81" w:rsidP="004E4DB5">
      <w:pPr>
        <w:rPr>
          <w:rFonts w:ascii="Arial" w:hAnsi="Arial" w:cs="Arial"/>
          <w:sz w:val="22"/>
          <w:szCs w:val="22"/>
        </w:rPr>
      </w:pPr>
      <w:r w:rsidRPr="004E4DB5">
        <w:rPr>
          <w:rFonts w:ascii="Arial" w:hAnsi="Arial" w:cs="Arial"/>
          <w:sz w:val="22"/>
          <w:szCs w:val="22"/>
        </w:rPr>
        <w:t>Sobre la base de las consideraciones señaladas, este Consejo Estatal emite el siguiente:</w:t>
      </w:r>
    </w:p>
    <w:p w14:paraId="168EB231" w14:textId="69E57107" w:rsidR="00275A81" w:rsidRPr="00FC3B6C" w:rsidRDefault="00275A81" w:rsidP="00FC3B6C">
      <w:pPr>
        <w:pStyle w:val="Ttulo1"/>
        <w:spacing w:before="360"/>
        <w:ind w:left="431" w:hanging="431"/>
        <w:rPr>
          <w:rFonts w:ascii="Arial" w:hAnsi="Arial" w:cs="Arial"/>
          <w:sz w:val="24"/>
        </w:rPr>
      </w:pPr>
      <w:r w:rsidRPr="00FC3B6C">
        <w:rPr>
          <w:rFonts w:ascii="Arial" w:hAnsi="Arial" w:cs="Arial"/>
          <w:sz w:val="24"/>
        </w:rPr>
        <w:t>Acuerdo</w:t>
      </w:r>
    </w:p>
    <w:p w14:paraId="2CE595AC" w14:textId="33EEAFAC" w:rsidR="00D04EEE" w:rsidRPr="00FC3B6C" w:rsidRDefault="00275A81" w:rsidP="00D04EEE">
      <w:pPr>
        <w:rPr>
          <w:rFonts w:ascii="Arial" w:hAnsi="Arial" w:cs="Arial"/>
          <w:sz w:val="22"/>
        </w:rPr>
      </w:pPr>
      <w:r w:rsidRPr="004E4DB5">
        <w:rPr>
          <w:rFonts w:ascii="Arial" w:hAnsi="Arial" w:cs="Arial"/>
          <w:b/>
          <w:bCs/>
        </w:rPr>
        <w:t>Primero.</w:t>
      </w:r>
      <w:r w:rsidRPr="004E4DB5">
        <w:rPr>
          <w:rFonts w:ascii="Arial" w:hAnsi="Arial" w:cs="Arial"/>
        </w:rPr>
        <w:t xml:space="preserve"> </w:t>
      </w:r>
      <w:r w:rsidRPr="00FC3B6C">
        <w:rPr>
          <w:rFonts w:ascii="Arial" w:hAnsi="Arial" w:cs="Arial"/>
          <w:sz w:val="22"/>
        </w:rPr>
        <w:t>Se aprueba</w:t>
      </w:r>
      <w:r w:rsidR="00D04EEE" w:rsidRPr="00FC3B6C">
        <w:rPr>
          <w:rFonts w:ascii="Arial" w:hAnsi="Arial" w:cs="Arial"/>
          <w:sz w:val="22"/>
        </w:rPr>
        <w:t xml:space="preserve"> el modelo operativo de recepción de paquetes y material electoral al término de la Jornada Electoral con motivo del Proceso Electoral Local Extraordinario para personas juzgadoras del Poder Judicial del Estado de Tabasco 2024 – 2025 propuesto por la Comisión Permanente de Organización Electoral y Educación Cívica anexo al presente acuerdo.</w:t>
      </w:r>
    </w:p>
    <w:p w14:paraId="55A763CE" w14:textId="68BBAFEA" w:rsidR="00912ECE" w:rsidRPr="00FC3B6C" w:rsidRDefault="00275A81" w:rsidP="00912ECE">
      <w:pPr>
        <w:rPr>
          <w:rFonts w:ascii="Arial" w:hAnsi="Arial" w:cs="Arial"/>
          <w:sz w:val="22"/>
        </w:rPr>
      </w:pPr>
      <w:r w:rsidRPr="00FC3B6C">
        <w:rPr>
          <w:rFonts w:ascii="Arial" w:hAnsi="Arial" w:cs="Arial"/>
          <w:b/>
          <w:bCs/>
          <w:sz w:val="22"/>
        </w:rPr>
        <w:t>Segundo.</w:t>
      </w:r>
      <w:r w:rsidRPr="00FC3B6C">
        <w:rPr>
          <w:rFonts w:ascii="Arial" w:hAnsi="Arial" w:cs="Arial"/>
          <w:sz w:val="22"/>
        </w:rPr>
        <w:t xml:space="preserve">  Se instruye a la Secretaría Ejecutiva comunique a los Consejos Electorales Distritales el contenido del presente acuerdo y sus anexos, para que conforme a sus atribuciones determinen lo conducente, con la finalidad de dar cumplimiento a las disposiciones contenidas en el anexo 14 del Reglamento de Elecciones</w:t>
      </w:r>
      <w:r w:rsidR="00912ECE" w:rsidRPr="00FC3B6C">
        <w:rPr>
          <w:rFonts w:ascii="Arial" w:hAnsi="Arial" w:cs="Arial"/>
          <w:sz w:val="22"/>
        </w:rPr>
        <w:t>; y, en términos del artículo 387 numeral 9 de la Ley Electoral, a las personas candidatas a los cargos de elección del Poder Judicial del Estado de Tabasco.</w:t>
      </w:r>
    </w:p>
    <w:p w14:paraId="11ACBAD8" w14:textId="77777777" w:rsidR="00912ECE" w:rsidRPr="00FC3B6C" w:rsidRDefault="00912ECE" w:rsidP="00912ECE">
      <w:pPr>
        <w:rPr>
          <w:rFonts w:ascii="Arial" w:hAnsi="Arial" w:cs="Arial"/>
          <w:sz w:val="22"/>
        </w:rPr>
      </w:pPr>
      <w:r w:rsidRPr="00FC3B6C">
        <w:rPr>
          <w:rFonts w:ascii="Arial" w:hAnsi="Arial" w:cs="Arial"/>
          <w:b/>
          <w:bCs/>
          <w:sz w:val="22"/>
        </w:rPr>
        <w:t>Tercero.</w:t>
      </w:r>
      <w:r w:rsidRPr="00FC3B6C">
        <w:rPr>
          <w:rFonts w:ascii="Arial" w:hAnsi="Arial" w:cs="Arial"/>
          <w:sz w:val="22"/>
        </w:rPr>
        <w:t xml:space="preserve"> Asimismo, se instruye a la Secretaría Ejecutiva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2A889E40" w14:textId="77777777" w:rsidR="00912ECE" w:rsidRPr="00FC3B6C" w:rsidRDefault="00912ECE" w:rsidP="00912ECE">
      <w:pPr>
        <w:rPr>
          <w:rFonts w:ascii="Arial" w:hAnsi="Arial" w:cs="Arial"/>
          <w:sz w:val="22"/>
        </w:rPr>
      </w:pPr>
      <w:r w:rsidRPr="00FC3B6C">
        <w:rPr>
          <w:rFonts w:ascii="Arial" w:hAnsi="Arial" w:cs="Arial"/>
          <w:b/>
          <w:bCs/>
          <w:sz w:val="22"/>
        </w:rPr>
        <w:t>Cuarto.</w:t>
      </w:r>
      <w:r w:rsidRPr="00FC3B6C">
        <w:rPr>
          <w:rFonts w:ascii="Arial" w:hAnsi="Arial" w:cs="Arial"/>
          <w:sz w:val="22"/>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1E07B5EC" w14:textId="368D3E10" w:rsidR="00912ECE" w:rsidRPr="00FC3B6C" w:rsidRDefault="00912ECE" w:rsidP="00912ECE">
      <w:pPr>
        <w:rPr>
          <w:rFonts w:ascii="Arial" w:hAnsi="Arial" w:cs="Arial"/>
          <w:sz w:val="22"/>
        </w:rPr>
      </w:pPr>
      <w:r w:rsidRPr="00FC3B6C">
        <w:rPr>
          <w:rFonts w:ascii="Arial" w:hAnsi="Arial" w:cs="Arial"/>
          <w:sz w:val="22"/>
        </w:rPr>
        <w:lastRenderedPageBreak/>
        <w:t xml:space="preserve">El presente acuerdo fue aprobado en sesión </w:t>
      </w:r>
      <w:r w:rsidR="00FC3B6C">
        <w:rPr>
          <w:rFonts w:ascii="Arial" w:hAnsi="Arial" w:cs="Arial"/>
          <w:sz w:val="22"/>
        </w:rPr>
        <w:t>extraordinaria</w:t>
      </w:r>
      <w:r w:rsidRPr="00FC3B6C">
        <w:rPr>
          <w:rFonts w:ascii="Arial" w:hAnsi="Arial" w:cs="Arial"/>
          <w:sz w:val="22"/>
        </w:rPr>
        <w:t xml:space="preserve"> efectuada el </w:t>
      </w:r>
      <w:r w:rsidR="00FC3B6C">
        <w:rPr>
          <w:rFonts w:ascii="Arial" w:hAnsi="Arial" w:cs="Arial"/>
          <w:sz w:val="22"/>
        </w:rPr>
        <w:t>trece</w:t>
      </w:r>
      <w:r w:rsidRPr="00FC3B6C">
        <w:rPr>
          <w:rFonts w:ascii="Arial" w:hAnsi="Arial" w:cs="Arial"/>
          <w:sz w:val="22"/>
        </w:rPr>
        <w:t xml:space="preserve"> de </w:t>
      </w:r>
      <w:r w:rsidR="00FC3B6C">
        <w:rPr>
          <w:rFonts w:ascii="Arial" w:hAnsi="Arial" w:cs="Arial"/>
          <w:sz w:val="22"/>
        </w:rPr>
        <w:t>mayo</w:t>
      </w:r>
      <w:r w:rsidRPr="00FC3B6C">
        <w:rPr>
          <w:rFonts w:ascii="Arial" w:hAnsi="Arial" w:cs="Arial"/>
          <w:sz w:val="22"/>
        </w:rPr>
        <w:t xml:space="preserve"> del año dos mil veinticinco, por votación </w:t>
      </w:r>
      <w:r w:rsidR="00FC3B6C">
        <w:rPr>
          <w:rFonts w:ascii="Arial" w:hAnsi="Arial" w:cs="Arial"/>
          <w:sz w:val="22"/>
        </w:rPr>
        <w:t>unánime</w:t>
      </w:r>
      <w:r w:rsidRPr="00FC3B6C">
        <w:rPr>
          <w:rFonts w:ascii="Arial" w:hAnsi="Arial" w:cs="Arial"/>
          <w:sz w:val="22"/>
        </w:rPr>
        <w:t xml:space="preserve"> de las y los Consejeros Electorales del Consejo Estatal del Instituto Electoral y de Participación Ciudadana de Tabasco: Licda. María Elvia Magaña Sandoval, Lic. Hernán González Sala, Lic. Vladimir Hernández Venegas, Licda. Ángela Guadalupe Araujo Segura, Licda. Monserrat Martínez </w:t>
      </w:r>
      <w:proofErr w:type="spellStart"/>
      <w:r w:rsidRPr="00FC3B6C">
        <w:rPr>
          <w:rFonts w:ascii="Arial" w:hAnsi="Arial" w:cs="Arial"/>
          <w:sz w:val="22"/>
        </w:rPr>
        <w:t>Beaurregard</w:t>
      </w:r>
      <w:proofErr w:type="spellEnd"/>
      <w:r w:rsidRPr="00FC3B6C">
        <w:rPr>
          <w:rFonts w:ascii="Arial" w:hAnsi="Arial" w:cs="Arial"/>
          <w:sz w:val="22"/>
        </w:rPr>
        <w:t>, Mtra. Ruth Lizette Toledo Peral y la Consejera Presidenta, Mtra. Elizabeth Nava Gutiérrez.</w:t>
      </w:r>
    </w:p>
    <w:p w14:paraId="19529D7A" w14:textId="551BEDB7" w:rsidR="009F6F5E" w:rsidRDefault="009F6F5E" w:rsidP="00912ECE">
      <w:pPr>
        <w:rPr>
          <w:rFonts w:ascii="Arial" w:hAnsi="Arial" w:cs="Arial"/>
          <w:sz w:val="22"/>
        </w:rPr>
      </w:pPr>
    </w:p>
    <w:p w14:paraId="2B7B5D5F" w14:textId="75CD8562" w:rsidR="00FC3B6C" w:rsidRDefault="00FC3B6C" w:rsidP="00912ECE">
      <w:pPr>
        <w:rPr>
          <w:rFonts w:ascii="Arial" w:hAnsi="Arial" w:cs="Arial"/>
          <w:sz w:val="22"/>
        </w:rPr>
      </w:pPr>
    </w:p>
    <w:p w14:paraId="6882EDEB" w14:textId="77777777" w:rsidR="00FC3B6C" w:rsidRPr="00FC3B6C" w:rsidRDefault="00FC3B6C" w:rsidP="00912ECE">
      <w:pPr>
        <w:rPr>
          <w:rFonts w:ascii="Arial" w:hAnsi="Arial" w:cs="Arial"/>
          <w:sz w:val="22"/>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322"/>
      </w:tblGrid>
      <w:tr w:rsidR="00FC3B6C" w:rsidRPr="00FC3B6C" w14:paraId="2575D360" w14:textId="77777777" w:rsidTr="00FC3B6C">
        <w:trPr>
          <w:jc w:val="center"/>
        </w:trPr>
        <w:tc>
          <w:tcPr>
            <w:tcW w:w="2555" w:type="pct"/>
          </w:tcPr>
          <w:p w14:paraId="5BA09AF8" w14:textId="77777777" w:rsidR="00FC3B6C" w:rsidRPr="00FC3B6C" w:rsidRDefault="00FC3B6C" w:rsidP="00D228AD">
            <w:pPr>
              <w:spacing w:before="480" w:after="0" w:line="264" w:lineRule="auto"/>
              <w:jc w:val="center"/>
              <w:rPr>
                <w:rFonts w:ascii="Arial" w:hAnsi="Arial" w:cs="Arial"/>
                <w:b/>
                <w:bCs/>
                <w:sz w:val="22"/>
              </w:rPr>
            </w:pPr>
            <w:r w:rsidRPr="00FC3B6C">
              <w:rPr>
                <w:rFonts w:ascii="Arial" w:hAnsi="Arial" w:cs="Arial"/>
                <w:b/>
                <w:bCs/>
                <w:sz w:val="22"/>
              </w:rPr>
              <w:t>MTRA. ELIZABETH NAVA GUTIÉRREZ</w:t>
            </w:r>
          </w:p>
          <w:p w14:paraId="3B660E36" w14:textId="77777777" w:rsidR="00FC3B6C" w:rsidRPr="00FC3B6C" w:rsidRDefault="00FC3B6C" w:rsidP="00C60BDE">
            <w:pPr>
              <w:spacing w:before="0" w:after="0" w:line="264" w:lineRule="auto"/>
              <w:jc w:val="center"/>
              <w:rPr>
                <w:rFonts w:ascii="Arial" w:hAnsi="Arial" w:cs="Arial"/>
                <w:b/>
                <w:bCs/>
                <w:sz w:val="22"/>
              </w:rPr>
            </w:pPr>
            <w:r w:rsidRPr="00FC3B6C">
              <w:rPr>
                <w:rFonts w:ascii="Arial" w:hAnsi="Arial" w:cs="Arial"/>
                <w:b/>
                <w:bCs/>
                <w:sz w:val="22"/>
              </w:rPr>
              <w:t>CONSEJERA PRESIDENTA</w:t>
            </w:r>
          </w:p>
        </w:tc>
        <w:tc>
          <w:tcPr>
            <w:tcW w:w="2445" w:type="pct"/>
          </w:tcPr>
          <w:p w14:paraId="78E31D19" w14:textId="77777777" w:rsidR="00FC3B6C" w:rsidRPr="00FC3B6C" w:rsidRDefault="00FC3B6C" w:rsidP="00D228AD">
            <w:pPr>
              <w:spacing w:before="480" w:after="0" w:line="264" w:lineRule="auto"/>
              <w:jc w:val="center"/>
              <w:rPr>
                <w:rFonts w:ascii="Arial" w:hAnsi="Arial" w:cs="Arial"/>
                <w:b/>
                <w:bCs/>
                <w:sz w:val="22"/>
              </w:rPr>
            </w:pPr>
            <w:r w:rsidRPr="00FC3B6C">
              <w:rPr>
                <w:rFonts w:ascii="Arial" w:hAnsi="Arial" w:cs="Arial"/>
                <w:b/>
                <w:bCs/>
                <w:sz w:val="22"/>
              </w:rPr>
              <w:t>LIC. JORGE ALBERTO ZAVALA FRÍAS</w:t>
            </w:r>
          </w:p>
          <w:p w14:paraId="3BE042F7" w14:textId="77777777" w:rsidR="00FC3B6C" w:rsidRPr="00FC3B6C" w:rsidRDefault="00FC3B6C" w:rsidP="00C60BDE">
            <w:pPr>
              <w:spacing w:before="0" w:after="0" w:line="264" w:lineRule="auto"/>
              <w:jc w:val="center"/>
              <w:rPr>
                <w:rFonts w:ascii="Arial" w:hAnsi="Arial" w:cs="Arial"/>
                <w:b/>
                <w:bCs/>
                <w:sz w:val="22"/>
              </w:rPr>
            </w:pPr>
            <w:r w:rsidRPr="00FC3B6C">
              <w:rPr>
                <w:rFonts w:ascii="Arial" w:hAnsi="Arial" w:cs="Arial"/>
                <w:b/>
                <w:bCs/>
                <w:sz w:val="22"/>
              </w:rPr>
              <w:t>SECRETARIO DEL CONSEJO</w:t>
            </w:r>
          </w:p>
        </w:tc>
      </w:tr>
    </w:tbl>
    <w:p w14:paraId="7FBEF3EC" w14:textId="77777777" w:rsidR="009F6F5E" w:rsidRPr="004E4DB5" w:rsidRDefault="009F6F5E" w:rsidP="00912ECE">
      <w:pPr>
        <w:rPr>
          <w:rFonts w:ascii="Arial" w:hAnsi="Arial" w:cs="Arial"/>
        </w:rPr>
      </w:pPr>
    </w:p>
    <w:sectPr w:rsidR="009F6F5E" w:rsidRPr="004E4DB5" w:rsidSect="004E4DB5">
      <w:headerReference w:type="default" r:id="rId7"/>
      <w:footerReference w:type="default" r:id="rId8"/>
      <w:pgSz w:w="12240" w:h="15840" w:code="1"/>
      <w:pgMar w:top="2835"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1E025" w14:textId="77777777" w:rsidR="00B73954" w:rsidRDefault="00B73954" w:rsidP="00751194">
      <w:pPr>
        <w:spacing w:before="0" w:after="0" w:line="240" w:lineRule="auto"/>
      </w:pPr>
      <w:r>
        <w:separator/>
      </w:r>
    </w:p>
  </w:endnote>
  <w:endnote w:type="continuationSeparator" w:id="0">
    <w:p w14:paraId="71F99F11" w14:textId="77777777" w:rsidR="00B73954" w:rsidRDefault="00B73954" w:rsidP="007511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1" w:fontKey="{CBDA367A-2655-4E09-91D4-CF6B517D9213}"/>
    <w:embedBold r:id="rId2" w:fontKey="{503061FE-5674-49FD-A9C2-01D4E8C0D666}"/>
    <w:embedItalic r:id="rId3" w:fontKey="{ED12190B-123F-4FAF-95FF-144DB3C5A699}"/>
  </w:font>
  <w:font w:name="Exo">
    <w:altName w:val="Times New Roman"/>
    <w:charset w:val="00"/>
    <w:family w:val="auto"/>
    <w:pitch w:val="variable"/>
    <w:sig w:usb0="A00000FF" w:usb1="4000204B" w:usb2="00000000" w:usb3="00000000" w:csb0="00000193" w:csb1="00000000"/>
    <w:embedRegular r:id="rId4" w:fontKey="{AFDC88C9-243B-427D-B5E5-8CEE55A5DA2F}"/>
    <w:embedBold r:id="rId5" w:fontKey="{950F0073-B0BF-4C51-A12B-AD404CF165CC}"/>
    <w:embedItalic r:id="rId6" w:fontKey="{C9DC9BBE-47DE-44FC-A6FA-F171244A8ACD}"/>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7" w:fontKey="{75ADA2E1-7D69-48FD-B0A7-76047646D275}"/>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1484667166"/>
      <w:docPartObj>
        <w:docPartGallery w:val="Page Numbers (Top of Page)"/>
        <w:docPartUnique/>
      </w:docPartObj>
    </w:sdtPr>
    <w:sdtEndPr/>
    <w:sdtContent>
      <w:p w14:paraId="282D4CEE" w14:textId="584C1B22" w:rsidR="000C5799" w:rsidRPr="004E4DB5" w:rsidRDefault="000C5799" w:rsidP="000C5799">
        <w:pPr>
          <w:pStyle w:val="Piedepgina"/>
          <w:jc w:val="right"/>
          <w:rPr>
            <w:rFonts w:ascii="Arial" w:hAnsi="Arial" w:cs="Arial"/>
            <w:color w:val="993366"/>
            <w:sz w:val="20"/>
            <w:szCs w:val="20"/>
          </w:rPr>
        </w:pPr>
        <w:r w:rsidRPr="004E4DB5">
          <w:rPr>
            <w:rFonts w:ascii="Arial" w:hAnsi="Arial" w:cs="Arial"/>
            <w:b/>
            <w:bCs/>
            <w:color w:val="993366"/>
          </w:rPr>
          <w:t xml:space="preserve">Página </w:t>
        </w:r>
        <w:r w:rsidRPr="004E4DB5">
          <w:rPr>
            <w:rFonts w:ascii="Arial" w:hAnsi="Arial" w:cs="Arial"/>
            <w:b/>
            <w:bCs/>
            <w:color w:val="993366"/>
          </w:rPr>
          <w:fldChar w:fldCharType="begin"/>
        </w:r>
        <w:r w:rsidRPr="004E4DB5">
          <w:rPr>
            <w:rFonts w:ascii="Arial" w:hAnsi="Arial" w:cs="Arial"/>
            <w:b/>
            <w:bCs/>
            <w:color w:val="993366"/>
          </w:rPr>
          <w:instrText>PAGE</w:instrText>
        </w:r>
        <w:r w:rsidRPr="004E4DB5">
          <w:rPr>
            <w:rFonts w:ascii="Arial" w:hAnsi="Arial" w:cs="Arial"/>
            <w:b/>
            <w:bCs/>
            <w:color w:val="993366"/>
          </w:rPr>
          <w:fldChar w:fldCharType="separate"/>
        </w:r>
        <w:r w:rsidR="00FC3B6C">
          <w:rPr>
            <w:rFonts w:ascii="Arial" w:hAnsi="Arial" w:cs="Arial"/>
            <w:b/>
            <w:bCs/>
            <w:noProof/>
            <w:color w:val="993366"/>
          </w:rPr>
          <w:t>13</w:t>
        </w:r>
        <w:r w:rsidRPr="004E4DB5">
          <w:rPr>
            <w:rFonts w:ascii="Arial" w:hAnsi="Arial" w:cs="Arial"/>
            <w:b/>
            <w:bCs/>
            <w:color w:val="993366"/>
          </w:rPr>
          <w:fldChar w:fldCharType="end"/>
        </w:r>
        <w:r w:rsidRPr="004E4DB5">
          <w:rPr>
            <w:rFonts w:ascii="Arial" w:hAnsi="Arial" w:cs="Arial"/>
            <w:b/>
            <w:bCs/>
            <w:color w:val="993366"/>
          </w:rPr>
          <w:t xml:space="preserve"> | </w:t>
        </w:r>
        <w:r w:rsidRPr="004E4DB5">
          <w:rPr>
            <w:rFonts w:ascii="Arial" w:hAnsi="Arial" w:cs="Arial"/>
            <w:b/>
            <w:bCs/>
            <w:color w:val="993366"/>
          </w:rPr>
          <w:fldChar w:fldCharType="begin"/>
        </w:r>
        <w:r w:rsidRPr="004E4DB5">
          <w:rPr>
            <w:rFonts w:ascii="Arial" w:hAnsi="Arial" w:cs="Arial"/>
            <w:b/>
            <w:bCs/>
            <w:color w:val="993366"/>
          </w:rPr>
          <w:instrText>NUMPAGES</w:instrText>
        </w:r>
        <w:r w:rsidRPr="004E4DB5">
          <w:rPr>
            <w:rFonts w:ascii="Arial" w:hAnsi="Arial" w:cs="Arial"/>
            <w:b/>
            <w:bCs/>
            <w:color w:val="993366"/>
          </w:rPr>
          <w:fldChar w:fldCharType="separate"/>
        </w:r>
        <w:r w:rsidR="00FC3B6C">
          <w:rPr>
            <w:rFonts w:ascii="Arial" w:hAnsi="Arial" w:cs="Arial"/>
            <w:b/>
            <w:bCs/>
            <w:noProof/>
            <w:color w:val="993366"/>
          </w:rPr>
          <w:t>13</w:t>
        </w:r>
        <w:r w:rsidRPr="004E4DB5">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544D0" w14:textId="77777777" w:rsidR="00B73954" w:rsidRDefault="00B73954" w:rsidP="00751194">
      <w:pPr>
        <w:spacing w:before="0" w:after="0" w:line="240" w:lineRule="auto"/>
      </w:pPr>
      <w:r>
        <w:separator/>
      </w:r>
    </w:p>
  </w:footnote>
  <w:footnote w:type="continuationSeparator" w:id="0">
    <w:p w14:paraId="7091E74B" w14:textId="77777777" w:rsidR="00B73954" w:rsidRDefault="00B73954" w:rsidP="0075119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21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5735"/>
      <w:gridCol w:w="1667"/>
    </w:tblGrid>
    <w:tr w:rsidR="00751194" w:rsidRPr="004E4DB5" w14:paraId="1F732CB1" w14:textId="77777777" w:rsidTr="00C60BDE">
      <w:tc>
        <w:tcPr>
          <w:tcW w:w="1813" w:type="dxa"/>
        </w:tcPr>
        <w:p w14:paraId="1C027B6C" w14:textId="77777777" w:rsidR="00751194" w:rsidRPr="004E4DB5" w:rsidRDefault="00751194" w:rsidP="00751194">
          <w:pPr>
            <w:pStyle w:val="Encabezado"/>
            <w:rPr>
              <w:rFonts w:ascii="Arial" w:hAnsi="Arial" w:cs="Arial"/>
            </w:rPr>
          </w:pPr>
          <w:r w:rsidRPr="004E4DB5">
            <w:rPr>
              <w:rFonts w:ascii="Arial" w:hAnsi="Arial" w:cs="Arial"/>
              <w:b/>
              <w:noProof/>
              <w:sz w:val="32"/>
              <w:lang w:eastAsia="es-MX"/>
            </w:rPr>
            <w:drawing>
              <wp:inline distT="0" distB="0" distL="0" distR="0" wp14:anchorId="208649EF" wp14:editId="5ACF222D">
                <wp:extent cx="1014331" cy="1199403"/>
                <wp:effectExtent l="0" t="0" r="0" b="1270"/>
                <wp:docPr id="1555313765" name="Imagen 1555313765"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5842" w:type="dxa"/>
        </w:tcPr>
        <w:p w14:paraId="26459AC7" w14:textId="77777777" w:rsidR="00751194" w:rsidRPr="004E4DB5" w:rsidRDefault="00751194" w:rsidP="00751194">
          <w:pPr>
            <w:pStyle w:val="Encabezado"/>
            <w:spacing w:before="720"/>
            <w:jc w:val="center"/>
            <w:rPr>
              <w:rFonts w:ascii="Arial" w:hAnsi="Arial" w:cs="Arial"/>
              <w:b/>
              <w:bCs/>
              <w:spacing w:val="-10"/>
              <w:sz w:val="26"/>
              <w:szCs w:val="26"/>
            </w:rPr>
          </w:pPr>
          <w:r w:rsidRPr="004E4DB5">
            <w:rPr>
              <w:rFonts w:ascii="Arial" w:hAnsi="Arial" w:cs="Arial"/>
              <w:b/>
              <w:bCs/>
              <w:spacing w:val="-10"/>
              <w:sz w:val="26"/>
              <w:szCs w:val="26"/>
            </w:rPr>
            <w:t>INSTITUTO ELECTORAL Y DE PARTICIPACIÓN CIUDADANA DE TABASCO</w:t>
          </w:r>
        </w:p>
        <w:p w14:paraId="574F9524" w14:textId="77777777" w:rsidR="00751194" w:rsidRPr="004E4DB5" w:rsidRDefault="00751194" w:rsidP="00751194">
          <w:pPr>
            <w:pStyle w:val="Encabezado"/>
            <w:spacing w:before="60"/>
            <w:jc w:val="center"/>
            <w:rPr>
              <w:rFonts w:ascii="Arial" w:hAnsi="Arial" w:cs="Arial"/>
            </w:rPr>
          </w:pPr>
          <w:r w:rsidRPr="004E4DB5">
            <w:rPr>
              <w:rFonts w:ascii="Arial" w:hAnsi="Arial" w:cs="Arial"/>
              <w:b/>
              <w:bCs/>
              <w:sz w:val="28"/>
              <w:szCs w:val="28"/>
            </w:rPr>
            <w:t>CONSEJO ESTATAL</w:t>
          </w:r>
        </w:p>
      </w:tc>
      <w:tc>
        <w:tcPr>
          <w:tcW w:w="1560" w:type="dxa"/>
        </w:tcPr>
        <w:p w14:paraId="23195F8B" w14:textId="77777777" w:rsidR="00751194" w:rsidRPr="004E4DB5" w:rsidRDefault="00751194" w:rsidP="00751194">
          <w:pPr>
            <w:pStyle w:val="Encabezado"/>
            <w:spacing w:before="480"/>
            <w:jc w:val="right"/>
            <w:rPr>
              <w:rFonts w:ascii="Arial" w:hAnsi="Arial" w:cs="Arial"/>
            </w:rPr>
          </w:pPr>
          <w:r w:rsidRPr="004E4DB5">
            <w:rPr>
              <w:rFonts w:ascii="Arial" w:hAnsi="Arial" w:cs="Arial"/>
              <w:noProof/>
              <w:lang w:eastAsia="es-MX"/>
            </w:rPr>
            <w:drawing>
              <wp:inline distT="0" distB="0" distL="0" distR="0" wp14:anchorId="575EF5B5" wp14:editId="71050707">
                <wp:extent cx="921600" cy="756000"/>
                <wp:effectExtent l="0" t="0" r="0" b="6350"/>
                <wp:docPr id="166743888" name="Imagen 1"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045887" name="Imagen 1" descr="Logotipo, 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2144002C" w14:textId="535A5C03" w:rsidR="00751194" w:rsidRPr="004E4DB5" w:rsidRDefault="004E4DB5" w:rsidP="004E4DB5">
    <w:pPr>
      <w:pStyle w:val="Encabezado"/>
      <w:jc w:val="right"/>
      <w:rPr>
        <w:rFonts w:ascii="Arial" w:hAnsi="Arial" w:cs="Arial"/>
        <w:b/>
      </w:rPr>
    </w:pPr>
    <w:r>
      <w:rPr>
        <w:rFonts w:ascii="Arial" w:hAnsi="Arial" w:cs="Arial"/>
        <w:b/>
      </w:rPr>
      <w:t>CE/2025/062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11D2A"/>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1B71EE2"/>
    <w:multiLevelType w:val="hybridMultilevel"/>
    <w:tmpl w:val="8670208A"/>
    <w:lvl w:ilvl="0" w:tplc="F264AA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66E528F"/>
    <w:multiLevelType w:val="hybridMultilevel"/>
    <w:tmpl w:val="E65E2F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7963232"/>
    <w:multiLevelType w:val="hybridMultilevel"/>
    <w:tmpl w:val="B5701E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3D46DA9"/>
    <w:multiLevelType w:val="hybridMultilevel"/>
    <w:tmpl w:val="5798FB28"/>
    <w:lvl w:ilvl="0" w:tplc="36FCA844">
      <w:start w:val="1"/>
      <w:numFmt w:val="decimal"/>
      <w:lvlText w:val="%1."/>
      <w:lvlJc w:val="left"/>
      <w:pPr>
        <w:ind w:left="1065" w:hanging="705"/>
      </w:pPr>
      <w:rPr>
        <w:rFonts w:hint="default"/>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BD840C9"/>
    <w:multiLevelType w:val="hybridMultilevel"/>
    <w:tmpl w:val="1CB83EDC"/>
    <w:lvl w:ilvl="0" w:tplc="E304C2F6">
      <w:start w:val="1"/>
      <w:numFmt w:val="lowerLetter"/>
      <w:lvlText w:val="%1)"/>
      <w:lvlJc w:val="left"/>
      <w:pPr>
        <w:ind w:left="1425" w:hanging="70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6F8"/>
    <w:rsid w:val="000C5799"/>
    <w:rsid w:val="0010283E"/>
    <w:rsid w:val="001616F8"/>
    <w:rsid w:val="00275A81"/>
    <w:rsid w:val="002B7E8F"/>
    <w:rsid w:val="004226C1"/>
    <w:rsid w:val="004864CC"/>
    <w:rsid w:val="004E4DB5"/>
    <w:rsid w:val="00522CE3"/>
    <w:rsid w:val="0055385D"/>
    <w:rsid w:val="005655CE"/>
    <w:rsid w:val="006B3C1A"/>
    <w:rsid w:val="006D5908"/>
    <w:rsid w:val="00751194"/>
    <w:rsid w:val="00887358"/>
    <w:rsid w:val="00912ECE"/>
    <w:rsid w:val="00922658"/>
    <w:rsid w:val="0099640A"/>
    <w:rsid w:val="009F6F5E"/>
    <w:rsid w:val="00B159C2"/>
    <w:rsid w:val="00B73954"/>
    <w:rsid w:val="00BC7760"/>
    <w:rsid w:val="00CA0FC3"/>
    <w:rsid w:val="00CA68AC"/>
    <w:rsid w:val="00CE756A"/>
    <w:rsid w:val="00D04EEE"/>
    <w:rsid w:val="00D228AD"/>
    <w:rsid w:val="00DC5CFB"/>
    <w:rsid w:val="00E871CA"/>
    <w:rsid w:val="00FC3B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1FBD5"/>
  <w15:chartTrackingRefBased/>
  <w15:docId w15:val="{74827D72-DBA7-4160-94B3-14D6C5766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6F8"/>
    <w:pPr>
      <w:spacing w:before="240" w:after="240" w:line="276" w:lineRule="auto"/>
      <w:jc w:val="both"/>
    </w:pPr>
    <w:rPr>
      <w:rFonts w:ascii="Exo" w:hAnsi="Exo"/>
    </w:rPr>
  </w:style>
  <w:style w:type="paragraph" w:styleId="Ttulo1">
    <w:name w:val="heading 1"/>
    <w:basedOn w:val="Normal"/>
    <w:next w:val="Normal"/>
    <w:link w:val="Ttulo1Car"/>
    <w:uiPriority w:val="9"/>
    <w:qFormat/>
    <w:rsid w:val="001616F8"/>
    <w:pPr>
      <w:numPr>
        <w:numId w:val="6"/>
      </w:numPr>
      <w:spacing w:before="600" w:after="360"/>
      <w:jc w:val="center"/>
      <w:outlineLvl w:val="0"/>
    </w:pPr>
    <w:rPr>
      <w:b/>
      <w:bCs/>
      <w:sz w:val="28"/>
      <w:szCs w:val="28"/>
    </w:rPr>
  </w:style>
  <w:style w:type="paragraph" w:styleId="Ttulo2">
    <w:name w:val="heading 2"/>
    <w:basedOn w:val="Normal"/>
    <w:next w:val="Normal"/>
    <w:link w:val="Ttulo2Car"/>
    <w:uiPriority w:val="9"/>
    <w:unhideWhenUsed/>
    <w:qFormat/>
    <w:rsid w:val="001616F8"/>
    <w:pPr>
      <w:numPr>
        <w:ilvl w:val="1"/>
        <w:numId w:val="6"/>
      </w:numPr>
      <w:spacing w:before="480"/>
      <w:outlineLvl w:val="1"/>
    </w:pPr>
    <w:rPr>
      <w:b/>
      <w:bCs/>
    </w:rPr>
  </w:style>
  <w:style w:type="paragraph" w:styleId="Ttulo3">
    <w:name w:val="heading 3"/>
    <w:basedOn w:val="Normal"/>
    <w:next w:val="Normal"/>
    <w:link w:val="Ttulo3Car"/>
    <w:uiPriority w:val="9"/>
    <w:semiHidden/>
    <w:unhideWhenUsed/>
    <w:qFormat/>
    <w:rsid w:val="001616F8"/>
    <w:pPr>
      <w:keepNext/>
      <w:keepLines/>
      <w:numPr>
        <w:ilvl w:val="2"/>
        <w:numId w:val="6"/>
      </w:numPr>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616F8"/>
    <w:pPr>
      <w:keepNext/>
      <w:keepLines/>
      <w:numPr>
        <w:ilvl w:val="3"/>
        <w:numId w:val="6"/>
      </w:numPr>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616F8"/>
    <w:pPr>
      <w:keepNext/>
      <w:keepLines/>
      <w:numPr>
        <w:ilvl w:val="4"/>
        <w:numId w:val="6"/>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616F8"/>
    <w:pPr>
      <w:keepNext/>
      <w:keepLines/>
      <w:numPr>
        <w:ilvl w:val="5"/>
        <w:numId w:val="6"/>
      </w:numPr>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616F8"/>
    <w:pPr>
      <w:keepNext/>
      <w:keepLines/>
      <w:numPr>
        <w:ilvl w:val="6"/>
        <w:numId w:val="6"/>
      </w:numPr>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616F8"/>
    <w:pPr>
      <w:keepNext/>
      <w:keepLines/>
      <w:numPr>
        <w:ilvl w:val="7"/>
        <w:numId w:val="6"/>
      </w:numPr>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616F8"/>
    <w:pPr>
      <w:keepNext/>
      <w:keepLines/>
      <w:numPr>
        <w:ilvl w:val="8"/>
        <w:numId w:val="6"/>
      </w:numPr>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616F8"/>
    <w:rPr>
      <w:rFonts w:ascii="Exo" w:hAnsi="Exo"/>
      <w:b/>
      <w:bCs/>
      <w:sz w:val="28"/>
      <w:szCs w:val="28"/>
    </w:rPr>
  </w:style>
  <w:style w:type="character" w:customStyle="1" w:styleId="Ttulo2Car">
    <w:name w:val="Título 2 Car"/>
    <w:basedOn w:val="Fuentedeprrafopredeter"/>
    <w:link w:val="Ttulo2"/>
    <w:uiPriority w:val="9"/>
    <w:rsid w:val="001616F8"/>
    <w:rPr>
      <w:rFonts w:ascii="Exo" w:hAnsi="Exo"/>
      <w:b/>
      <w:bCs/>
    </w:rPr>
  </w:style>
  <w:style w:type="character" w:customStyle="1" w:styleId="Ttulo3Car">
    <w:name w:val="Título 3 Car"/>
    <w:basedOn w:val="Fuentedeprrafopredeter"/>
    <w:link w:val="Ttulo3"/>
    <w:uiPriority w:val="9"/>
    <w:semiHidden/>
    <w:rsid w:val="001616F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616F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616F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616F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616F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616F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616F8"/>
    <w:rPr>
      <w:rFonts w:eastAsiaTheme="majorEastAsia" w:cstheme="majorBidi"/>
      <w:color w:val="272727" w:themeColor="text1" w:themeTint="D8"/>
    </w:rPr>
  </w:style>
  <w:style w:type="paragraph" w:styleId="Ttulo">
    <w:name w:val="Title"/>
    <w:basedOn w:val="Normal"/>
    <w:next w:val="Normal"/>
    <w:link w:val="TtuloCar"/>
    <w:uiPriority w:val="10"/>
    <w:qFormat/>
    <w:rsid w:val="00751194"/>
    <w:pPr>
      <w:spacing w:before="0"/>
    </w:pPr>
    <w:rPr>
      <w:b/>
      <w:bCs/>
    </w:rPr>
  </w:style>
  <w:style w:type="character" w:customStyle="1" w:styleId="TtuloCar">
    <w:name w:val="Título Car"/>
    <w:basedOn w:val="Fuentedeprrafopredeter"/>
    <w:link w:val="Ttulo"/>
    <w:uiPriority w:val="10"/>
    <w:rsid w:val="00751194"/>
    <w:rPr>
      <w:rFonts w:ascii="Exo" w:hAnsi="Exo"/>
      <w:b/>
      <w:bCs/>
    </w:rPr>
  </w:style>
  <w:style w:type="paragraph" w:styleId="Subttulo">
    <w:name w:val="Subtitle"/>
    <w:basedOn w:val="Normal"/>
    <w:next w:val="Normal"/>
    <w:link w:val="SubttuloCar"/>
    <w:uiPriority w:val="11"/>
    <w:qFormat/>
    <w:rsid w:val="001616F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616F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616F8"/>
    <w:pPr>
      <w:spacing w:before="160"/>
      <w:jc w:val="center"/>
    </w:pPr>
    <w:rPr>
      <w:i/>
      <w:iCs/>
      <w:color w:val="404040" w:themeColor="text1" w:themeTint="BF"/>
    </w:rPr>
  </w:style>
  <w:style w:type="character" w:customStyle="1" w:styleId="CitaCar">
    <w:name w:val="Cita Car"/>
    <w:basedOn w:val="Fuentedeprrafopredeter"/>
    <w:link w:val="Cita"/>
    <w:uiPriority w:val="29"/>
    <w:rsid w:val="001616F8"/>
    <w:rPr>
      <w:i/>
      <w:iCs/>
      <w:color w:val="404040" w:themeColor="text1" w:themeTint="BF"/>
    </w:rPr>
  </w:style>
  <w:style w:type="paragraph" w:styleId="Prrafodelista">
    <w:name w:val="List Paragraph"/>
    <w:basedOn w:val="Normal"/>
    <w:uiPriority w:val="34"/>
    <w:qFormat/>
    <w:rsid w:val="001616F8"/>
    <w:pPr>
      <w:ind w:left="720"/>
      <w:contextualSpacing/>
    </w:pPr>
  </w:style>
  <w:style w:type="character" w:styleId="nfasisintenso">
    <w:name w:val="Intense Emphasis"/>
    <w:basedOn w:val="Fuentedeprrafopredeter"/>
    <w:uiPriority w:val="21"/>
    <w:qFormat/>
    <w:rsid w:val="001616F8"/>
    <w:rPr>
      <w:i/>
      <w:iCs/>
      <w:color w:val="0F4761" w:themeColor="accent1" w:themeShade="BF"/>
    </w:rPr>
  </w:style>
  <w:style w:type="paragraph" w:styleId="Citadestacada">
    <w:name w:val="Intense Quote"/>
    <w:basedOn w:val="Normal"/>
    <w:next w:val="Normal"/>
    <w:link w:val="CitadestacadaCar"/>
    <w:uiPriority w:val="30"/>
    <w:qFormat/>
    <w:rsid w:val="001616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616F8"/>
    <w:rPr>
      <w:i/>
      <w:iCs/>
      <w:color w:val="0F4761" w:themeColor="accent1" w:themeShade="BF"/>
    </w:rPr>
  </w:style>
  <w:style w:type="character" w:styleId="Referenciaintensa">
    <w:name w:val="Intense Reference"/>
    <w:basedOn w:val="Fuentedeprrafopredeter"/>
    <w:uiPriority w:val="32"/>
    <w:qFormat/>
    <w:rsid w:val="001616F8"/>
    <w:rPr>
      <w:b/>
      <w:bCs/>
      <w:smallCaps/>
      <w:color w:val="0F4761" w:themeColor="accent1" w:themeShade="BF"/>
      <w:spacing w:val="5"/>
    </w:rPr>
  </w:style>
  <w:style w:type="table" w:styleId="Tablaconcuadrcula">
    <w:name w:val="Table Grid"/>
    <w:basedOn w:val="Tablanormal"/>
    <w:uiPriority w:val="39"/>
    <w:rsid w:val="009F6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51194"/>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751194"/>
    <w:rPr>
      <w:rFonts w:ascii="Exo" w:hAnsi="Exo"/>
    </w:rPr>
  </w:style>
  <w:style w:type="paragraph" w:styleId="Piedepgina">
    <w:name w:val="footer"/>
    <w:basedOn w:val="Normal"/>
    <w:link w:val="PiedepginaCar"/>
    <w:uiPriority w:val="99"/>
    <w:unhideWhenUsed/>
    <w:rsid w:val="00751194"/>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751194"/>
    <w:rPr>
      <w:rFonts w:ascii="Exo" w:hAnsi="Ex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59</TotalTime>
  <Pages>13</Pages>
  <Words>4398</Words>
  <Characters>24190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Coordinacion Tecnica</cp:lastModifiedBy>
  <cp:revision>20</cp:revision>
  <dcterms:created xsi:type="dcterms:W3CDTF">2025-04-28T17:29:00Z</dcterms:created>
  <dcterms:modified xsi:type="dcterms:W3CDTF">2025-05-13T21:59:00Z</dcterms:modified>
</cp:coreProperties>
</file>