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37ED5" w14:textId="2BEFBE02" w:rsidR="00866EE1" w:rsidRPr="002F2B24" w:rsidRDefault="002F2B24" w:rsidP="002F2B24">
      <w:pPr>
        <w:spacing w:before="0"/>
        <w:rPr>
          <w:rFonts w:ascii="Arial" w:hAnsi="Arial" w:cs="Arial"/>
          <w:b/>
          <w:bCs/>
        </w:rPr>
      </w:pPr>
      <w:r w:rsidRPr="002F2B24">
        <w:rPr>
          <w:rFonts w:ascii="Arial" w:hAnsi="Arial" w:cs="Arial"/>
          <w:b/>
          <w:bCs/>
        </w:rPr>
        <w:t>ACUERDO QUE, A PROPUESTA DE LA COMISIÓN TEMPORAL DE FOROS DE DEBATES, EMITE EL CONSEJO ESTATAL DEL INSTITUTO ELECTORAL Y DE PARTICIPACIÓN CIUDADANA DE TABASCO POR EL QUE APRUEBA LA ESTRUCTURA Y PLATAFORMA PARA LA REALIZACIÓN DE LOS FOROS DE DEBATES PÚBLICOS VIRTUALES A CELEBRARSE ENTRE LAS PERSONAS CANDIDATAS A MAGISTRATURAS DEL TRIBUNAL DE DISCIPLINA JUDICIAL Y DEL TRIBUNAL SUPERIOR DE JUSTICIA, CON MOTIVO DEL PROCESO ELECTORAL LOCAL EXTRAORDINARIO PARA PERSONAS JUZGADORAS DEL PODER JUDICIAL DEL ESTADO DE TABASCO 2024 – 2025</w:t>
      </w:r>
    </w:p>
    <w:p w14:paraId="1B6A41F3" w14:textId="2CF1C99C" w:rsidR="000C113F" w:rsidRPr="002F2B24" w:rsidRDefault="000C113F" w:rsidP="000C113F">
      <w:pPr>
        <w:rPr>
          <w:rFonts w:ascii="Arial" w:hAnsi="Arial" w:cs="Arial"/>
          <w:sz w:val="22"/>
        </w:rPr>
      </w:pPr>
      <w:r w:rsidRPr="002F2B24">
        <w:rPr>
          <w:rFonts w:ascii="Arial" w:hAnsi="Arial" w:cs="Arial"/>
          <w:sz w:val="22"/>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866EE1" w:rsidRPr="002F2B24" w14:paraId="2A387FCA" w14:textId="77777777" w:rsidTr="00F36E2B">
        <w:trPr>
          <w:trHeight w:val="624"/>
          <w:jc w:val="center"/>
        </w:trPr>
        <w:tc>
          <w:tcPr>
            <w:tcW w:w="3001" w:type="dxa"/>
            <w:shd w:val="clear" w:color="auto" w:fill="auto"/>
            <w:vAlign w:val="center"/>
          </w:tcPr>
          <w:p w14:paraId="4FC6E037"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Comisión:</w:t>
            </w:r>
          </w:p>
        </w:tc>
        <w:tc>
          <w:tcPr>
            <w:tcW w:w="4347" w:type="dxa"/>
            <w:shd w:val="clear" w:color="auto" w:fill="auto"/>
            <w:vAlign w:val="center"/>
          </w:tcPr>
          <w:p w14:paraId="1B947AD2"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Comisión Temporal de Foros de Debates del Instituto Electoral y de Participación Ciudadana de Tabasco.</w:t>
            </w:r>
          </w:p>
        </w:tc>
      </w:tr>
      <w:tr w:rsidR="00866EE1" w:rsidRPr="002F2B24" w14:paraId="7D2145E6" w14:textId="77777777" w:rsidTr="00F36E2B">
        <w:trPr>
          <w:trHeight w:val="624"/>
          <w:jc w:val="center"/>
        </w:trPr>
        <w:tc>
          <w:tcPr>
            <w:tcW w:w="3001" w:type="dxa"/>
            <w:shd w:val="clear" w:color="auto" w:fill="auto"/>
            <w:vAlign w:val="center"/>
          </w:tcPr>
          <w:p w14:paraId="548B3662"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Consejo Estatal:</w:t>
            </w:r>
          </w:p>
        </w:tc>
        <w:tc>
          <w:tcPr>
            <w:tcW w:w="4347" w:type="dxa"/>
            <w:shd w:val="clear" w:color="auto" w:fill="auto"/>
            <w:vAlign w:val="center"/>
          </w:tcPr>
          <w:p w14:paraId="7BB22ACF"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Consejo Estatal del Instituto Electoral y de Participación Ciudadana de Tabasco.</w:t>
            </w:r>
          </w:p>
        </w:tc>
      </w:tr>
      <w:tr w:rsidR="00866EE1" w:rsidRPr="002F2B24" w14:paraId="21D41E52" w14:textId="77777777" w:rsidTr="00F36E2B">
        <w:trPr>
          <w:trHeight w:val="624"/>
          <w:jc w:val="center"/>
        </w:trPr>
        <w:tc>
          <w:tcPr>
            <w:tcW w:w="3001" w:type="dxa"/>
            <w:shd w:val="clear" w:color="auto" w:fill="auto"/>
            <w:vAlign w:val="center"/>
          </w:tcPr>
          <w:p w14:paraId="00838EC1"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Constitución Federal:</w:t>
            </w:r>
          </w:p>
        </w:tc>
        <w:tc>
          <w:tcPr>
            <w:tcW w:w="4347" w:type="dxa"/>
            <w:shd w:val="clear" w:color="auto" w:fill="auto"/>
            <w:vAlign w:val="center"/>
          </w:tcPr>
          <w:p w14:paraId="520841E0"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Constitución Política de los Estados Unidos Mexicanos.</w:t>
            </w:r>
          </w:p>
        </w:tc>
      </w:tr>
      <w:tr w:rsidR="00866EE1" w:rsidRPr="002F2B24" w14:paraId="341711C3" w14:textId="77777777" w:rsidTr="00F36E2B">
        <w:trPr>
          <w:trHeight w:val="624"/>
          <w:jc w:val="center"/>
        </w:trPr>
        <w:tc>
          <w:tcPr>
            <w:tcW w:w="3001" w:type="dxa"/>
            <w:shd w:val="clear" w:color="auto" w:fill="auto"/>
            <w:vAlign w:val="center"/>
          </w:tcPr>
          <w:p w14:paraId="619BFCF7"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Constitución Local:</w:t>
            </w:r>
          </w:p>
        </w:tc>
        <w:tc>
          <w:tcPr>
            <w:tcW w:w="4347" w:type="dxa"/>
            <w:shd w:val="clear" w:color="auto" w:fill="auto"/>
            <w:vAlign w:val="center"/>
          </w:tcPr>
          <w:p w14:paraId="38446D04"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Constitución Política del Estado Libre y Soberano de Tabasco.</w:t>
            </w:r>
          </w:p>
        </w:tc>
      </w:tr>
      <w:tr w:rsidR="00866EE1" w:rsidRPr="002F2B24" w14:paraId="72CEF004" w14:textId="77777777" w:rsidTr="00F36E2B">
        <w:trPr>
          <w:trHeight w:val="624"/>
          <w:jc w:val="center"/>
        </w:trPr>
        <w:tc>
          <w:tcPr>
            <w:tcW w:w="3001" w:type="dxa"/>
            <w:shd w:val="clear" w:color="auto" w:fill="auto"/>
            <w:vAlign w:val="center"/>
          </w:tcPr>
          <w:p w14:paraId="74114179"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Instituto:</w:t>
            </w:r>
          </w:p>
        </w:tc>
        <w:tc>
          <w:tcPr>
            <w:tcW w:w="4347" w:type="dxa"/>
            <w:shd w:val="clear" w:color="auto" w:fill="auto"/>
          </w:tcPr>
          <w:p w14:paraId="5509C4C7"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Instituto Electoral y de Participación Ciudadana de Tabasco.</w:t>
            </w:r>
          </w:p>
        </w:tc>
      </w:tr>
      <w:tr w:rsidR="00866EE1" w:rsidRPr="002F2B24" w14:paraId="429056FE" w14:textId="77777777" w:rsidTr="00F36E2B">
        <w:trPr>
          <w:trHeight w:val="624"/>
          <w:jc w:val="center"/>
        </w:trPr>
        <w:tc>
          <w:tcPr>
            <w:tcW w:w="3001" w:type="dxa"/>
            <w:shd w:val="clear" w:color="auto" w:fill="auto"/>
            <w:vAlign w:val="center"/>
          </w:tcPr>
          <w:p w14:paraId="07DAAE9C"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Ley Electoral:</w:t>
            </w:r>
          </w:p>
        </w:tc>
        <w:tc>
          <w:tcPr>
            <w:tcW w:w="4347" w:type="dxa"/>
            <w:shd w:val="clear" w:color="auto" w:fill="auto"/>
            <w:vAlign w:val="center"/>
          </w:tcPr>
          <w:p w14:paraId="6B69528A"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Ley Electoral y de Partidos Políticos del Estado de Tabasco.</w:t>
            </w:r>
          </w:p>
        </w:tc>
      </w:tr>
      <w:tr w:rsidR="00866EE1" w:rsidRPr="002F2B24" w14:paraId="58CA2ED4" w14:textId="77777777" w:rsidTr="00F36E2B">
        <w:trPr>
          <w:trHeight w:val="624"/>
          <w:jc w:val="center"/>
        </w:trPr>
        <w:tc>
          <w:tcPr>
            <w:tcW w:w="3001" w:type="dxa"/>
            <w:shd w:val="clear" w:color="auto" w:fill="auto"/>
            <w:vAlign w:val="center"/>
          </w:tcPr>
          <w:p w14:paraId="3666269D"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Ley General:</w:t>
            </w:r>
          </w:p>
        </w:tc>
        <w:tc>
          <w:tcPr>
            <w:tcW w:w="4347" w:type="dxa"/>
            <w:shd w:val="clear" w:color="auto" w:fill="auto"/>
            <w:vAlign w:val="center"/>
          </w:tcPr>
          <w:p w14:paraId="07E434CC"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Ley General de Instituciones y Procedimientos Electorales.</w:t>
            </w:r>
          </w:p>
        </w:tc>
      </w:tr>
      <w:tr w:rsidR="00866EE1" w:rsidRPr="002F2B24" w14:paraId="381D29B9" w14:textId="77777777" w:rsidTr="00F36E2B">
        <w:trPr>
          <w:trHeight w:val="624"/>
          <w:jc w:val="center"/>
        </w:trPr>
        <w:tc>
          <w:tcPr>
            <w:tcW w:w="3001" w:type="dxa"/>
            <w:shd w:val="clear" w:color="auto" w:fill="auto"/>
            <w:vAlign w:val="center"/>
          </w:tcPr>
          <w:p w14:paraId="5F73681C"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Lineamientos:</w:t>
            </w:r>
          </w:p>
        </w:tc>
        <w:tc>
          <w:tcPr>
            <w:tcW w:w="4347" w:type="dxa"/>
            <w:shd w:val="clear" w:color="auto" w:fill="auto"/>
            <w:vAlign w:val="center"/>
          </w:tcPr>
          <w:p w14:paraId="696DE5FE"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Lineamientos para la organización, desarrollo y difusión de los foros de debates públicos virtuales, para el Proceso Electoral Local Extraordinario para personas Juzgadoras del Poder Judicial del Estado de Tabasco 2024-2025.</w:t>
            </w:r>
          </w:p>
        </w:tc>
      </w:tr>
      <w:tr w:rsidR="00866EE1" w:rsidRPr="002F2B24" w14:paraId="63F582B4" w14:textId="77777777" w:rsidTr="00F36E2B">
        <w:trPr>
          <w:trHeight w:val="624"/>
          <w:jc w:val="center"/>
        </w:trPr>
        <w:tc>
          <w:tcPr>
            <w:tcW w:w="3001" w:type="dxa"/>
            <w:shd w:val="clear" w:color="auto" w:fill="auto"/>
            <w:vAlign w:val="center"/>
          </w:tcPr>
          <w:p w14:paraId="51D67FFD"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lastRenderedPageBreak/>
              <w:t>Reglamento de Comisiones:</w:t>
            </w:r>
          </w:p>
        </w:tc>
        <w:tc>
          <w:tcPr>
            <w:tcW w:w="4347" w:type="dxa"/>
            <w:shd w:val="clear" w:color="auto" w:fill="auto"/>
            <w:vAlign w:val="center"/>
          </w:tcPr>
          <w:p w14:paraId="2CF8E853"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Reglamento de Comisiones del Consejo Estatal del Instituto Electoral y de Participación Ciudadana de Tabasco.</w:t>
            </w:r>
          </w:p>
        </w:tc>
      </w:tr>
      <w:tr w:rsidR="00866EE1" w:rsidRPr="002F2B24" w14:paraId="3F919C32" w14:textId="77777777" w:rsidTr="00F36E2B">
        <w:trPr>
          <w:trHeight w:val="949"/>
          <w:jc w:val="center"/>
        </w:trPr>
        <w:tc>
          <w:tcPr>
            <w:tcW w:w="3001" w:type="dxa"/>
            <w:shd w:val="clear" w:color="auto" w:fill="auto"/>
            <w:vAlign w:val="center"/>
          </w:tcPr>
          <w:p w14:paraId="5CA42954"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Reglamento de Elecciones:</w:t>
            </w:r>
          </w:p>
        </w:tc>
        <w:tc>
          <w:tcPr>
            <w:tcW w:w="4347" w:type="dxa"/>
            <w:shd w:val="clear" w:color="auto" w:fill="auto"/>
            <w:vAlign w:val="center"/>
          </w:tcPr>
          <w:p w14:paraId="20D2519C"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Reglamento de Elecciones del Instituto Nacional Electoral.</w:t>
            </w:r>
          </w:p>
        </w:tc>
      </w:tr>
      <w:tr w:rsidR="00866EE1" w:rsidRPr="002F2B24" w14:paraId="21D98A8B" w14:textId="77777777" w:rsidTr="00F36E2B">
        <w:trPr>
          <w:trHeight w:val="624"/>
          <w:jc w:val="center"/>
        </w:trPr>
        <w:tc>
          <w:tcPr>
            <w:tcW w:w="3001" w:type="dxa"/>
            <w:shd w:val="clear" w:color="auto" w:fill="auto"/>
            <w:vAlign w:val="center"/>
          </w:tcPr>
          <w:p w14:paraId="502211CA" w14:textId="77777777" w:rsidR="00866EE1" w:rsidRPr="002F2B24" w:rsidRDefault="00866EE1" w:rsidP="00F36E2B">
            <w:pPr>
              <w:spacing w:before="120" w:after="120"/>
              <w:jc w:val="right"/>
              <w:rPr>
                <w:rFonts w:ascii="Arial" w:eastAsia="Arial" w:hAnsi="Arial" w:cs="Arial"/>
                <w:b/>
                <w:sz w:val="20"/>
                <w:szCs w:val="22"/>
              </w:rPr>
            </w:pPr>
            <w:r w:rsidRPr="002F2B24">
              <w:rPr>
                <w:rFonts w:ascii="Arial" w:eastAsia="Arial" w:hAnsi="Arial" w:cs="Arial"/>
                <w:b/>
                <w:sz w:val="20"/>
                <w:szCs w:val="22"/>
              </w:rPr>
              <w:t>Secretaría Ejecutiva:</w:t>
            </w:r>
          </w:p>
        </w:tc>
        <w:tc>
          <w:tcPr>
            <w:tcW w:w="4347" w:type="dxa"/>
            <w:shd w:val="clear" w:color="auto" w:fill="auto"/>
            <w:vAlign w:val="center"/>
          </w:tcPr>
          <w:p w14:paraId="4611543D"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Secretaría Ejecutiva del Instituto Electoral y de Participación Ciudadana de Tabasco.</w:t>
            </w:r>
          </w:p>
        </w:tc>
      </w:tr>
      <w:tr w:rsidR="00866EE1" w:rsidRPr="002F2B24" w14:paraId="0AF87CB8" w14:textId="77777777" w:rsidTr="00F36E2B">
        <w:trPr>
          <w:trHeight w:val="624"/>
          <w:jc w:val="center"/>
        </w:trPr>
        <w:tc>
          <w:tcPr>
            <w:tcW w:w="3001" w:type="dxa"/>
            <w:shd w:val="clear" w:color="auto" w:fill="auto"/>
            <w:vAlign w:val="center"/>
          </w:tcPr>
          <w:p w14:paraId="31A4BCEE" w14:textId="77777777" w:rsidR="00866EE1" w:rsidRPr="002F2B24" w:rsidRDefault="00866EE1" w:rsidP="00F36E2B">
            <w:pPr>
              <w:spacing w:before="120" w:after="120"/>
              <w:jc w:val="right"/>
              <w:rPr>
                <w:rFonts w:ascii="Arial" w:eastAsia="Arial" w:hAnsi="Arial" w:cs="Arial"/>
                <w:b/>
                <w:sz w:val="20"/>
                <w:szCs w:val="22"/>
              </w:rPr>
            </w:pPr>
            <w:proofErr w:type="spellStart"/>
            <w:r w:rsidRPr="002F2B24">
              <w:rPr>
                <w:rFonts w:ascii="Arial" w:eastAsia="Arial" w:hAnsi="Arial" w:cs="Arial"/>
                <w:b/>
                <w:sz w:val="20"/>
                <w:szCs w:val="22"/>
              </w:rPr>
              <w:t>UNITIC</w:t>
            </w:r>
            <w:proofErr w:type="spellEnd"/>
            <w:r w:rsidRPr="002F2B24">
              <w:rPr>
                <w:rFonts w:ascii="Arial" w:eastAsia="Arial" w:hAnsi="Arial" w:cs="Arial"/>
                <w:b/>
                <w:sz w:val="20"/>
                <w:szCs w:val="22"/>
              </w:rPr>
              <w:t>:</w:t>
            </w:r>
          </w:p>
        </w:tc>
        <w:tc>
          <w:tcPr>
            <w:tcW w:w="4347" w:type="dxa"/>
            <w:shd w:val="clear" w:color="auto" w:fill="auto"/>
            <w:vAlign w:val="center"/>
          </w:tcPr>
          <w:p w14:paraId="17F0C66A" w14:textId="77777777" w:rsidR="00866EE1" w:rsidRPr="002F2B24" w:rsidRDefault="00866EE1" w:rsidP="00F36E2B">
            <w:pPr>
              <w:spacing w:before="120" w:after="120"/>
              <w:rPr>
                <w:rFonts w:ascii="Arial" w:eastAsia="Arial" w:hAnsi="Arial" w:cs="Arial"/>
                <w:sz w:val="20"/>
                <w:szCs w:val="22"/>
              </w:rPr>
            </w:pPr>
            <w:r w:rsidRPr="002F2B24">
              <w:rPr>
                <w:rFonts w:ascii="Arial" w:eastAsia="Arial" w:hAnsi="Arial" w:cs="Arial"/>
                <w:sz w:val="20"/>
                <w:szCs w:val="22"/>
              </w:rPr>
              <w:t>Unidad de Tecnologías de la Información y Comunicación del Instituto Electoral y de Participación Ciudadana de Tabasco.</w:t>
            </w:r>
          </w:p>
        </w:tc>
      </w:tr>
    </w:tbl>
    <w:p w14:paraId="0AEAE76A" w14:textId="77777777" w:rsidR="000C113F" w:rsidRPr="002F2B24" w:rsidRDefault="000C113F" w:rsidP="002F2B24">
      <w:pPr>
        <w:pStyle w:val="Ttulo1"/>
        <w:spacing w:before="360"/>
        <w:ind w:left="431" w:hanging="431"/>
        <w:rPr>
          <w:rFonts w:ascii="Arial" w:hAnsi="Arial" w:cs="Arial"/>
          <w:sz w:val="24"/>
        </w:rPr>
      </w:pPr>
      <w:r w:rsidRPr="002F2B24">
        <w:rPr>
          <w:rFonts w:ascii="Arial" w:hAnsi="Arial" w:cs="Arial"/>
          <w:sz w:val="24"/>
        </w:rPr>
        <w:t>Antecedentes</w:t>
      </w:r>
    </w:p>
    <w:p w14:paraId="70BC9284"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Fines del Instituto</w:t>
      </w:r>
    </w:p>
    <w:p w14:paraId="0D4DB6F6" w14:textId="77777777" w:rsidR="000C113F" w:rsidRPr="002F2B24" w:rsidRDefault="000C113F" w:rsidP="002F2B24">
      <w:pPr>
        <w:widowControl w:val="0"/>
        <w:rPr>
          <w:rFonts w:ascii="Arial" w:hAnsi="Arial" w:cs="Arial"/>
          <w:sz w:val="22"/>
        </w:rPr>
      </w:pPr>
      <w:r w:rsidRPr="002F2B24">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970A925" w14:textId="77777777" w:rsidR="000C113F" w:rsidRPr="002F2B24" w:rsidRDefault="000C113F" w:rsidP="002F2B24">
      <w:pPr>
        <w:widowControl w:val="0"/>
        <w:rPr>
          <w:rFonts w:ascii="Arial" w:hAnsi="Arial" w:cs="Arial"/>
          <w:sz w:val="22"/>
        </w:rPr>
      </w:pPr>
      <w:r w:rsidRPr="002F2B24">
        <w:rPr>
          <w:rFonts w:ascii="Arial" w:hAnsi="Arial" w:cs="Arial"/>
          <w:sz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7215EFF7" w14:textId="77777777" w:rsidR="000C113F" w:rsidRPr="002F2B24" w:rsidRDefault="000C113F" w:rsidP="002F2B24">
      <w:pPr>
        <w:widowControl w:val="0"/>
        <w:rPr>
          <w:rFonts w:ascii="Arial" w:hAnsi="Arial" w:cs="Arial"/>
          <w:sz w:val="22"/>
        </w:rPr>
      </w:pPr>
      <w:r w:rsidRPr="002F2B24">
        <w:rPr>
          <w:rFonts w:ascii="Arial" w:hAnsi="Arial" w:cs="Arial"/>
          <w:sz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w:t>
      </w:r>
      <w:r w:rsidRPr="002F2B24">
        <w:rPr>
          <w:rFonts w:ascii="Arial" w:hAnsi="Arial" w:cs="Arial"/>
          <w:sz w:val="22"/>
        </w:rPr>
        <w:lastRenderedPageBreak/>
        <w:t>paridad de género y el respeto de los derechos humanos de las mujeres en el ámbito político y electoral, y organizar o coadyuvar a la realización de los ejercicios de consultas populares y demás formas de participación ciudadana.</w:t>
      </w:r>
    </w:p>
    <w:p w14:paraId="4EA3DCED"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Integración del órgano superior de dirección</w:t>
      </w:r>
    </w:p>
    <w:p w14:paraId="7F5F5639" w14:textId="77777777" w:rsidR="000C113F" w:rsidRPr="002F2B24" w:rsidRDefault="000C113F" w:rsidP="002F2B24">
      <w:pPr>
        <w:widowControl w:val="0"/>
        <w:rPr>
          <w:rFonts w:ascii="Arial" w:hAnsi="Arial" w:cs="Arial"/>
          <w:sz w:val="22"/>
        </w:rPr>
      </w:pPr>
      <w:r w:rsidRPr="002F2B24">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77BB8A7" w14:textId="77777777" w:rsidR="000C113F" w:rsidRPr="002F2B24" w:rsidRDefault="000C113F" w:rsidP="002F2B24">
      <w:pPr>
        <w:widowControl w:val="0"/>
        <w:rPr>
          <w:rFonts w:ascii="Arial" w:hAnsi="Arial" w:cs="Arial"/>
          <w:sz w:val="22"/>
        </w:rPr>
      </w:pPr>
      <w:r w:rsidRPr="002F2B24">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067A088" w14:textId="77777777" w:rsidR="000C113F" w:rsidRPr="002F2B24" w:rsidRDefault="000C113F" w:rsidP="002F2B24">
      <w:pPr>
        <w:widowControl w:val="0"/>
        <w:rPr>
          <w:rFonts w:ascii="Arial" w:hAnsi="Arial" w:cs="Arial"/>
          <w:sz w:val="22"/>
        </w:rPr>
      </w:pPr>
      <w:r w:rsidRPr="002F2B24">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12864E49"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Órganos centrales del Instituto</w:t>
      </w:r>
    </w:p>
    <w:p w14:paraId="457607EF" w14:textId="77777777" w:rsidR="000C113F" w:rsidRPr="002F2B24" w:rsidRDefault="000C113F" w:rsidP="002F2B24">
      <w:pPr>
        <w:widowControl w:val="0"/>
        <w:rPr>
          <w:rFonts w:ascii="Arial" w:hAnsi="Arial" w:cs="Arial"/>
          <w:sz w:val="22"/>
        </w:rPr>
      </w:pPr>
      <w:r w:rsidRPr="002F2B24">
        <w:rPr>
          <w:rFonts w:ascii="Arial" w:hAnsi="Arial" w:cs="Arial"/>
          <w:sz w:val="22"/>
        </w:rPr>
        <w:t>De acuerdo con el artículo 105 numeral 1 de la Ley Electoral los órganos centrales del Instituto son los siguientes:</w:t>
      </w:r>
    </w:p>
    <w:p w14:paraId="5C1B2541" w14:textId="1ABF6088" w:rsidR="000C113F" w:rsidRPr="002F2B24" w:rsidRDefault="000C113F" w:rsidP="002F2B24">
      <w:pPr>
        <w:pStyle w:val="Prrafodelista"/>
        <w:widowControl w:val="0"/>
        <w:numPr>
          <w:ilvl w:val="0"/>
          <w:numId w:val="2"/>
        </w:numPr>
        <w:spacing w:before="120" w:after="120"/>
        <w:ind w:left="1077"/>
        <w:contextualSpacing w:val="0"/>
        <w:rPr>
          <w:rFonts w:ascii="Arial" w:hAnsi="Arial" w:cs="Arial"/>
          <w:sz w:val="22"/>
        </w:rPr>
      </w:pPr>
      <w:r w:rsidRPr="002F2B24">
        <w:rPr>
          <w:rFonts w:ascii="Arial" w:hAnsi="Arial" w:cs="Arial"/>
          <w:sz w:val="22"/>
        </w:rPr>
        <w:t>Consejo Estatal;</w:t>
      </w:r>
    </w:p>
    <w:p w14:paraId="187108C1" w14:textId="5EAB19AD" w:rsidR="000C113F" w:rsidRPr="002F2B24" w:rsidRDefault="000C113F" w:rsidP="002F2B24">
      <w:pPr>
        <w:pStyle w:val="Prrafodelista"/>
        <w:widowControl w:val="0"/>
        <w:numPr>
          <w:ilvl w:val="0"/>
          <w:numId w:val="2"/>
        </w:numPr>
        <w:spacing w:before="120" w:after="120"/>
        <w:ind w:left="1077"/>
        <w:contextualSpacing w:val="0"/>
        <w:rPr>
          <w:rFonts w:ascii="Arial" w:hAnsi="Arial" w:cs="Arial"/>
          <w:sz w:val="22"/>
        </w:rPr>
      </w:pPr>
      <w:r w:rsidRPr="002F2B24">
        <w:rPr>
          <w:rFonts w:ascii="Arial" w:hAnsi="Arial" w:cs="Arial"/>
          <w:sz w:val="22"/>
        </w:rPr>
        <w:t>Presidencia del Consejo Estatal;</w:t>
      </w:r>
    </w:p>
    <w:p w14:paraId="43699B4C" w14:textId="0831E065" w:rsidR="000C113F" w:rsidRPr="002F2B24" w:rsidRDefault="000C113F" w:rsidP="002F2B24">
      <w:pPr>
        <w:pStyle w:val="Prrafodelista"/>
        <w:widowControl w:val="0"/>
        <w:numPr>
          <w:ilvl w:val="0"/>
          <w:numId w:val="2"/>
        </w:numPr>
        <w:spacing w:before="120" w:after="120"/>
        <w:ind w:left="1077"/>
        <w:contextualSpacing w:val="0"/>
        <w:rPr>
          <w:rFonts w:ascii="Arial" w:hAnsi="Arial" w:cs="Arial"/>
          <w:sz w:val="22"/>
        </w:rPr>
      </w:pPr>
      <w:r w:rsidRPr="002F2B24">
        <w:rPr>
          <w:rFonts w:ascii="Arial" w:hAnsi="Arial" w:cs="Arial"/>
          <w:sz w:val="22"/>
        </w:rPr>
        <w:t>Junta Estatal Ejecutiva;</w:t>
      </w:r>
    </w:p>
    <w:p w14:paraId="45777B84" w14:textId="3893BE87" w:rsidR="000C113F" w:rsidRPr="002F2B24" w:rsidRDefault="000C113F" w:rsidP="002F2B24">
      <w:pPr>
        <w:pStyle w:val="Prrafodelista"/>
        <w:widowControl w:val="0"/>
        <w:numPr>
          <w:ilvl w:val="0"/>
          <w:numId w:val="2"/>
        </w:numPr>
        <w:spacing w:before="120" w:after="120"/>
        <w:ind w:left="1077"/>
        <w:contextualSpacing w:val="0"/>
        <w:rPr>
          <w:rFonts w:ascii="Arial" w:hAnsi="Arial" w:cs="Arial"/>
          <w:sz w:val="22"/>
        </w:rPr>
      </w:pPr>
      <w:r w:rsidRPr="002F2B24">
        <w:rPr>
          <w:rFonts w:ascii="Arial" w:hAnsi="Arial" w:cs="Arial"/>
          <w:sz w:val="22"/>
        </w:rPr>
        <w:t>Secretaría Ejecutiva, y</w:t>
      </w:r>
    </w:p>
    <w:p w14:paraId="13CA46AE" w14:textId="02FF1116" w:rsidR="000C113F" w:rsidRPr="002F2B24" w:rsidRDefault="000C113F" w:rsidP="002F2B24">
      <w:pPr>
        <w:pStyle w:val="Prrafodelista"/>
        <w:widowControl w:val="0"/>
        <w:numPr>
          <w:ilvl w:val="0"/>
          <w:numId w:val="2"/>
        </w:numPr>
        <w:spacing w:before="120" w:after="120"/>
        <w:ind w:left="1077"/>
        <w:contextualSpacing w:val="0"/>
        <w:rPr>
          <w:rFonts w:ascii="Arial" w:hAnsi="Arial" w:cs="Arial"/>
          <w:sz w:val="22"/>
        </w:rPr>
      </w:pPr>
      <w:r w:rsidRPr="002F2B24">
        <w:rPr>
          <w:rFonts w:ascii="Arial" w:hAnsi="Arial" w:cs="Arial"/>
          <w:sz w:val="22"/>
        </w:rPr>
        <w:t>Órgano Técnico de Fiscalización.</w:t>
      </w:r>
    </w:p>
    <w:p w14:paraId="52063EE0"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 xml:space="preserve">Reforma Constitucional </w:t>
      </w:r>
    </w:p>
    <w:p w14:paraId="54A70405" w14:textId="77777777" w:rsidR="000C113F" w:rsidRPr="002F2B24" w:rsidRDefault="000C113F" w:rsidP="002F2B24">
      <w:pPr>
        <w:widowControl w:val="0"/>
        <w:rPr>
          <w:rFonts w:ascii="Arial" w:hAnsi="Arial" w:cs="Arial"/>
          <w:sz w:val="22"/>
        </w:rPr>
      </w:pPr>
      <w:r w:rsidRPr="002F2B24">
        <w:rPr>
          <w:rFonts w:ascii="Arial" w:hAnsi="Arial" w:cs="Arial"/>
          <w:sz w:val="22"/>
        </w:rPr>
        <w:t xml:space="preserve">El 16 de diciembre de 2024 se publicó en el Periódico Oficial del Estado de Tabasco, el decreto 080 mediante el cual, el Congreso Local reformó los artículos 9, párrafo tercero, la </w:t>
      </w:r>
      <w:r w:rsidRPr="002F2B24">
        <w:rPr>
          <w:rFonts w:ascii="Arial" w:hAnsi="Arial" w:cs="Arial"/>
          <w:sz w:val="22"/>
        </w:rPr>
        <w:lastRenderedPageBreak/>
        <w:t>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26521C32" w14:textId="77777777" w:rsidR="000C113F" w:rsidRPr="002F2B24" w:rsidRDefault="000C113F" w:rsidP="002F2B24">
      <w:pPr>
        <w:widowControl w:val="0"/>
        <w:rPr>
          <w:rFonts w:ascii="Arial" w:hAnsi="Arial" w:cs="Arial"/>
          <w:sz w:val="22"/>
        </w:rPr>
      </w:pPr>
      <w:r w:rsidRPr="002F2B24">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37105E9D"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Inicio del Proceso Electoral Extraordinario</w:t>
      </w:r>
    </w:p>
    <w:p w14:paraId="0A0A8C93" w14:textId="77777777" w:rsidR="000C113F" w:rsidRPr="002F2B24" w:rsidRDefault="000C113F" w:rsidP="002F2B24">
      <w:pPr>
        <w:widowControl w:val="0"/>
        <w:rPr>
          <w:rFonts w:ascii="Arial" w:hAnsi="Arial" w:cs="Arial"/>
          <w:sz w:val="22"/>
        </w:rPr>
      </w:pPr>
      <w:r w:rsidRPr="002F2B24">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51BF8738" w14:textId="77777777"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Reforma a la Ley Electoral</w:t>
      </w:r>
    </w:p>
    <w:p w14:paraId="3BB34271" w14:textId="77777777" w:rsidR="000C113F" w:rsidRPr="002F2B24" w:rsidRDefault="000C113F" w:rsidP="002F2B24">
      <w:pPr>
        <w:widowControl w:val="0"/>
        <w:rPr>
          <w:rFonts w:ascii="Arial" w:hAnsi="Arial" w:cs="Arial"/>
          <w:sz w:val="22"/>
        </w:rPr>
      </w:pPr>
      <w:r w:rsidRPr="002F2B24">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3DF69E83" w14:textId="77777777" w:rsidR="007A6487" w:rsidRPr="002F2B24" w:rsidRDefault="007A6487" w:rsidP="002F2B24">
      <w:pPr>
        <w:pStyle w:val="Ttulo2"/>
        <w:spacing w:before="240"/>
        <w:rPr>
          <w:rFonts w:ascii="Arial" w:hAnsi="Arial" w:cs="Arial"/>
          <w:sz w:val="22"/>
        </w:rPr>
      </w:pPr>
      <w:r w:rsidRPr="002F2B24">
        <w:rPr>
          <w:rFonts w:ascii="Arial" w:hAnsi="Arial" w:cs="Arial"/>
          <w:sz w:val="22"/>
        </w:rPr>
        <w:t xml:space="preserve">Integración de la Comisión </w:t>
      </w:r>
    </w:p>
    <w:p w14:paraId="392BE52D" w14:textId="4EF3B889" w:rsidR="007A6487" w:rsidRDefault="007A6487" w:rsidP="002F2B24">
      <w:pPr>
        <w:widowControl w:val="0"/>
        <w:rPr>
          <w:rFonts w:ascii="Arial" w:hAnsi="Arial" w:cs="Arial"/>
          <w:sz w:val="22"/>
        </w:rPr>
      </w:pPr>
      <w:r w:rsidRPr="002F2B24">
        <w:rPr>
          <w:rFonts w:ascii="Arial" w:hAnsi="Arial" w:cs="Arial"/>
          <w:sz w:val="22"/>
        </w:rPr>
        <w:t xml:space="preserve">El 30 de enero de 2025, mediante acuerdo CE/2025/007, el Consejo Estatal constituyó, entre otras, la Comisión Temporal de Foros de Debates para el Proceso Electoral Extraordinario, la cual quedó integrada por el Consejero Electoral Mtro. Hernán González Sala y las Consejeras Electorales, Licda. Ángela Guadalupe Araujo Segura y Licda. Monserrat Martínez </w:t>
      </w:r>
      <w:proofErr w:type="spellStart"/>
      <w:r w:rsidRPr="002F2B24">
        <w:rPr>
          <w:rFonts w:ascii="Arial" w:hAnsi="Arial" w:cs="Arial"/>
          <w:sz w:val="22"/>
        </w:rPr>
        <w:t>Beaurregard</w:t>
      </w:r>
      <w:proofErr w:type="spellEnd"/>
      <w:r w:rsidRPr="002F2B24">
        <w:rPr>
          <w:rFonts w:ascii="Arial" w:hAnsi="Arial" w:cs="Arial"/>
          <w:sz w:val="22"/>
        </w:rPr>
        <w:t>, ésta última, Presidenta de la Comisión.</w:t>
      </w:r>
    </w:p>
    <w:p w14:paraId="76FB37A8" w14:textId="77777777" w:rsidR="002F2B24" w:rsidRPr="002F2B24" w:rsidRDefault="002F2B24" w:rsidP="002F2B24">
      <w:pPr>
        <w:widowControl w:val="0"/>
        <w:rPr>
          <w:rFonts w:ascii="Arial" w:hAnsi="Arial" w:cs="Arial"/>
          <w:sz w:val="22"/>
        </w:rPr>
      </w:pPr>
    </w:p>
    <w:p w14:paraId="5B6D3E0B" w14:textId="27A2E1BA" w:rsidR="00484C4B" w:rsidRPr="002F2B24" w:rsidRDefault="00484C4B" w:rsidP="002F2B24">
      <w:pPr>
        <w:pStyle w:val="Ttulo2"/>
        <w:widowControl w:val="0"/>
        <w:spacing w:before="240"/>
        <w:rPr>
          <w:rFonts w:ascii="Arial" w:hAnsi="Arial" w:cs="Arial"/>
          <w:sz w:val="22"/>
        </w:rPr>
      </w:pPr>
      <w:r w:rsidRPr="002F2B24">
        <w:rPr>
          <w:rFonts w:ascii="Arial" w:hAnsi="Arial" w:cs="Arial"/>
          <w:sz w:val="22"/>
        </w:rPr>
        <w:lastRenderedPageBreak/>
        <w:t xml:space="preserve">Aprobación de los Lineamientos </w:t>
      </w:r>
    </w:p>
    <w:p w14:paraId="46F39EA1" w14:textId="1BE1E3DE" w:rsidR="00484C4B" w:rsidRPr="002F2B24" w:rsidRDefault="00484C4B" w:rsidP="002F2B24">
      <w:pPr>
        <w:widowControl w:val="0"/>
        <w:rPr>
          <w:rFonts w:ascii="Arial" w:hAnsi="Arial" w:cs="Arial"/>
          <w:sz w:val="22"/>
        </w:rPr>
      </w:pPr>
      <w:r w:rsidRPr="002F2B24">
        <w:rPr>
          <w:rFonts w:ascii="Arial" w:hAnsi="Arial" w:cs="Arial"/>
          <w:sz w:val="22"/>
        </w:rPr>
        <w:t>El 4 de abril del presente año, mediante acuerdo CE/2025/042, el Consejo Estatal aprobó los Lineamientos, los cuales contienen las reglas básicas y por el que se establecen, de manera oportuna, los criterios, condiciones y reglas específicas a las que se sujetará la realización y desarrollo de los Foros de Debate.</w:t>
      </w:r>
    </w:p>
    <w:p w14:paraId="6708AD62" w14:textId="739289A5" w:rsidR="000C113F" w:rsidRPr="002F2B24" w:rsidRDefault="000C113F" w:rsidP="002F2B24">
      <w:pPr>
        <w:pStyle w:val="Ttulo2"/>
        <w:widowControl w:val="0"/>
        <w:spacing w:before="240"/>
        <w:rPr>
          <w:rFonts w:ascii="Arial" w:hAnsi="Arial" w:cs="Arial"/>
          <w:sz w:val="22"/>
        </w:rPr>
      </w:pPr>
      <w:r w:rsidRPr="002F2B24">
        <w:rPr>
          <w:rFonts w:ascii="Arial" w:hAnsi="Arial" w:cs="Arial"/>
          <w:sz w:val="22"/>
        </w:rPr>
        <w:t>Jornada electoral</w:t>
      </w:r>
    </w:p>
    <w:p w14:paraId="52F07B9E" w14:textId="77777777" w:rsidR="000C113F" w:rsidRPr="002F2B24" w:rsidRDefault="000C113F" w:rsidP="002F2B24">
      <w:pPr>
        <w:widowControl w:val="0"/>
        <w:rPr>
          <w:rFonts w:ascii="Arial" w:hAnsi="Arial" w:cs="Arial"/>
          <w:sz w:val="22"/>
        </w:rPr>
      </w:pPr>
      <w:r w:rsidRPr="002F2B24">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61F5EB1B" w14:textId="77777777" w:rsidR="00D23E83" w:rsidRPr="002F2B24" w:rsidRDefault="00D23E83" w:rsidP="002F2B24">
      <w:pPr>
        <w:pStyle w:val="Ttulo2"/>
        <w:spacing w:before="240"/>
        <w:rPr>
          <w:rFonts w:ascii="Arial" w:hAnsi="Arial" w:cs="Arial"/>
          <w:sz w:val="22"/>
        </w:rPr>
      </w:pPr>
      <w:r w:rsidRPr="002F2B24">
        <w:rPr>
          <w:rFonts w:ascii="Arial" w:hAnsi="Arial" w:cs="Arial"/>
          <w:sz w:val="22"/>
        </w:rPr>
        <w:t>Presentación de la propuesta</w:t>
      </w:r>
    </w:p>
    <w:p w14:paraId="32494BFE" w14:textId="41FEE653" w:rsidR="00D23E83" w:rsidRPr="002F2B24" w:rsidRDefault="00D23E83" w:rsidP="002F2B24">
      <w:pPr>
        <w:widowControl w:val="0"/>
        <w:rPr>
          <w:rFonts w:ascii="Arial" w:hAnsi="Arial" w:cs="Arial"/>
          <w:sz w:val="22"/>
        </w:rPr>
      </w:pPr>
      <w:r w:rsidRPr="002F2B24">
        <w:rPr>
          <w:rFonts w:ascii="Arial" w:hAnsi="Arial" w:cs="Arial"/>
          <w:sz w:val="22"/>
        </w:rPr>
        <w:t xml:space="preserve">El 9 de mayo de 2025, la Secretaria Técnica de la Comisión remitió a la Presidencia del Consejo, la propuesta </w:t>
      </w:r>
      <w:r w:rsidR="002D16F1" w:rsidRPr="002F2B24">
        <w:rPr>
          <w:rFonts w:ascii="Arial" w:hAnsi="Arial" w:cs="Arial"/>
          <w:sz w:val="22"/>
        </w:rPr>
        <w:t xml:space="preserve">relativa </w:t>
      </w:r>
      <w:r w:rsidR="00500371" w:rsidRPr="002F2B24">
        <w:rPr>
          <w:rFonts w:ascii="Arial" w:hAnsi="Arial" w:cs="Arial"/>
          <w:sz w:val="22"/>
        </w:rPr>
        <w:t>a la estructura y plataforma para la realización de los foros de debates públicos virtuales a celebrarse entre las personas candidatas a Magistraturas del Tribunal de Disciplina Judicial y del Tribunal Superior de Justicia, con motivo del Proceso Electoral Extraordinario</w:t>
      </w:r>
      <w:r w:rsidRPr="002F2B24">
        <w:rPr>
          <w:rFonts w:ascii="Arial" w:hAnsi="Arial" w:cs="Arial"/>
          <w:sz w:val="22"/>
        </w:rPr>
        <w:t>, formulada por dicha Comisión; lo anterior, para efectos de someterlo a la deliberación de este Consejo Estatal.</w:t>
      </w:r>
    </w:p>
    <w:p w14:paraId="6EC32F44" w14:textId="77777777" w:rsidR="000C113F" w:rsidRPr="002F2B24" w:rsidRDefault="000C113F" w:rsidP="002F2B24">
      <w:pPr>
        <w:pStyle w:val="Ttulo1"/>
        <w:widowControl w:val="0"/>
        <w:spacing w:before="360"/>
        <w:ind w:left="431" w:hanging="431"/>
        <w:rPr>
          <w:rFonts w:ascii="Arial" w:hAnsi="Arial" w:cs="Arial"/>
          <w:sz w:val="24"/>
        </w:rPr>
      </w:pPr>
      <w:r w:rsidRPr="002F2B24">
        <w:rPr>
          <w:rFonts w:ascii="Arial" w:hAnsi="Arial" w:cs="Arial"/>
          <w:sz w:val="24"/>
        </w:rPr>
        <w:t>Considerando</w:t>
      </w:r>
    </w:p>
    <w:p w14:paraId="50F93FDC"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 xml:space="preserve">Competencia del Consejo Estatal </w:t>
      </w:r>
    </w:p>
    <w:p w14:paraId="0513B404"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de conformidad con los artículos 115 numeral 1, fracción XL, 393 numeral 1, fracción VI de la Ley Electoral, el Consejo Estatal es competente para organizar el proceso electivo de las personas juzgadoras, su jornada electoral y los cómputos de los resultados electorales, en los términos que determine la Ley General y dicha Ley, así como organizar y desarrollar, en su caso, foros de debate entre las personas candidatas y establecer las bases para que las instituciones del sector público, privado o social puedan brindar dichos espacios de manera gratuita, vigilando su adecuado desarrollo y la participación de las personas candidatas que lo deseen en condiciones de equidad.</w:t>
      </w:r>
    </w:p>
    <w:p w14:paraId="5FEDAFCE"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w:t>
      </w:r>
      <w:r w:rsidRPr="002F2B24">
        <w:rPr>
          <w:rFonts w:ascii="Arial" w:hAnsi="Arial" w:cs="Arial"/>
          <w:sz w:val="22"/>
          <w:szCs w:val="22"/>
        </w:rPr>
        <w:lastRenderedPageBreak/>
        <w:t>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3C7E4E13"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Órganos auxiliares del Consejo Estatal</w:t>
      </w:r>
    </w:p>
    <w:p w14:paraId="5485F961"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32BCED35"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14E4E478"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Atribuciones de la Comisión</w:t>
      </w:r>
    </w:p>
    <w:p w14:paraId="2C1D9DBF"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de conformidad con lo previsto por los artículos 113 numerales 1 y 3 de la Ley Electoral; 11, numeral 1, fracción I, 12 numeral 1 fracción I y 17 numeral 3 del Reglamento de Comisiones y acorde a lo señalado en el acuerdo CE/2025/07, la Comisión tiene como objetivo planificar las actividades y desarrollar la propuesta de directrices, reglas y criterios a los que estarán sujetos los debates en cualquiera de sus modalidades, los cuales serán aprobados por el Consejo Estatal, para ello, podrá emitir los acuerdos necesarios para el cumplimiento de sus atribuciones.</w:t>
      </w:r>
    </w:p>
    <w:p w14:paraId="07396D2D"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Proceso electoral de las personas juzgadoras</w:t>
      </w:r>
    </w:p>
    <w:p w14:paraId="411E0115"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371C6323"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Etapas del proceso electoral de las personas juzgadoras</w:t>
      </w:r>
    </w:p>
    <w:p w14:paraId="57140DC1"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 xml:space="preserve">Que, el artículo 387 numeral 1 de la Ley Electoral establece que, el proceso de elección de </w:t>
      </w:r>
      <w:r w:rsidRPr="002F2B24">
        <w:rPr>
          <w:rFonts w:ascii="Arial" w:hAnsi="Arial" w:cs="Arial"/>
          <w:sz w:val="22"/>
          <w:szCs w:val="22"/>
        </w:rPr>
        <w:lastRenderedPageBreak/>
        <w:t>las personas juzgadoras del Poder Judicial comprende las siguientes etapas:</w:t>
      </w:r>
    </w:p>
    <w:p w14:paraId="37608F5D" w14:textId="601464F3"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Preparación de la elección;</w:t>
      </w:r>
    </w:p>
    <w:p w14:paraId="0E68ABFE" w14:textId="75A020C8"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Convocatoria y postulación de candidaturas;</w:t>
      </w:r>
    </w:p>
    <w:p w14:paraId="609AF481" w14:textId="32C1AE10"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Jornada electoral;</w:t>
      </w:r>
    </w:p>
    <w:p w14:paraId="33A2F2C6" w14:textId="38499C5C"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Cómputos y sumatoria;</w:t>
      </w:r>
    </w:p>
    <w:p w14:paraId="0D485DB7" w14:textId="134AA819"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Asignación de cargos, y</w:t>
      </w:r>
    </w:p>
    <w:p w14:paraId="2C3FE968" w14:textId="210F3749" w:rsidR="000C113F" w:rsidRPr="002F2B24" w:rsidRDefault="000C113F" w:rsidP="002F2B24">
      <w:pPr>
        <w:pStyle w:val="Prrafodelista"/>
        <w:widowControl w:val="0"/>
        <w:numPr>
          <w:ilvl w:val="0"/>
          <w:numId w:val="4"/>
        </w:numPr>
        <w:spacing w:before="120" w:after="120"/>
        <w:ind w:left="851" w:hanging="567"/>
        <w:contextualSpacing w:val="0"/>
        <w:rPr>
          <w:rFonts w:ascii="Arial" w:hAnsi="Arial" w:cs="Arial"/>
          <w:sz w:val="22"/>
          <w:szCs w:val="22"/>
        </w:rPr>
      </w:pPr>
      <w:r w:rsidRPr="002F2B24">
        <w:rPr>
          <w:rFonts w:ascii="Arial" w:hAnsi="Arial" w:cs="Arial"/>
          <w:sz w:val="22"/>
          <w:szCs w:val="22"/>
        </w:rPr>
        <w:t>La entrega de constancias de mayoría y declaración de validez de la elección.</w:t>
      </w:r>
    </w:p>
    <w:p w14:paraId="2AEA0FE7"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7070D194"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3325119A"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30211E15"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018BDD01"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DAA2CE0"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34889273"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lastRenderedPageBreak/>
        <w:t>Derecho de la ciudadanía a participar en los procesos de selección y evaluación de candidaturas</w:t>
      </w:r>
    </w:p>
    <w:p w14:paraId="76671B91"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6C99890D"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Cargos por elegir en el Proceso Electoral Extraordinario</w:t>
      </w:r>
    </w:p>
    <w:p w14:paraId="592BAFD5"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7C055ECF"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En ese sentido, para el Proceso Electoral Extraordinario se elegirán 72 cargos de elección, distribuidos de acuerdo con la siguiente forma y especialidad:</w:t>
      </w:r>
    </w:p>
    <w:p w14:paraId="751322A2" w14:textId="1781182B"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5 Magistraturas del Tribunal de Disciplina Judicial;</w:t>
      </w:r>
    </w:p>
    <w:p w14:paraId="7A248F5E" w14:textId="1A12BD4D"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12 Magistraturas del Pleno del Tribunal Superior de Justicia;</w:t>
      </w:r>
    </w:p>
    <w:p w14:paraId="679D065A" w14:textId="13C9CD8B"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19 juezas y jueces civiles;</w:t>
      </w:r>
    </w:p>
    <w:p w14:paraId="0E09989E" w14:textId="3C6CA72A"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27 juezas y jueces en materia de oralidad penal;</w:t>
      </w:r>
    </w:p>
    <w:p w14:paraId="2130AAC9" w14:textId="0B9EECA6"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3 juezas y jueces en materia familiar;</w:t>
      </w:r>
    </w:p>
    <w:p w14:paraId="63149C23" w14:textId="5ED01BB9"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1 jueza o juez en materia de oralidad mercantil; y</w:t>
      </w:r>
    </w:p>
    <w:p w14:paraId="28B6D09E" w14:textId="04EB777B" w:rsidR="000C113F" w:rsidRPr="002F2B24" w:rsidRDefault="000C113F" w:rsidP="002F2B24">
      <w:pPr>
        <w:pStyle w:val="Prrafodelista"/>
        <w:widowControl w:val="0"/>
        <w:numPr>
          <w:ilvl w:val="0"/>
          <w:numId w:val="6"/>
        </w:numPr>
        <w:spacing w:before="120" w:after="120"/>
        <w:ind w:left="851" w:hanging="567"/>
        <w:contextualSpacing w:val="0"/>
        <w:rPr>
          <w:rFonts w:ascii="Arial" w:hAnsi="Arial" w:cs="Arial"/>
          <w:sz w:val="22"/>
          <w:szCs w:val="22"/>
        </w:rPr>
      </w:pPr>
      <w:r w:rsidRPr="002F2B24">
        <w:rPr>
          <w:rFonts w:ascii="Arial" w:hAnsi="Arial" w:cs="Arial"/>
          <w:sz w:val="22"/>
          <w:szCs w:val="22"/>
        </w:rPr>
        <w:t>5 juezas y jueces en materia laboral.</w:t>
      </w:r>
    </w:p>
    <w:p w14:paraId="1FE2F6F4" w14:textId="52A3F59B" w:rsidR="00E94D5B" w:rsidRPr="002F2B24" w:rsidRDefault="00E94D5B" w:rsidP="002F2B24">
      <w:pPr>
        <w:pStyle w:val="Ttulo2"/>
        <w:spacing w:before="240"/>
        <w:rPr>
          <w:rFonts w:ascii="Arial" w:hAnsi="Arial" w:cs="Arial"/>
          <w:sz w:val="22"/>
          <w:szCs w:val="22"/>
        </w:rPr>
      </w:pPr>
      <w:r w:rsidRPr="002F2B24">
        <w:rPr>
          <w:rFonts w:ascii="Arial" w:hAnsi="Arial" w:cs="Arial"/>
          <w:sz w:val="22"/>
          <w:szCs w:val="22"/>
        </w:rPr>
        <w:t>Periodo de campañas</w:t>
      </w:r>
    </w:p>
    <w:p w14:paraId="6128A689" w14:textId="53AADFC3" w:rsidR="00E94D5B" w:rsidRPr="002F2B24" w:rsidRDefault="00E94D5B" w:rsidP="002F2B24">
      <w:pPr>
        <w:rPr>
          <w:rFonts w:ascii="Arial" w:hAnsi="Arial" w:cs="Arial"/>
          <w:sz w:val="22"/>
          <w:szCs w:val="22"/>
        </w:rPr>
      </w:pPr>
      <w:r w:rsidRPr="002F2B24">
        <w:rPr>
          <w:rFonts w:ascii="Arial" w:hAnsi="Arial" w:cs="Arial"/>
          <w:sz w:val="22"/>
          <w:szCs w:val="22"/>
        </w:rPr>
        <w:t>Que, de conformidad con el Calendario Electoral, aprobado mediante acuerdo CE/2025/021, para el Proceso Electoral Extraordinario, las campañas se llevan a cabo del 29 de abril al 28 de mayo del presente año.</w:t>
      </w:r>
    </w:p>
    <w:p w14:paraId="47A18BE9" w14:textId="76C9EA02" w:rsidR="00E94D5B" w:rsidRPr="002F2B24" w:rsidRDefault="00E94D5B" w:rsidP="002F2B24">
      <w:pPr>
        <w:rPr>
          <w:rFonts w:ascii="Arial" w:hAnsi="Arial" w:cs="Arial"/>
          <w:sz w:val="22"/>
          <w:szCs w:val="22"/>
        </w:rPr>
      </w:pPr>
      <w:r w:rsidRPr="002F2B24">
        <w:rPr>
          <w:rFonts w:ascii="Arial" w:hAnsi="Arial" w:cs="Arial"/>
          <w:sz w:val="22"/>
          <w:szCs w:val="22"/>
        </w:rPr>
        <w:t xml:space="preserve">Asimismo, en términos del artículo 407 numeral 1 de la Ley Electoral, las personas candidatas podrán participar durante el periodo de campañas en entrevistas de carácter </w:t>
      </w:r>
      <w:r w:rsidRPr="002F2B24">
        <w:rPr>
          <w:rFonts w:ascii="Arial" w:hAnsi="Arial" w:cs="Arial"/>
          <w:sz w:val="22"/>
          <w:szCs w:val="22"/>
        </w:rPr>
        <w:lastRenderedPageBreak/>
        <w:t>noticioso y foros de debate organizados y brindados gratuitamente por el sector público, privado o social en condiciones de equidad, observando al efecto las directrices y acuerdos que al efecto emitan el INE y la autoridad electoral local en el ámbito de su competencia, en observancia a lo dispuesto en esta Ley.</w:t>
      </w:r>
    </w:p>
    <w:p w14:paraId="086E1871" w14:textId="162C3D25"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Regulación de los debates</w:t>
      </w:r>
    </w:p>
    <w:p w14:paraId="02AC4EC4"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de conformidad con el artículo 303 numeral 2 del Reglamento de Elecciones las disposiciones generales que regulan los debates podrán servir de base o criterios orientadores para los organismos electorales en la organización de debates que realicen entre las personas candidatas que participen en elecciones locales, siempre y cuando no contravengan lo que, en su caso, se establezca en sus legislaciones estatales.</w:t>
      </w:r>
    </w:p>
    <w:p w14:paraId="27567305" w14:textId="77777777" w:rsidR="000C113F" w:rsidRPr="002F2B24" w:rsidRDefault="000C113F" w:rsidP="002F2B24">
      <w:pPr>
        <w:pStyle w:val="Ttulo2"/>
        <w:widowControl w:val="0"/>
        <w:spacing w:before="240"/>
        <w:rPr>
          <w:rFonts w:ascii="Arial" w:hAnsi="Arial" w:cs="Arial"/>
          <w:sz w:val="22"/>
          <w:szCs w:val="22"/>
        </w:rPr>
      </w:pPr>
      <w:r w:rsidRPr="002F2B24">
        <w:rPr>
          <w:rFonts w:ascii="Arial" w:hAnsi="Arial" w:cs="Arial"/>
          <w:sz w:val="22"/>
          <w:szCs w:val="22"/>
        </w:rPr>
        <w:t>Objetivo de los debates</w:t>
      </w:r>
    </w:p>
    <w:p w14:paraId="3A875B0A" w14:textId="77777777" w:rsidR="000C113F" w:rsidRPr="002F2B24" w:rsidRDefault="000C113F" w:rsidP="002F2B24">
      <w:pPr>
        <w:widowControl w:val="0"/>
        <w:rPr>
          <w:rFonts w:ascii="Arial" w:hAnsi="Arial" w:cs="Arial"/>
          <w:sz w:val="22"/>
          <w:szCs w:val="22"/>
        </w:rPr>
      </w:pPr>
      <w:r w:rsidRPr="002F2B24">
        <w:rPr>
          <w:rFonts w:ascii="Arial" w:hAnsi="Arial" w:cs="Arial"/>
          <w:sz w:val="22"/>
          <w:szCs w:val="22"/>
        </w:rPr>
        <w:t>Que, de acuerdo con el artículo 304 numeral 1 del Reglamento de Elecciones, los debates tienen por objeto proporcionar a la sociedad la difusión y confrontación de las ideas, programas y plataformas electorales de las candidaturas, por lo que, en su celebración, se asegurará el más amplio ejercicio de la libertad de expresión, garantizando condiciones de equidad en el formato, trato igualitario y el concurso de quienes participan en ésta.</w:t>
      </w:r>
    </w:p>
    <w:p w14:paraId="31D9B3A3" w14:textId="79410B9B" w:rsidR="00476B30" w:rsidRPr="002F2B24" w:rsidRDefault="00476B30" w:rsidP="002F2B24">
      <w:pPr>
        <w:pStyle w:val="Ttulo2"/>
        <w:spacing w:before="240"/>
        <w:rPr>
          <w:rFonts w:ascii="Arial" w:hAnsi="Arial" w:cs="Arial"/>
          <w:sz w:val="22"/>
          <w:szCs w:val="22"/>
        </w:rPr>
      </w:pPr>
      <w:r w:rsidRPr="002F2B24">
        <w:rPr>
          <w:rFonts w:ascii="Arial" w:hAnsi="Arial" w:cs="Arial"/>
          <w:sz w:val="22"/>
          <w:szCs w:val="22"/>
        </w:rPr>
        <w:t xml:space="preserve">Solicitudes para participar en </w:t>
      </w:r>
      <w:r w:rsidR="00CA1303" w:rsidRPr="002F2B24">
        <w:rPr>
          <w:rFonts w:ascii="Arial" w:hAnsi="Arial" w:cs="Arial"/>
          <w:sz w:val="22"/>
          <w:szCs w:val="22"/>
        </w:rPr>
        <w:t xml:space="preserve">los </w:t>
      </w:r>
      <w:r w:rsidRPr="002F2B24">
        <w:rPr>
          <w:rFonts w:ascii="Arial" w:hAnsi="Arial" w:cs="Arial"/>
          <w:sz w:val="22"/>
          <w:szCs w:val="22"/>
        </w:rPr>
        <w:t>foro</w:t>
      </w:r>
      <w:r w:rsidR="00CA1303" w:rsidRPr="002F2B24">
        <w:rPr>
          <w:rFonts w:ascii="Arial" w:hAnsi="Arial" w:cs="Arial"/>
          <w:sz w:val="22"/>
          <w:szCs w:val="22"/>
        </w:rPr>
        <w:t>s</w:t>
      </w:r>
      <w:r w:rsidRPr="002F2B24">
        <w:rPr>
          <w:rFonts w:ascii="Arial" w:hAnsi="Arial" w:cs="Arial"/>
          <w:sz w:val="22"/>
          <w:szCs w:val="22"/>
        </w:rPr>
        <w:t xml:space="preserve"> de debate</w:t>
      </w:r>
    </w:p>
    <w:p w14:paraId="3B0949B5" w14:textId="35138910" w:rsidR="00476B30" w:rsidRPr="002F2B24" w:rsidRDefault="00476B30" w:rsidP="002F2B24">
      <w:pPr>
        <w:widowControl w:val="0"/>
        <w:rPr>
          <w:rFonts w:ascii="Arial" w:hAnsi="Arial" w:cs="Arial"/>
          <w:sz w:val="22"/>
          <w:szCs w:val="22"/>
        </w:rPr>
      </w:pPr>
      <w:r w:rsidRPr="002F2B24">
        <w:rPr>
          <w:rFonts w:ascii="Arial" w:hAnsi="Arial" w:cs="Arial"/>
          <w:sz w:val="22"/>
          <w:szCs w:val="22"/>
        </w:rPr>
        <w:t>Que, conforme al artículo 13 de los Lineamientos, del 29 de abril al 03 de mayo, la Comisión recibió las solicitudes por parte de las personas candidatas a Magistraturas del Tribunal de Disciplina Judicial y Tribunal Superior de Justicia del Poder Judicial del Estado de Tabasco, en las que manifestaron su intención de participar en los foros de debates públicos virtuales.</w:t>
      </w:r>
    </w:p>
    <w:p w14:paraId="629DC67F" w14:textId="1CB73D2E" w:rsidR="00CA1303" w:rsidRPr="002F2B24" w:rsidRDefault="00476B30" w:rsidP="002F2B24">
      <w:pPr>
        <w:widowControl w:val="0"/>
        <w:rPr>
          <w:rFonts w:ascii="Arial" w:hAnsi="Arial" w:cs="Arial"/>
          <w:sz w:val="22"/>
          <w:szCs w:val="22"/>
        </w:rPr>
      </w:pPr>
      <w:r w:rsidRPr="002F2B24">
        <w:rPr>
          <w:rFonts w:ascii="Arial" w:hAnsi="Arial" w:cs="Arial"/>
          <w:sz w:val="22"/>
          <w:szCs w:val="22"/>
        </w:rPr>
        <w:t xml:space="preserve">En ese tenor, se recibieron tres solicitudes, </w:t>
      </w:r>
      <w:r w:rsidR="00CA1303" w:rsidRPr="002F2B24">
        <w:rPr>
          <w:rFonts w:ascii="Arial" w:hAnsi="Arial" w:cs="Arial"/>
          <w:sz w:val="22"/>
          <w:szCs w:val="22"/>
        </w:rPr>
        <w:t>una relacionada con las Magistraturas Penales del Tribunal Superior de Justicia; y, dos para los cargos a Magistraturas del Tribunal de Disciplina Judicial.</w:t>
      </w:r>
    </w:p>
    <w:p w14:paraId="47BB25D2" w14:textId="36FD9EA0" w:rsidR="007B31FB" w:rsidRPr="002F2B24" w:rsidRDefault="007B31FB" w:rsidP="002F2B24">
      <w:pPr>
        <w:widowControl w:val="0"/>
        <w:rPr>
          <w:rFonts w:ascii="Arial" w:hAnsi="Arial" w:cs="Arial"/>
          <w:sz w:val="22"/>
          <w:szCs w:val="22"/>
        </w:rPr>
      </w:pPr>
      <w:r w:rsidRPr="002F2B24">
        <w:rPr>
          <w:rFonts w:ascii="Arial" w:hAnsi="Arial" w:cs="Arial"/>
          <w:sz w:val="22"/>
          <w:szCs w:val="22"/>
        </w:rPr>
        <w:t>Cabe señalar que, la solicitud es procedente cuando se reciban dos o más registros de peticiones provenientes de las personas candidatas a Magistraturas del Tribunal de Disciplina Judicial o, por materia, en el caso de personas candidatas a Magistraturas del Tribunal Superior de Justicia.</w:t>
      </w:r>
    </w:p>
    <w:p w14:paraId="27350F65" w14:textId="7F2D30B5" w:rsidR="007B31FB" w:rsidRPr="002F2B24" w:rsidRDefault="007B31FB" w:rsidP="002F2B24">
      <w:pPr>
        <w:widowControl w:val="0"/>
        <w:rPr>
          <w:rFonts w:ascii="Arial" w:hAnsi="Arial" w:cs="Arial"/>
          <w:sz w:val="22"/>
          <w:szCs w:val="22"/>
        </w:rPr>
      </w:pPr>
      <w:r w:rsidRPr="002F2B24">
        <w:rPr>
          <w:rFonts w:ascii="Arial" w:hAnsi="Arial" w:cs="Arial"/>
          <w:sz w:val="22"/>
          <w:szCs w:val="22"/>
        </w:rPr>
        <w:t>Aunado a lo anterior, la presidencia de la Comisión envió invitación vía correo electrónico a las demás candidaturas a Magistraturas con el propósito de que manifestaran su aceptación o negativa a participar.</w:t>
      </w:r>
    </w:p>
    <w:p w14:paraId="15434BCA" w14:textId="2B44A15F" w:rsidR="00710A6E" w:rsidRPr="002F2B24" w:rsidRDefault="007A1544" w:rsidP="002F2B24">
      <w:pPr>
        <w:pStyle w:val="Ttulo2"/>
        <w:spacing w:before="240"/>
        <w:rPr>
          <w:rFonts w:ascii="Arial" w:hAnsi="Arial" w:cs="Arial"/>
          <w:sz w:val="22"/>
          <w:szCs w:val="22"/>
        </w:rPr>
      </w:pPr>
      <w:r w:rsidRPr="002F2B24">
        <w:rPr>
          <w:rFonts w:ascii="Arial" w:hAnsi="Arial" w:cs="Arial"/>
          <w:sz w:val="22"/>
          <w:szCs w:val="22"/>
        </w:rPr>
        <w:lastRenderedPageBreak/>
        <w:t xml:space="preserve">Estructura para la celebración de los foros de debates públicos virtuales </w:t>
      </w:r>
    </w:p>
    <w:p w14:paraId="103AD059" w14:textId="5E8D9C7E" w:rsidR="007A1544" w:rsidRPr="002F2B24" w:rsidRDefault="007A1544" w:rsidP="002F2B24">
      <w:pPr>
        <w:rPr>
          <w:rFonts w:ascii="Arial" w:hAnsi="Arial" w:cs="Arial"/>
          <w:sz w:val="22"/>
          <w:szCs w:val="22"/>
        </w:rPr>
      </w:pPr>
      <w:r w:rsidRPr="002F2B24">
        <w:rPr>
          <w:rFonts w:ascii="Arial" w:hAnsi="Arial" w:cs="Arial"/>
          <w:sz w:val="22"/>
          <w:szCs w:val="22"/>
        </w:rPr>
        <w:t xml:space="preserve">Que, con base en los principios de equidad, trato igualitario y máxima publicidad que deben regir la organización de los foros de debate públicos virtuales, la Comisión consideró conveniente y procedente adoptar una estructura uniforme para la celebración de los foros de debates entre todas las candidaturas a Magistraturas que aceptaron participar en tales ejercicios, en el marco del Proceso Electoral Extraordinario. </w:t>
      </w:r>
    </w:p>
    <w:p w14:paraId="3B57B30F" w14:textId="4C684A8F" w:rsidR="007A1544" w:rsidRPr="002F2B24" w:rsidRDefault="007A1544" w:rsidP="002F2B24">
      <w:pPr>
        <w:rPr>
          <w:rFonts w:ascii="Arial" w:hAnsi="Arial" w:cs="Arial"/>
          <w:sz w:val="22"/>
          <w:szCs w:val="22"/>
        </w:rPr>
      </w:pPr>
      <w:r w:rsidRPr="002F2B24">
        <w:rPr>
          <w:rFonts w:ascii="Arial" w:hAnsi="Arial" w:cs="Arial"/>
          <w:sz w:val="22"/>
          <w:szCs w:val="22"/>
        </w:rPr>
        <w:t>Dicha determinación tuvo como objetivo asegurar condiciones homogéneas para todas las candidaturas participantes de las Magistraturas, propiciando que la ciudadanía cuente con herramientas comparables para el contraste de ideas, trayectorias y propuestas. En ese sentido, la Comisión elaboró una estructura para el Foro de Debate aplicable a las candidaturas a Magistraturas del Tribunal de Disciplina Judicial y del Tribunal Superior de Justicia del Estado con base en la naturaleza de los cargos, el número estimado de participantes, género y las condiciones técnicas, materiales y presupuestales del Instituto.</w:t>
      </w:r>
    </w:p>
    <w:p w14:paraId="2E7D204A" w14:textId="009BFFCF" w:rsidR="007A1544" w:rsidRPr="002F2B24" w:rsidRDefault="007A1544" w:rsidP="002F2B24">
      <w:pPr>
        <w:rPr>
          <w:rFonts w:ascii="Arial" w:hAnsi="Arial" w:cs="Arial"/>
          <w:sz w:val="22"/>
          <w:szCs w:val="22"/>
        </w:rPr>
      </w:pPr>
      <w:r w:rsidRPr="002F2B24">
        <w:rPr>
          <w:rFonts w:ascii="Arial" w:hAnsi="Arial" w:cs="Arial"/>
          <w:sz w:val="22"/>
          <w:szCs w:val="22"/>
        </w:rPr>
        <w:t>Estos foros de debates se llevarán a cabo en modalidad virtual, a través de una plataforma de videoconferencia y será transmitido a través de las redes oficiales del Instituto.</w:t>
      </w:r>
    </w:p>
    <w:p w14:paraId="3961AF2A" w14:textId="0F781E08" w:rsidR="007A1544" w:rsidRPr="002F2B24" w:rsidRDefault="007A1544" w:rsidP="002F2B24">
      <w:pPr>
        <w:rPr>
          <w:rFonts w:ascii="Arial" w:hAnsi="Arial" w:cs="Arial"/>
          <w:sz w:val="22"/>
          <w:szCs w:val="22"/>
        </w:rPr>
      </w:pPr>
      <w:r w:rsidRPr="002F2B24">
        <w:rPr>
          <w:rFonts w:ascii="Arial" w:hAnsi="Arial" w:cs="Arial"/>
          <w:sz w:val="22"/>
          <w:szCs w:val="22"/>
        </w:rPr>
        <w:t>Para la moderación, se contará con dos personas designadas por el Instituto (mujer y hombre), y se desarrollarán de acuerdo con el anexo único del presente acuerdo y la siguiente estructura establecida en el artículo 16 de los Lineamientos:</w:t>
      </w:r>
    </w:p>
    <w:p w14:paraId="64B67B03" w14:textId="2654D1E5" w:rsidR="007A1544" w:rsidRPr="002F2B24" w:rsidRDefault="007A1544" w:rsidP="0030693E">
      <w:pPr>
        <w:pStyle w:val="Prrafodelista"/>
        <w:numPr>
          <w:ilvl w:val="1"/>
          <w:numId w:val="6"/>
        </w:numPr>
        <w:spacing w:before="120" w:after="120"/>
        <w:ind w:left="851" w:hanging="567"/>
        <w:contextualSpacing w:val="0"/>
        <w:rPr>
          <w:rFonts w:ascii="Arial" w:hAnsi="Arial" w:cs="Arial"/>
          <w:sz w:val="22"/>
          <w:szCs w:val="22"/>
        </w:rPr>
      </w:pPr>
      <w:r w:rsidRPr="002F2B24">
        <w:rPr>
          <w:rFonts w:ascii="Arial" w:hAnsi="Arial" w:cs="Arial"/>
          <w:b/>
          <w:bCs/>
          <w:sz w:val="22"/>
          <w:szCs w:val="22"/>
        </w:rPr>
        <w:t>Bienvenida.</w:t>
      </w:r>
      <w:r w:rsidRPr="002F2B24">
        <w:rPr>
          <w:rFonts w:ascii="Arial" w:hAnsi="Arial" w:cs="Arial"/>
          <w:sz w:val="22"/>
          <w:szCs w:val="22"/>
        </w:rPr>
        <w:t xml:space="preserve"> Las personas moderadoras de los foros de debate darán la bienvenida a quienes participan y al público que esté siguiendo la transmisión del evento y explicarán la dinámica.</w:t>
      </w:r>
    </w:p>
    <w:p w14:paraId="479A1A20" w14:textId="39C7CF29" w:rsidR="007A1544" w:rsidRPr="002F2B24" w:rsidRDefault="007A1544" w:rsidP="0030693E">
      <w:pPr>
        <w:pStyle w:val="Prrafodelista"/>
        <w:numPr>
          <w:ilvl w:val="1"/>
          <w:numId w:val="6"/>
        </w:numPr>
        <w:spacing w:before="120" w:after="120"/>
        <w:ind w:left="851" w:hanging="567"/>
        <w:contextualSpacing w:val="0"/>
        <w:rPr>
          <w:rFonts w:ascii="Arial" w:hAnsi="Arial" w:cs="Arial"/>
          <w:sz w:val="22"/>
          <w:szCs w:val="22"/>
        </w:rPr>
      </w:pPr>
      <w:r w:rsidRPr="002F2B24">
        <w:rPr>
          <w:rFonts w:ascii="Arial" w:hAnsi="Arial" w:cs="Arial"/>
          <w:b/>
          <w:bCs/>
          <w:sz w:val="22"/>
          <w:szCs w:val="22"/>
        </w:rPr>
        <w:t>Presentación.</w:t>
      </w:r>
      <w:r w:rsidRPr="002F2B24">
        <w:rPr>
          <w:rFonts w:ascii="Arial" w:hAnsi="Arial" w:cs="Arial"/>
          <w:sz w:val="22"/>
          <w:szCs w:val="22"/>
        </w:rPr>
        <w:t xml:space="preserve"> Las personas moderadoras harán una breve presentación de cada participante conforme al orden sorteado previamente, seguidamente procederán a darles el uso de la voz para dar inicio con las rondas de intervención.</w:t>
      </w:r>
    </w:p>
    <w:p w14:paraId="7DE91703" w14:textId="42A1A777" w:rsidR="007A1544" w:rsidRPr="002F2B24" w:rsidRDefault="007A1544" w:rsidP="0030693E">
      <w:pPr>
        <w:pStyle w:val="Prrafodelista"/>
        <w:numPr>
          <w:ilvl w:val="1"/>
          <w:numId w:val="6"/>
        </w:numPr>
        <w:spacing w:before="120" w:after="120"/>
        <w:ind w:left="851" w:hanging="567"/>
        <w:contextualSpacing w:val="0"/>
        <w:rPr>
          <w:rFonts w:ascii="Arial" w:hAnsi="Arial" w:cs="Arial"/>
          <w:sz w:val="22"/>
          <w:szCs w:val="22"/>
        </w:rPr>
      </w:pPr>
      <w:r w:rsidRPr="002F2B24">
        <w:rPr>
          <w:rFonts w:ascii="Arial" w:hAnsi="Arial" w:cs="Arial"/>
          <w:b/>
          <w:bCs/>
          <w:sz w:val="22"/>
          <w:szCs w:val="22"/>
        </w:rPr>
        <w:t xml:space="preserve">Rondas de intervención. </w:t>
      </w:r>
      <w:r w:rsidRPr="002F2B24">
        <w:rPr>
          <w:rFonts w:ascii="Arial" w:hAnsi="Arial" w:cs="Arial"/>
          <w:sz w:val="22"/>
          <w:szCs w:val="22"/>
        </w:rPr>
        <w:t>Cada participante dispondrá de un tiempo determinado para exponer sus ideas en tres rondas que podrán abordar aspectos como su trayectoria profesional, motivación y propuestas en ciertos temas de su especialidad, así como su mensaje final.</w:t>
      </w:r>
    </w:p>
    <w:p w14:paraId="7224C2AD" w14:textId="0965C8BB" w:rsidR="007A1544" w:rsidRPr="002F2B24" w:rsidRDefault="007A1544" w:rsidP="0030693E">
      <w:pPr>
        <w:pStyle w:val="Prrafodelista"/>
        <w:numPr>
          <w:ilvl w:val="1"/>
          <w:numId w:val="6"/>
        </w:numPr>
        <w:spacing w:before="120" w:after="120"/>
        <w:ind w:left="851" w:hanging="567"/>
        <w:contextualSpacing w:val="0"/>
        <w:rPr>
          <w:rFonts w:ascii="Arial" w:hAnsi="Arial" w:cs="Arial"/>
          <w:sz w:val="22"/>
          <w:szCs w:val="22"/>
        </w:rPr>
      </w:pPr>
      <w:r w:rsidRPr="002F2B24">
        <w:rPr>
          <w:rFonts w:ascii="Arial" w:hAnsi="Arial" w:cs="Arial"/>
          <w:b/>
          <w:bCs/>
          <w:sz w:val="22"/>
          <w:szCs w:val="22"/>
        </w:rPr>
        <w:t>Cierre.</w:t>
      </w:r>
      <w:r w:rsidRPr="002F2B24">
        <w:rPr>
          <w:rFonts w:ascii="Arial" w:hAnsi="Arial" w:cs="Arial"/>
          <w:sz w:val="22"/>
          <w:szCs w:val="22"/>
        </w:rPr>
        <w:t xml:space="preserve"> Despedida y agradecimiento por parte de las personas moderadoras.</w:t>
      </w:r>
    </w:p>
    <w:p w14:paraId="33CA6866" w14:textId="7223944D" w:rsidR="007A1544" w:rsidRPr="002F2B24" w:rsidRDefault="007A1544" w:rsidP="002F2B24">
      <w:pPr>
        <w:rPr>
          <w:rFonts w:ascii="Arial" w:hAnsi="Arial" w:cs="Arial"/>
          <w:sz w:val="22"/>
          <w:szCs w:val="22"/>
        </w:rPr>
      </w:pPr>
      <w:r w:rsidRPr="002F2B24">
        <w:rPr>
          <w:rFonts w:ascii="Arial" w:hAnsi="Arial" w:cs="Arial"/>
          <w:sz w:val="22"/>
          <w:szCs w:val="22"/>
        </w:rPr>
        <w:t>Cabe señalar que, de acuerdo con el precepto mencionado, la intervención de los participantes en la primera ronda será conforme al sorteo efectuado y rotativo en las siguientes, de manera tal que, si en la primera ronda le corresponde por sorteo ser el número uno, en la siguiente el número dos sería el primero y así sucesivamente.</w:t>
      </w:r>
    </w:p>
    <w:p w14:paraId="617416B8" w14:textId="374164BF" w:rsidR="007A1544" w:rsidRPr="002F2B24" w:rsidRDefault="007A1544" w:rsidP="002F2B24">
      <w:pPr>
        <w:pStyle w:val="Ttulo2"/>
        <w:spacing w:before="240"/>
        <w:rPr>
          <w:rFonts w:ascii="Arial" w:hAnsi="Arial" w:cs="Arial"/>
          <w:sz w:val="22"/>
          <w:szCs w:val="22"/>
        </w:rPr>
      </w:pPr>
      <w:r w:rsidRPr="002F2B24">
        <w:rPr>
          <w:rFonts w:ascii="Arial" w:hAnsi="Arial" w:cs="Arial"/>
          <w:sz w:val="22"/>
          <w:szCs w:val="22"/>
        </w:rPr>
        <w:lastRenderedPageBreak/>
        <w:t>Plataforma para la celebración de los foros de debates públicos virtuales</w:t>
      </w:r>
    </w:p>
    <w:p w14:paraId="4400D607" w14:textId="37F5CF5A" w:rsidR="007A1544" w:rsidRPr="002F2B24" w:rsidRDefault="007A1544" w:rsidP="002F2B24">
      <w:pPr>
        <w:rPr>
          <w:rFonts w:ascii="Arial" w:hAnsi="Arial" w:cs="Arial"/>
          <w:sz w:val="22"/>
          <w:szCs w:val="22"/>
        </w:rPr>
      </w:pPr>
      <w:r w:rsidRPr="002F2B24">
        <w:rPr>
          <w:rFonts w:ascii="Arial" w:hAnsi="Arial" w:cs="Arial"/>
          <w:sz w:val="22"/>
          <w:szCs w:val="22"/>
        </w:rPr>
        <w:t>Que, conforme al artículo 28 de los Lineamientos, para el desarrollo de los Foros de Debates se considerará el uso de una plataforma tecnológica que permita la comunicación e interacción entre las y los participantes, mediante la emisión y recepción de audio y video en tiempo real, garantizando la identificación plena de cada una de las candidaturas, confiabilidad y estabilidad.</w:t>
      </w:r>
    </w:p>
    <w:p w14:paraId="6F1F9D69" w14:textId="30DF1C33" w:rsidR="007A1544" w:rsidRPr="002F2B24" w:rsidRDefault="007A1544" w:rsidP="002F2B24">
      <w:pPr>
        <w:rPr>
          <w:rFonts w:ascii="Arial" w:hAnsi="Arial" w:cs="Arial"/>
          <w:sz w:val="22"/>
          <w:szCs w:val="22"/>
        </w:rPr>
      </w:pPr>
      <w:r w:rsidRPr="002F2B24">
        <w:rPr>
          <w:rFonts w:ascii="Arial" w:hAnsi="Arial" w:cs="Arial"/>
          <w:sz w:val="22"/>
          <w:szCs w:val="22"/>
        </w:rPr>
        <w:t xml:space="preserve">En ese sentido, conforme a análisis de las herramientas disponibles en el Instituto, derivado de las diferentes pruebas técnicas realizadas en conjunto por la Unidad de Comunicación Social, </w:t>
      </w:r>
      <w:proofErr w:type="spellStart"/>
      <w:r w:rsidRPr="002F2B24">
        <w:rPr>
          <w:rFonts w:ascii="Arial" w:hAnsi="Arial" w:cs="Arial"/>
          <w:sz w:val="22"/>
          <w:szCs w:val="22"/>
        </w:rPr>
        <w:t>UNITIC</w:t>
      </w:r>
      <w:proofErr w:type="spellEnd"/>
      <w:r w:rsidRPr="002F2B24">
        <w:rPr>
          <w:rFonts w:ascii="Arial" w:hAnsi="Arial" w:cs="Arial"/>
          <w:sz w:val="22"/>
          <w:szCs w:val="22"/>
        </w:rPr>
        <w:t xml:space="preserve"> y Unidad de Logística de este Instituto, así como de las reuniones de trabajo sostenidas entre las Consejerías de la Comisión, se identificó que la plataforma ZOOM, utilizada en otras ocasiones, ofrece funcionalidades técnicas que aseguran una transmisión estable y continua, sin interrupciones durante las participaciones.</w:t>
      </w:r>
    </w:p>
    <w:p w14:paraId="2AE6C14D" w14:textId="77777777" w:rsidR="007A1544" w:rsidRPr="002F2B24" w:rsidRDefault="007A1544" w:rsidP="002F2B24">
      <w:pPr>
        <w:rPr>
          <w:rFonts w:ascii="Arial" w:hAnsi="Arial" w:cs="Arial"/>
          <w:sz w:val="22"/>
          <w:szCs w:val="22"/>
        </w:rPr>
      </w:pPr>
      <w:r w:rsidRPr="002F2B24">
        <w:rPr>
          <w:rFonts w:ascii="Arial" w:hAnsi="Arial" w:cs="Arial"/>
          <w:sz w:val="22"/>
          <w:szCs w:val="22"/>
        </w:rPr>
        <w:t>Dicha plataforma tiene las siguientes funcionalidades: permite a las personas organizadoras ejercer un control del desarrollo del foro, mediante la administración de accesos, silenciamiento de participantes, fijación de pantalla. Además, permite la grabación directa, continúa e íntegra, sin ediciones, incluyendo audio, video, y materiales de apoyo. Así también, posibilita el uso de herramientas complementarias, como cronómetros visibles para la moderación equitativa del tiempo, e intérpretes de Lengua de Señas Mexicana visibles en pantalla, fortaleciendo la accesibilidad de cada evento.</w:t>
      </w:r>
    </w:p>
    <w:p w14:paraId="7192800F" w14:textId="77777777" w:rsidR="007A1544" w:rsidRPr="002F2B24" w:rsidRDefault="007A1544" w:rsidP="002F2B24">
      <w:pPr>
        <w:rPr>
          <w:rFonts w:ascii="Arial" w:hAnsi="Arial" w:cs="Arial"/>
          <w:sz w:val="22"/>
          <w:szCs w:val="22"/>
        </w:rPr>
      </w:pPr>
      <w:r w:rsidRPr="002F2B24">
        <w:rPr>
          <w:rFonts w:ascii="Arial" w:hAnsi="Arial" w:cs="Arial"/>
          <w:sz w:val="22"/>
          <w:szCs w:val="22"/>
        </w:rPr>
        <w:t>El uso de esta plataforma no implica un gasto adicional, pues forma parte de las herramientas de comunicación interna del Instituto, lo cual facilita su implementación.</w:t>
      </w:r>
    </w:p>
    <w:p w14:paraId="30AD2607" w14:textId="712D18CE" w:rsidR="007A1544" w:rsidRPr="002F2B24" w:rsidRDefault="007A1544" w:rsidP="002F2B24">
      <w:pPr>
        <w:rPr>
          <w:rFonts w:ascii="Arial" w:hAnsi="Arial" w:cs="Arial"/>
          <w:sz w:val="22"/>
          <w:szCs w:val="22"/>
        </w:rPr>
      </w:pPr>
      <w:r w:rsidRPr="002F2B24">
        <w:rPr>
          <w:rFonts w:ascii="Arial" w:hAnsi="Arial" w:cs="Arial"/>
          <w:sz w:val="22"/>
          <w:szCs w:val="22"/>
        </w:rPr>
        <w:t xml:space="preserve">Por lo anterior se considera que la plataforma </w:t>
      </w:r>
      <w:r w:rsidR="00A6033C" w:rsidRPr="002F2B24">
        <w:rPr>
          <w:rFonts w:ascii="Arial" w:hAnsi="Arial" w:cs="Arial"/>
          <w:sz w:val="22"/>
          <w:szCs w:val="22"/>
        </w:rPr>
        <w:t>ZOOM</w:t>
      </w:r>
      <w:r w:rsidRPr="002F2B24">
        <w:rPr>
          <w:rFonts w:ascii="Arial" w:hAnsi="Arial" w:cs="Arial"/>
          <w:sz w:val="22"/>
          <w:szCs w:val="22"/>
        </w:rPr>
        <w:t xml:space="preserve"> cumple con las condiciones técnicas, normativas y operativas necesarias para llevar a cabo los foros de debates virtuales con estándares de equidad, accesibilidad y certeza, razón por la cual se propone su aprobación como herramienta oficial para este fin.</w:t>
      </w:r>
    </w:p>
    <w:p w14:paraId="42D6DF99" w14:textId="4CFD68E0" w:rsidR="00E919C7" w:rsidRPr="002F2B24" w:rsidRDefault="00E919C7" w:rsidP="002F2B24">
      <w:pPr>
        <w:rPr>
          <w:rFonts w:ascii="Arial" w:hAnsi="Arial" w:cs="Arial"/>
          <w:sz w:val="22"/>
          <w:szCs w:val="22"/>
        </w:rPr>
      </w:pPr>
      <w:r w:rsidRPr="002F2B24">
        <w:rPr>
          <w:rFonts w:ascii="Arial" w:hAnsi="Arial" w:cs="Arial"/>
          <w:sz w:val="22"/>
          <w:szCs w:val="22"/>
        </w:rPr>
        <w:t>Sobre la base de las consideraciones señaladas, este Consejo Estatal emite el siguiente:</w:t>
      </w:r>
    </w:p>
    <w:p w14:paraId="484CC3FA" w14:textId="77777777" w:rsidR="00E919C7" w:rsidRPr="0030693E" w:rsidRDefault="00E919C7" w:rsidP="0030693E">
      <w:pPr>
        <w:pStyle w:val="Ttulo1"/>
        <w:spacing w:before="360"/>
        <w:ind w:left="431" w:hanging="431"/>
        <w:rPr>
          <w:rFonts w:ascii="Arial" w:hAnsi="Arial" w:cs="Arial"/>
          <w:sz w:val="24"/>
        </w:rPr>
      </w:pPr>
      <w:r w:rsidRPr="0030693E">
        <w:rPr>
          <w:rFonts w:ascii="Arial" w:hAnsi="Arial" w:cs="Arial"/>
          <w:sz w:val="24"/>
        </w:rPr>
        <w:t>Acuerdo</w:t>
      </w:r>
    </w:p>
    <w:p w14:paraId="3AD10A1E" w14:textId="6221F5DD" w:rsidR="00A6033C" w:rsidRPr="0030693E" w:rsidRDefault="00E919C7" w:rsidP="0030693E">
      <w:pPr>
        <w:rPr>
          <w:rFonts w:ascii="Arial" w:hAnsi="Arial" w:cs="Arial"/>
          <w:sz w:val="22"/>
        </w:rPr>
      </w:pPr>
      <w:r w:rsidRPr="0030693E">
        <w:rPr>
          <w:rFonts w:ascii="Arial" w:hAnsi="Arial" w:cs="Arial"/>
          <w:b/>
          <w:bCs/>
          <w:sz w:val="22"/>
        </w:rPr>
        <w:t>Primero.</w:t>
      </w:r>
      <w:r w:rsidRPr="0030693E">
        <w:rPr>
          <w:rFonts w:ascii="Arial" w:hAnsi="Arial" w:cs="Arial"/>
          <w:sz w:val="22"/>
        </w:rPr>
        <w:t xml:space="preserve"> Se </w:t>
      </w:r>
      <w:r w:rsidR="0082710C" w:rsidRPr="0030693E">
        <w:rPr>
          <w:rFonts w:ascii="Arial" w:hAnsi="Arial" w:cs="Arial"/>
          <w:sz w:val="22"/>
        </w:rPr>
        <w:t xml:space="preserve">aprueba </w:t>
      </w:r>
      <w:r w:rsidR="00A6033C" w:rsidRPr="0030693E">
        <w:rPr>
          <w:rFonts w:ascii="Arial" w:hAnsi="Arial" w:cs="Arial"/>
          <w:sz w:val="22"/>
        </w:rPr>
        <w:t xml:space="preserve">la estructura para la realización de los foros de debates públicos virtuales a celebrarse entre las personas candidatas a Magistraturas del Tribunal de Disciplina Judicial y del Tribunal Superior de Justicia, con motivo del Proceso Electoral Local Extraordinario para personas juzgadoras del Poder Judicial del Estado de Tabasco 2024 – </w:t>
      </w:r>
      <w:r w:rsidR="00A6033C" w:rsidRPr="0030693E">
        <w:rPr>
          <w:rFonts w:ascii="Arial" w:hAnsi="Arial" w:cs="Arial"/>
          <w:sz w:val="22"/>
        </w:rPr>
        <w:lastRenderedPageBreak/>
        <w:t xml:space="preserve">2025 </w:t>
      </w:r>
      <w:r w:rsidR="0082710C" w:rsidRPr="0030693E">
        <w:rPr>
          <w:rFonts w:ascii="Arial" w:hAnsi="Arial" w:cs="Arial"/>
          <w:sz w:val="22"/>
        </w:rPr>
        <w:t>propuest</w:t>
      </w:r>
      <w:r w:rsidR="00A6033C" w:rsidRPr="0030693E">
        <w:rPr>
          <w:rFonts w:ascii="Arial" w:hAnsi="Arial" w:cs="Arial"/>
          <w:sz w:val="22"/>
        </w:rPr>
        <w:t>a</w:t>
      </w:r>
      <w:r w:rsidR="0082710C" w:rsidRPr="0030693E">
        <w:rPr>
          <w:rFonts w:ascii="Arial" w:hAnsi="Arial" w:cs="Arial"/>
          <w:sz w:val="22"/>
        </w:rPr>
        <w:t xml:space="preserve"> por la Comisión Temporal de Foro de Debates, conforme a lo establecido en el considerando 2.1</w:t>
      </w:r>
      <w:r w:rsidR="00A6033C" w:rsidRPr="0030693E">
        <w:rPr>
          <w:rFonts w:ascii="Arial" w:hAnsi="Arial" w:cs="Arial"/>
          <w:sz w:val="22"/>
        </w:rPr>
        <w:t>2 y el anexo único contenido en el presente acuerdo.</w:t>
      </w:r>
    </w:p>
    <w:p w14:paraId="37E56960" w14:textId="1B750045" w:rsidR="00A6033C" w:rsidRPr="0030693E" w:rsidRDefault="00A6033C" w:rsidP="0030693E">
      <w:pPr>
        <w:rPr>
          <w:rFonts w:ascii="Arial" w:hAnsi="Arial" w:cs="Arial"/>
          <w:sz w:val="22"/>
        </w:rPr>
      </w:pPr>
      <w:r w:rsidRPr="0030693E">
        <w:rPr>
          <w:rFonts w:ascii="Arial" w:hAnsi="Arial" w:cs="Arial"/>
          <w:b/>
          <w:bCs/>
          <w:sz w:val="22"/>
        </w:rPr>
        <w:t xml:space="preserve">Segundo. </w:t>
      </w:r>
      <w:r w:rsidRPr="0030693E">
        <w:rPr>
          <w:rFonts w:ascii="Arial" w:hAnsi="Arial" w:cs="Arial"/>
          <w:sz w:val="22"/>
        </w:rPr>
        <w:t>Asimismo, se aprueba la plataforma ZOOM para la realización de los foros de debates públicos virtuales a celebrarse entre las personas candidatas a Magistraturas del Tribunal de Disciplina Judicial y del Tribunal Superior de Justicia, con motivo del Proceso Electoral Local Extraordinario para personas juzgadoras del Poder Judicial del Estado de Tabasco 2024 – 2025, conforme al considerando 2.13 del presente acuerdo.</w:t>
      </w:r>
    </w:p>
    <w:p w14:paraId="157981B2" w14:textId="6D3D070A" w:rsidR="0047384F" w:rsidRPr="0030693E" w:rsidRDefault="0047384F" w:rsidP="0030693E">
      <w:pPr>
        <w:rPr>
          <w:rFonts w:ascii="Arial" w:hAnsi="Arial" w:cs="Arial"/>
          <w:sz w:val="22"/>
        </w:rPr>
      </w:pPr>
      <w:r w:rsidRPr="0030693E">
        <w:rPr>
          <w:rFonts w:ascii="Arial" w:hAnsi="Arial" w:cs="Arial"/>
          <w:b/>
          <w:bCs/>
          <w:sz w:val="22"/>
        </w:rPr>
        <w:t>Tercero</w:t>
      </w:r>
      <w:r w:rsidR="009625BC" w:rsidRPr="0030693E">
        <w:rPr>
          <w:rFonts w:ascii="Arial" w:hAnsi="Arial" w:cs="Arial"/>
          <w:b/>
          <w:bCs/>
          <w:sz w:val="22"/>
        </w:rPr>
        <w:t>.</w:t>
      </w:r>
      <w:r w:rsidR="009625BC" w:rsidRPr="0030693E">
        <w:rPr>
          <w:rFonts w:ascii="Arial" w:hAnsi="Arial" w:cs="Arial"/>
          <w:sz w:val="22"/>
        </w:rPr>
        <w:t xml:space="preserve"> </w:t>
      </w:r>
      <w:r w:rsidRPr="0030693E">
        <w:rPr>
          <w:rFonts w:ascii="Arial" w:hAnsi="Arial" w:cs="Arial"/>
          <w:sz w:val="22"/>
        </w:rPr>
        <w:t>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42C0E081" w14:textId="7B2A5138" w:rsidR="009625BC" w:rsidRPr="0030693E" w:rsidRDefault="0047384F" w:rsidP="0030693E">
      <w:pPr>
        <w:rPr>
          <w:rFonts w:ascii="Arial" w:hAnsi="Arial" w:cs="Arial"/>
          <w:sz w:val="22"/>
        </w:rPr>
      </w:pPr>
      <w:r w:rsidRPr="0030693E">
        <w:rPr>
          <w:rFonts w:ascii="Arial" w:hAnsi="Arial" w:cs="Arial"/>
          <w:b/>
          <w:bCs/>
          <w:sz w:val="22"/>
        </w:rPr>
        <w:t xml:space="preserve">Cuarto. </w:t>
      </w:r>
      <w:r w:rsidR="00E76372" w:rsidRPr="0030693E">
        <w:rPr>
          <w:rFonts w:ascii="Arial" w:hAnsi="Arial" w:cs="Arial"/>
          <w:sz w:val="22"/>
        </w:rPr>
        <w:t>S</w:t>
      </w:r>
      <w:r w:rsidR="009625BC" w:rsidRPr="0030693E">
        <w:rPr>
          <w:rFonts w:ascii="Arial" w:hAnsi="Arial" w:cs="Arial"/>
          <w:sz w:val="22"/>
        </w:rPr>
        <w:t>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7C719571" w14:textId="2F53F7DA" w:rsidR="009625BC" w:rsidRPr="0030693E" w:rsidRDefault="002D1657" w:rsidP="0030693E">
      <w:pPr>
        <w:widowControl w:val="0"/>
        <w:rPr>
          <w:rFonts w:ascii="Arial" w:hAnsi="Arial" w:cs="Arial"/>
          <w:sz w:val="22"/>
        </w:rPr>
      </w:pPr>
      <w:r w:rsidRPr="0030693E">
        <w:rPr>
          <w:rFonts w:ascii="Arial" w:hAnsi="Arial" w:cs="Arial"/>
          <w:b/>
          <w:bCs/>
          <w:sz w:val="22"/>
        </w:rPr>
        <w:t>Quinto</w:t>
      </w:r>
      <w:r w:rsidR="009625BC" w:rsidRPr="0030693E">
        <w:rPr>
          <w:rFonts w:ascii="Arial" w:hAnsi="Arial" w:cs="Arial"/>
          <w:b/>
          <w:bCs/>
          <w:sz w:val="22"/>
        </w:rPr>
        <w:t>.</w:t>
      </w:r>
      <w:r w:rsidR="009625BC" w:rsidRPr="0030693E">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C7F156D" w14:textId="225CF688" w:rsidR="009625BC" w:rsidRPr="0030693E" w:rsidRDefault="009625BC" w:rsidP="0030693E">
      <w:pPr>
        <w:rPr>
          <w:rFonts w:ascii="Arial" w:hAnsi="Arial" w:cs="Arial"/>
          <w:sz w:val="22"/>
        </w:rPr>
      </w:pPr>
      <w:r w:rsidRPr="0030693E">
        <w:rPr>
          <w:rFonts w:ascii="Arial" w:hAnsi="Arial" w:cs="Arial"/>
          <w:sz w:val="22"/>
        </w:rPr>
        <w:t xml:space="preserve">El presente acuerdo fue aprobado en sesión </w:t>
      </w:r>
      <w:r w:rsidR="0030693E">
        <w:rPr>
          <w:rFonts w:ascii="Arial" w:hAnsi="Arial" w:cs="Arial"/>
          <w:sz w:val="22"/>
        </w:rPr>
        <w:t>extraordinaria</w:t>
      </w:r>
      <w:r w:rsidRPr="0030693E">
        <w:rPr>
          <w:rFonts w:ascii="Arial" w:hAnsi="Arial" w:cs="Arial"/>
          <w:sz w:val="22"/>
        </w:rPr>
        <w:t xml:space="preserve"> efectuada el </w:t>
      </w:r>
      <w:r w:rsidR="0030693E">
        <w:rPr>
          <w:rFonts w:ascii="Arial" w:hAnsi="Arial" w:cs="Arial"/>
          <w:sz w:val="22"/>
        </w:rPr>
        <w:t>trece</w:t>
      </w:r>
      <w:r w:rsidRPr="0030693E">
        <w:rPr>
          <w:rFonts w:ascii="Arial" w:hAnsi="Arial" w:cs="Arial"/>
          <w:sz w:val="22"/>
        </w:rPr>
        <w:t xml:space="preserve"> de </w:t>
      </w:r>
      <w:r w:rsidR="0030693E">
        <w:rPr>
          <w:rFonts w:ascii="Arial" w:hAnsi="Arial" w:cs="Arial"/>
          <w:sz w:val="22"/>
        </w:rPr>
        <w:t xml:space="preserve">mayo </w:t>
      </w:r>
      <w:r w:rsidRPr="0030693E">
        <w:rPr>
          <w:rFonts w:ascii="Arial" w:hAnsi="Arial" w:cs="Arial"/>
          <w:sz w:val="22"/>
        </w:rPr>
        <w:t xml:space="preserve">del año dos mil veinticinco, por votación </w:t>
      </w:r>
      <w:r w:rsidR="0030693E">
        <w:rPr>
          <w:rFonts w:ascii="Arial" w:hAnsi="Arial" w:cs="Arial"/>
          <w:sz w:val="22"/>
        </w:rPr>
        <w:t>unánime</w:t>
      </w:r>
      <w:r w:rsidRPr="0030693E">
        <w:rPr>
          <w:rFonts w:ascii="Arial" w:hAnsi="Arial" w:cs="Arial"/>
          <w:sz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30693E">
        <w:rPr>
          <w:rFonts w:ascii="Arial" w:hAnsi="Arial" w:cs="Arial"/>
          <w:sz w:val="22"/>
        </w:rPr>
        <w:t>Beaurregard</w:t>
      </w:r>
      <w:proofErr w:type="spellEnd"/>
      <w:r w:rsidRPr="0030693E">
        <w:rPr>
          <w:rFonts w:ascii="Arial" w:hAnsi="Arial" w:cs="Arial"/>
          <w:sz w:val="22"/>
        </w:rPr>
        <w:t xml:space="preserve">, Mtra. Ruth </w:t>
      </w:r>
      <w:proofErr w:type="spellStart"/>
      <w:r w:rsidRPr="0030693E">
        <w:rPr>
          <w:rFonts w:ascii="Arial" w:hAnsi="Arial" w:cs="Arial"/>
          <w:sz w:val="22"/>
        </w:rPr>
        <w:t>Lizette</w:t>
      </w:r>
      <w:proofErr w:type="spellEnd"/>
      <w:r w:rsidRPr="0030693E">
        <w:rPr>
          <w:rFonts w:ascii="Arial" w:hAnsi="Arial" w:cs="Arial"/>
          <w:sz w:val="22"/>
        </w:rPr>
        <w:t xml:space="preserve"> Toledo Peral y la Consejera Presidenta, Mtra. Elizabeth Nava Gutiérrez.</w:t>
      </w:r>
    </w:p>
    <w:p w14:paraId="2265B65D" w14:textId="5F71A743" w:rsidR="009625BC" w:rsidRDefault="009625BC" w:rsidP="0030693E">
      <w:pPr>
        <w:rPr>
          <w:rFonts w:ascii="Arial" w:hAnsi="Arial" w:cs="Arial"/>
          <w:sz w:val="22"/>
        </w:rPr>
      </w:pPr>
    </w:p>
    <w:p w14:paraId="262AA85B" w14:textId="55026258" w:rsidR="0030693E" w:rsidRDefault="0030693E" w:rsidP="0030693E">
      <w:pPr>
        <w:rPr>
          <w:rFonts w:ascii="Arial" w:hAnsi="Arial" w:cs="Arial"/>
          <w:sz w:val="22"/>
        </w:rPr>
      </w:pPr>
    </w:p>
    <w:p w14:paraId="4601D0F8" w14:textId="77777777" w:rsidR="0030693E" w:rsidRPr="0030693E" w:rsidRDefault="0030693E" w:rsidP="0030693E">
      <w:pPr>
        <w:rPr>
          <w:rFonts w:ascii="Arial" w:hAnsi="Arial" w:cs="Arial"/>
          <w:sz w:val="22"/>
        </w:rPr>
      </w:pPr>
    </w:p>
    <w:p w14:paraId="3311D75E" w14:textId="77777777" w:rsidR="009625BC" w:rsidRPr="0030693E" w:rsidRDefault="009625BC" w:rsidP="0030693E">
      <w:pPr>
        <w:rPr>
          <w:rFonts w:ascii="Arial" w:hAnsi="Arial" w:cs="Arial"/>
          <w:sz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322"/>
      </w:tblGrid>
      <w:tr w:rsidR="0030693E" w:rsidRPr="0030693E" w14:paraId="36538518" w14:textId="77777777" w:rsidTr="0030693E">
        <w:trPr>
          <w:jc w:val="center"/>
        </w:trPr>
        <w:tc>
          <w:tcPr>
            <w:tcW w:w="2555" w:type="pct"/>
          </w:tcPr>
          <w:p w14:paraId="4E7FF2DC" w14:textId="77777777" w:rsidR="0030693E" w:rsidRPr="0030693E" w:rsidRDefault="0030693E" w:rsidP="00F36E2B">
            <w:pPr>
              <w:spacing w:before="0" w:after="0" w:line="264" w:lineRule="auto"/>
              <w:jc w:val="center"/>
              <w:rPr>
                <w:rFonts w:ascii="Arial" w:hAnsi="Arial" w:cs="Arial"/>
                <w:b/>
                <w:bCs/>
                <w:sz w:val="22"/>
              </w:rPr>
            </w:pPr>
            <w:r w:rsidRPr="0030693E">
              <w:rPr>
                <w:rFonts w:ascii="Arial" w:hAnsi="Arial" w:cs="Arial"/>
                <w:b/>
                <w:bCs/>
                <w:sz w:val="22"/>
              </w:rPr>
              <w:t>MTRA. ELIZABETH NAVA GU</w:t>
            </w:r>
            <w:bookmarkStart w:id="0" w:name="_GoBack"/>
            <w:bookmarkEnd w:id="0"/>
            <w:r w:rsidRPr="0030693E">
              <w:rPr>
                <w:rFonts w:ascii="Arial" w:hAnsi="Arial" w:cs="Arial"/>
                <w:b/>
                <w:bCs/>
                <w:sz w:val="22"/>
              </w:rPr>
              <w:t>TIÉRREZ</w:t>
            </w:r>
          </w:p>
          <w:p w14:paraId="1D94C73A" w14:textId="77777777" w:rsidR="0030693E" w:rsidRPr="0030693E" w:rsidRDefault="0030693E" w:rsidP="00F36E2B">
            <w:pPr>
              <w:spacing w:before="0" w:after="0" w:line="264" w:lineRule="auto"/>
              <w:jc w:val="center"/>
              <w:rPr>
                <w:rFonts w:ascii="Arial" w:hAnsi="Arial" w:cs="Arial"/>
                <w:b/>
                <w:bCs/>
                <w:sz w:val="22"/>
              </w:rPr>
            </w:pPr>
            <w:r w:rsidRPr="0030693E">
              <w:rPr>
                <w:rFonts w:ascii="Arial" w:hAnsi="Arial" w:cs="Arial"/>
                <w:b/>
                <w:bCs/>
                <w:sz w:val="22"/>
              </w:rPr>
              <w:t>CONSEJERA PRESIDENTA</w:t>
            </w:r>
          </w:p>
        </w:tc>
        <w:tc>
          <w:tcPr>
            <w:tcW w:w="2445" w:type="pct"/>
          </w:tcPr>
          <w:p w14:paraId="2BCD3941" w14:textId="77777777" w:rsidR="0030693E" w:rsidRPr="0030693E" w:rsidRDefault="0030693E" w:rsidP="00F36E2B">
            <w:pPr>
              <w:spacing w:before="0" w:after="0" w:line="264" w:lineRule="auto"/>
              <w:jc w:val="center"/>
              <w:rPr>
                <w:rFonts w:ascii="Arial" w:hAnsi="Arial" w:cs="Arial"/>
                <w:b/>
                <w:bCs/>
                <w:sz w:val="22"/>
              </w:rPr>
            </w:pPr>
            <w:r w:rsidRPr="0030693E">
              <w:rPr>
                <w:rFonts w:ascii="Arial" w:hAnsi="Arial" w:cs="Arial"/>
                <w:b/>
                <w:bCs/>
                <w:sz w:val="22"/>
              </w:rPr>
              <w:t>LIC. JORGE ALBERTO ZAVALA FRÍAS</w:t>
            </w:r>
          </w:p>
          <w:p w14:paraId="7B1A2D94" w14:textId="77777777" w:rsidR="0030693E" w:rsidRPr="0030693E" w:rsidRDefault="0030693E" w:rsidP="00F36E2B">
            <w:pPr>
              <w:spacing w:before="0" w:after="0" w:line="264" w:lineRule="auto"/>
              <w:jc w:val="center"/>
              <w:rPr>
                <w:rFonts w:ascii="Arial" w:hAnsi="Arial" w:cs="Arial"/>
                <w:b/>
                <w:bCs/>
                <w:sz w:val="22"/>
              </w:rPr>
            </w:pPr>
            <w:r w:rsidRPr="0030693E">
              <w:rPr>
                <w:rFonts w:ascii="Arial" w:hAnsi="Arial" w:cs="Arial"/>
                <w:b/>
                <w:bCs/>
                <w:sz w:val="22"/>
              </w:rPr>
              <w:t>SECRETARIO DEL CONSEJO</w:t>
            </w:r>
          </w:p>
        </w:tc>
      </w:tr>
    </w:tbl>
    <w:p w14:paraId="380F6C77" w14:textId="77777777" w:rsidR="009625BC" w:rsidRPr="0030693E" w:rsidRDefault="009625BC" w:rsidP="0030693E">
      <w:pPr>
        <w:spacing w:before="0" w:after="0" w:line="240" w:lineRule="auto"/>
        <w:rPr>
          <w:rFonts w:ascii="Arial" w:hAnsi="Arial" w:cs="Arial"/>
          <w:sz w:val="2"/>
        </w:rPr>
      </w:pPr>
    </w:p>
    <w:sectPr w:rsidR="009625BC" w:rsidRPr="0030693E" w:rsidSect="002F2B24">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629A5" w14:textId="77777777" w:rsidR="008F3595" w:rsidRDefault="008F3595" w:rsidP="009625BC">
      <w:pPr>
        <w:spacing w:before="0" w:after="0" w:line="240" w:lineRule="auto"/>
      </w:pPr>
      <w:r>
        <w:separator/>
      </w:r>
    </w:p>
  </w:endnote>
  <w:endnote w:type="continuationSeparator" w:id="0">
    <w:p w14:paraId="15C21159" w14:textId="77777777" w:rsidR="008F3595" w:rsidRDefault="008F3595" w:rsidP="009625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9EBF7EA1-BCDF-422D-896B-563974F9787A}"/>
    <w:embedBold r:id="rId2" w:fontKey="{BDFF782A-353B-46E8-B2E9-ADDEB92D77C1}"/>
    <w:embedItalic r:id="rId3" w:fontKey="{9B2C46AE-58ED-4D97-B00F-26F640C50E58}"/>
  </w:font>
  <w:font w:name="Exo">
    <w:altName w:val="Times New Roman"/>
    <w:charset w:val="00"/>
    <w:family w:val="auto"/>
    <w:pitch w:val="variable"/>
    <w:sig w:usb0="00000001" w:usb1="4000204B" w:usb2="00000000" w:usb3="00000000" w:csb0="00000193" w:csb1="00000000"/>
    <w:embedRegular r:id="rId4" w:fontKey="{1C4E7AB6-A666-4E43-A24C-F28BDA1A1E05}"/>
    <w:embedBold r:id="rId5" w:fontKey="{F9ADEB39-FEC9-4042-BFCD-1DA947B7E50D}"/>
    <w:embedItalic r:id="rId6" w:fontKey="{C35A6EB5-2724-4158-BAAF-20513EE5D173}"/>
  </w:font>
  <w:font w:name="Aptos Display">
    <w:charset w:val="00"/>
    <w:family w:val="swiss"/>
    <w:pitch w:val="variable"/>
    <w:sig w:usb0="20000287" w:usb1="00000003" w:usb2="00000000" w:usb3="00000000" w:csb0="0000019F" w:csb1="00000000"/>
    <w:embedRegular r:id="rId7" w:fontKey="{8D19984E-A3F3-4A8E-B9B1-5AFAEBC069A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4667166"/>
      <w:docPartObj>
        <w:docPartGallery w:val="Page Numbers (Top of Page)"/>
        <w:docPartUnique/>
      </w:docPartObj>
    </w:sdtPr>
    <w:sdtEndPr/>
    <w:sdtContent>
      <w:p w14:paraId="5C90E9F1" w14:textId="11C8A87E" w:rsidR="009625BC" w:rsidRPr="002F2B24" w:rsidRDefault="009625BC" w:rsidP="009625BC">
        <w:pPr>
          <w:pStyle w:val="Piedepgina"/>
          <w:jc w:val="right"/>
          <w:rPr>
            <w:rFonts w:ascii="Arial" w:hAnsi="Arial" w:cs="Arial"/>
            <w:color w:val="993366"/>
            <w:sz w:val="20"/>
            <w:szCs w:val="20"/>
          </w:rPr>
        </w:pPr>
        <w:r w:rsidRPr="002F2B24">
          <w:rPr>
            <w:rFonts w:ascii="Arial" w:hAnsi="Arial" w:cs="Arial"/>
            <w:b/>
            <w:bCs/>
            <w:color w:val="993366"/>
          </w:rPr>
          <w:t xml:space="preserve">Página </w:t>
        </w:r>
        <w:r w:rsidRPr="002F2B24">
          <w:rPr>
            <w:rFonts w:ascii="Arial" w:hAnsi="Arial" w:cs="Arial"/>
            <w:b/>
            <w:bCs/>
            <w:color w:val="993366"/>
          </w:rPr>
          <w:fldChar w:fldCharType="begin"/>
        </w:r>
        <w:r w:rsidRPr="002F2B24">
          <w:rPr>
            <w:rFonts w:ascii="Arial" w:hAnsi="Arial" w:cs="Arial"/>
            <w:b/>
            <w:bCs/>
            <w:color w:val="993366"/>
          </w:rPr>
          <w:instrText>PAGE</w:instrText>
        </w:r>
        <w:r w:rsidRPr="002F2B24">
          <w:rPr>
            <w:rFonts w:ascii="Arial" w:hAnsi="Arial" w:cs="Arial"/>
            <w:b/>
            <w:bCs/>
            <w:color w:val="993366"/>
          </w:rPr>
          <w:fldChar w:fldCharType="separate"/>
        </w:r>
        <w:r w:rsidR="0030693E">
          <w:rPr>
            <w:rFonts w:ascii="Arial" w:hAnsi="Arial" w:cs="Arial"/>
            <w:b/>
            <w:bCs/>
            <w:noProof/>
            <w:color w:val="993366"/>
          </w:rPr>
          <w:t>12</w:t>
        </w:r>
        <w:r w:rsidRPr="002F2B24">
          <w:rPr>
            <w:rFonts w:ascii="Arial" w:hAnsi="Arial" w:cs="Arial"/>
            <w:b/>
            <w:bCs/>
            <w:color w:val="993366"/>
          </w:rPr>
          <w:fldChar w:fldCharType="end"/>
        </w:r>
        <w:r w:rsidRPr="002F2B24">
          <w:rPr>
            <w:rFonts w:ascii="Arial" w:hAnsi="Arial" w:cs="Arial"/>
            <w:b/>
            <w:bCs/>
            <w:color w:val="993366"/>
          </w:rPr>
          <w:t xml:space="preserve"> | </w:t>
        </w:r>
        <w:r w:rsidRPr="002F2B24">
          <w:rPr>
            <w:rFonts w:ascii="Arial" w:hAnsi="Arial" w:cs="Arial"/>
            <w:b/>
            <w:bCs/>
            <w:color w:val="993366"/>
          </w:rPr>
          <w:fldChar w:fldCharType="begin"/>
        </w:r>
        <w:r w:rsidRPr="002F2B24">
          <w:rPr>
            <w:rFonts w:ascii="Arial" w:hAnsi="Arial" w:cs="Arial"/>
            <w:b/>
            <w:bCs/>
            <w:color w:val="993366"/>
          </w:rPr>
          <w:instrText>NUMPAGES</w:instrText>
        </w:r>
        <w:r w:rsidRPr="002F2B24">
          <w:rPr>
            <w:rFonts w:ascii="Arial" w:hAnsi="Arial" w:cs="Arial"/>
            <w:b/>
            <w:bCs/>
            <w:color w:val="993366"/>
          </w:rPr>
          <w:fldChar w:fldCharType="separate"/>
        </w:r>
        <w:r w:rsidR="0030693E">
          <w:rPr>
            <w:rFonts w:ascii="Arial" w:hAnsi="Arial" w:cs="Arial"/>
            <w:b/>
            <w:bCs/>
            <w:noProof/>
            <w:color w:val="993366"/>
          </w:rPr>
          <w:t>12</w:t>
        </w:r>
        <w:r w:rsidRPr="002F2B2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B7C4" w14:textId="77777777" w:rsidR="008F3595" w:rsidRDefault="008F3595" w:rsidP="009625BC">
      <w:pPr>
        <w:spacing w:before="0" w:after="0" w:line="240" w:lineRule="auto"/>
      </w:pPr>
      <w:r>
        <w:separator/>
      </w:r>
    </w:p>
  </w:footnote>
  <w:footnote w:type="continuationSeparator" w:id="0">
    <w:p w14:paraId="3E86BA81" w14:textId="77777777" w:rsidR="008F3595" w:rsidRDefault="008F3595" w:rsidP="009625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9625BC" w:rsidRPr="002F2B24" w14:paraId="60322458" w14:textId="77777777" w:rsidTr="00F36E2B">
      <w:tc>
        <w:tcPr>
          <w:tcW w:w="1813" w:type="dxa"/>
        </w:tcPr>
        <w:p w14:paraId="1CA18DFD" w14:textId="77777777" w:rsidR="009625BC" w:rsidRPr="002F2B24" w:rsidRDefault="009625BC" w:rsidP="009625BC">
          <w:pPr>
            <w:pStyle w:val="Encabezado"/>
            <w:rPr>
              <w:rFonts w:ascii="Arial" w:hAnsi="Arial" w:cs="Arial"/>
            </w:rPr>
          </w:pPr>
          <w:r w:rsidRPr="002F2B24">
            <w:rPr>
              <w:rFonts w:ascii="Arial" w:hAnsi="Arial" w:cs="Arial"/>
              <w:b/>
              <w:noProof/>
              <w:sz w:val="32"/>
              <w:lang w:eastAsia="es-MX"/>
            </w:rPr>
            <w:drawing>
              <wp:inline distT="0" distB="0" distL="0" distR="0" wp14:anchorId="7EA93435" wp14:editId="3C44D934">
                <wp:extent cx="1014331" cy="1199403"/>
                <wp:effectExtent l="0" t="0" r="0" b="1270"/>
                <wp:docPr id="749382424" name="Imagen 74938242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7CD0E871" w14:textId="77777777" w:rsidR="009625BC" w:rsidRPr="002F2B24" w:rsidRDefault="009625BC" w:rsidP="009625BC">
          <w:pPr>
            <w:pStyle w:val="Encabezado"/>
            <w:spacing w:before="720"/>
            <w:jc w:val="center"/>
            <w:rPr>
              <w:rFonts w:ascii="Arial" w:hAnsi="Arial" w:cs="Arial"/>
              <w:b/>
              <w:bCs/>
              <w:spacing w:val="-10"/>
              <w:sz w:val="26"/>
              <w:szCs w:val="26"/>
            </w:rPr>
          </w:pPr>
          <w:r w:rsidRPr="002F2B24">
            <w:rPr>
              <w:rFonts w:ascii="Arial" w:hAnsi="Arial" w:cs="Arial"/>
              <w:b/>
              <w:bCs/>
              <w:spacing w:val="-10"/>
              <w:sz w:val="26"/>
              <w:szCs w:val="26"/>
            </w:rPr>
            <w:t>INSTITUTO ELECTORAL Y DE PARTICIPACIÓN CIUDADANA DE TABASCO</w:t>
          </w:r>
        </w:p>
        <w:p w14:paraId="75722677" w14:textId="77777777" w:rsidR="009625BC" w:rsidRPr="002F2B24" w:rsidRDefault="009625BC" w:rsidP="009625BC">
          <w:pPr>
            <w:pStyle w:val="Encabezado"/>
            <w:spacing w:before="60"/>
            <w:jc w:val="center"/>
            <w:rPr>
              <w:rFonts w:ascii="Arial" w:hAnsi="Arial" w:cs="Arial"/>
            </w:rPr>
          </w:pPr>
          <w:r w:rsidRPr="002F2B24">
            <w:rPr>
              <w:rFonts w:ascii="Arial" w:hAnsi="Arial" w:cs="Arial"/>
              <w:b/>
              <w:bCs/>
              <w:sz w:val="28"/>
              <w:szCs w:val="28"/>
            </w:rPr>
            <w:t>CONSEJO ESTATAL</w:t>
          </w:r>
        </w:p>
      </w:tc>
      <w:tc>
        <w:tcPr>
          <w:tcW w:w="1560" w:type="dxa"/>
        </w:tcPr>
        <w:p w14:paraId="373AA754" w14:textId="77777777" w:rsidR="009625BC" w:rsidRPr="002F2B24" w:rsidRDefault="009625BC" w:rsidP="009625BC">
          <w:pPr>
            <w:pStyle w:val="Encabezado"/>
            <w:spacing w:before="480"/>
            <w:jc w:val="right"/>
            <w:rPr>
              <w:rFonts w:ascii="Arial" w:hAnsi="Arial" w:cs="Arial"/>
            </w:rPr>
          </w:pPr>
          <w:r w:rsidRPr="002F2B24">
            <w:rPr>
              <w:rFonts w:ascii="Arial" w:hAnsi="Arial" w:cs="Arial"/>
              <w:noProof/>
              <w:lang w:eastAsia="es-MX"/>
            </w:rPr>
            <w:drawing>
              <wp:inline distT="0" distB="0" distL="0" distR="0" wp14:anchorId="384D74C9" wp14:editId="0E861525">
                <wp:extent cx="921600" cy="756000"/>
                <wp:effectExtent l="0" t="0" r="0" b="6350"/>
                <wp:docPr id="104460840"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B66BB4B" w14:textId="343234E2" w:rsidR="009625BC" w:rsidRPr="002F2B24" w:rsidRDefault="002F2B24" w:rsidP="002F2B24">
    <w:pPr>
      <w:pStyle w:val="Encabezado"/>
      <w:jc w:val="right"/>
      <w:rPr>
        <w:rFonts w:ascii="Arial" w:hAnsi="Arial" w:cs="Arial"/>
        <w:b/>
      </w:rPr>
    </w:pPr>
    <w:r w:rsidRPr="002F2B24">
      <w:rPr>
        <w:rFonts w:ascii="Arial" w:hAnsi="Arial" w:cs="Arial"/>
        <w:b/>
      </w:rPr>
      <w:t>CE/2025/060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77B"/>
    <w:multiLevelType w:val="hybridMultilevel"/>
    <w:tmpl w:val="3CAC0852"/>
    <w:lvl w:ilvl="0" w:tplc="62CC899C">
      <w:start w:val="1"/>
      <w:numFmt w:val="lowerLetter"/>
      <w:lvlText w:val="%1)"/>
      <w:lvlJc w:val="left"/>
      <w:pPr>
        <w:ind w:left="1065" w:hanging="705"/>
      </w:pPr>
      <w:rPr>
        <w:rFonts w:hint="default"/>
      </w:rPr>
    </w:lvl>
    <w:lvl w:ilvl="1" w:tplc="A8C89EF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937B4E"/>
    <w:multiLevelType w:val="hybridMultilevel"/>
    <w:tmpl w:val="606436CE"/>
    <w:lvl w:ilvl="0" w:tplc="62CC899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C41692"/>
    <w:multiLevelType w:val="hybridMultilevel"/>
    <w:tmpl w:val="BF70C266"/>
    <w:lvl w:ilvl="0" w:tplc="53D6B57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D33D6A"/>
    <w:multiLevelType w:val="hybridMultilevel"/>
    <w:tmpl w:val="94782E46"/>
    <w:lvl w:ilvl="0" w:tplc="E146E4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C29EE"/>
    <w:multiLevelType w:val="hybridMultilevel"/>
    <w:tmpl w:val="9422744E"/>
    <w:lvl w:ilvl="0" w:tplc="62CC899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CD2C82"/>
    <w:multiLevelType w:val="hybridMultilevel"/>
    <w:tmpl w:val="593A7B0C"/>
    <w:lvl w:ilvl="0" w:tplc="62CC899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24FF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5743C4E"/>
    <w:multiLevelType w:val="hybridMultilevel"/>
    <w:tmpl w:val="923EC0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D13C40"/>
    <w:multiLevelType w:val="hybridMultilevel"/>
    <w:tmpl w:val="70329FF2"/>
    <w:lvl w:ilvl="0" w:tplc="E146E4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44673D"/>
    <w:multiLevelType w:val="hybridMultilevel"/>
    <w:tmpl w:val="C77687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4"/>
  </w:num>
  <w:num w:numId="5">
    <w:abstractNumId w:val="5"/>
  </w:num>
  <w:num w:numId="6">
    <w:abstractNumId w:val="0"/>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3F"/>
    <w:rsid w:val="000C113F"/>
    <w:rsid w:val="000D4116"/>
    <w:rsid w:val="00162035"/>
    <w:rsid w:val="001B7B3C"/>
    <w:rsid w:val="00200EE9"/>
    <w:rsid w:val="00231E32"/>
    <w:rsid w:val="00232C32"/>
    <w:rsid w:val="0024316C"/>
    <w:rsid w:val="002A5485"/>
    <w:rsid w:val="002B0A37"/>
    <w:rsid w:val="002B4624"/>
    <w:rsid w:val="002D1657"/>
    <w:rsid w:val="002D16F1"/>
    <w:rsid w:val="002F2B24"/>
    <w:rsid w:val="0030693E"/>
    <w:rsid w:val="00335A6B"/>
    <w:rsid w:val="00400ECC"/>
    <w:rsid w:val="00437AE0"/>
    <w:rsid w:val="0047384F"/>
    <w:rsid w:val="00476B30"/>
    <w:rsid w:val="00484C4B"/>
    <w:rsid w:val="00500371"/>
    <w:rsid w:val="00674BEC"/>
    <w:rsid w:val="006F5D05"/>
    <w:rsid w:val="00710A6E"/>
    <w:rsid w:val="00715D35"/>
    <w:rsid w:val="0076649B"/>
    <w:rsid w:val="007A1544"/>
    <w:rsid w:val="007A6487"/>
    <w:rsid w:val="007B31FB"/>
    <w:rsid w:val="007C6BB8"/>
    <w:rsid w:val="0082710C"/>
    <w:rsid w:val="00866EE1"/>
    <w:rsid w:val="008A4EBF"/>
    <w:rsid w:val="008B180F"/>
    <w:rsid w:val="008F16B2"/>
    <w:rsid w:val="008F3595"/>
    <w:rsid w:val="0091432D"/>
    <w:rsid w:val="00937525"/>
    <w:rsid w:val="009625BC"/>
    <w:rsid w:val="00A144F4"/>
    <w:rsid w:val="00A6033C"/>
    <w:rsid w:val="00A6513A"/>
    <w:rsid w:val="00A75EC3"/>
    <w:rsid w:val="00B76858"/>
    <w:rsid w:val="00BA1F72"/>
    <w:rsid w:val="00C46583"/>
    <w:rsid w:val="00CA1303"/>
    <w:rsid w:val="00D23E83"/>
    <w:rsid w:val="00D448D3"/>
    <w:rsid w:val="00D536BE"/>
    <w:rsid w:val="00D8697B"/>
    <w:rsid w:val="00D97577"/>
    <w:rsid w:val="00DA0540"/>
    <w:rsid w:val="00E51AFF"/>
    <w:rsid w:val="00E66FDE"/>
    <w:rsid w:val="00E76372"/>
    <w:rsid w:val="00E919C7"/>
    <w:rsid w:val="00E94D5B"/>
    <w:rsid w:val="00EA4E5D"/>
    <w:rsid w:val="00EA6943"/>
    <w:rsid w:val="00F00A94"/>
    <w:rsid w:val="00FB3B92"/>
    <w:rsid w:val="00FF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D641"/>
  <w15:chartTrackingRefBased/>
  <w15:docId w15:val="{9EA9BD75-6645-420D-B66E-485223B8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3F"/>
    <w:pPr>
      <w:spacing w:before="240" w:after="240" w:line="276" w:lineRule="auto"/>
      <w:jc w:val="both"/>
    </w:pPr>
    <w:rPr>
      <w:rFonts w:ascii="Exo" w:hAnsi="Exo"/>
    </w:rPr>
  </w:style>
  <w:style w:type="paragraph" w:styleId="Ttulo1">
    <w:name w:val="heading 1"/>
    <w:basedOn w:val="Normal"/>
    <w:next w:val="Normal"/>
    <w:link w:val="Ttulo1Car"/>
    <w:uiPriority w:val="9"/>
    <w:qFormat/>
    <w:rsid w:val="000C113F"/>
    <w:pPr>
      <w:numPr>
        <w:numId w:val="9"/>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0C113F"/>
    <w:pPr>
      <w:numPr>
        <w:ilvl w:val="1"/>
        <w:numId w:val="9"/>
      </w:numPr>
      <w:spacing w:before="480"/>
      <w:outlineLvl w:val="1"/>
    </w:pPr>
    <w:rPr>
      <w:b/>
      <w:bCs/>
    </w:rPr>
  </w:style>
  <w:style w:type="paragraph" w:styleId="Ttulo3">
    <w:name w:val="heading 3"/>
    <w:basedOn w:val="Normal"/>
    <w:next w:val="Normal"/>
    <w:link w:val="Ttulo3Car"/>
    <w:uiPriority w:val="9"/>
    <w:semiHidden/>
    <w:unhideWhenUsed/>
    <w:qFormat/>
    <w:rsid w:val="000C113F"/>
    <w:pPr>
      <w:keepNext/>
      <w:keepLines/>
      <w:numPr>
        <w:ilvl w:val="2"/>
        <w:numId w:val="9"/>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113F"/>
    <w:pPr>
      <w:keepNext/>
      <w:keepLines/>
      <w:numPr>
        <w:ilvl w:val="3"/>
        <w:numId w:val="9"/>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113F"/>
    <w:pPr>
      <w:keepNext/>
      <w:keepLines/>
      <w:numPr>
        <w:ilvl w:val="4"/>
        <w:numId w:val="9"/>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113F"/>
    <w:pPr>
      <w:keepNext/>
      <w:keepLines/>
      <w:numPr>
        <w:ilvl w:val="5"/>
        <w:numId w:val="9"/>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113F"/>
    <w:pPr>
      <w:keepNext/>
      <w:keepLines/>
      <w:numPr>
        <w:ilvl w:val="6"/>
        <w:numId w:val="9"/>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113F"/>
    <w:pPr>
      <w:keepNext/>
      <w:keepLines/>
      <w:numPr>
        <w:ilvl w:val="7"/>
        <w:numId w:val="9"/>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113F"/>
    <w:pPr>
      <w:keepNext/>
      <w:keepLines/>
      <w:numPr>
        <w:ilvl w:val="8"/>
        <w:numId w:val="9"/>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13F"/>
    <w:rPr>
      <w:rFonts w:ascii="Exo" w:hAnsi="Exo"/>
      <w:b/>
      <w:bCs/>
      <w:sz w:val="28"/>
      <w:szCs w:val="28"/>
    </w:rPr>
  </w:style>
  <w:style w:type="character" w:customStyle="1" w:styleId="Ttulo2Car">
    <w:name w:val="Título 2 Car"/>
    <w:basedOn w:val="Fuentedeprrafopredeter"/>
    <w:link w:val="Ttulo2"/>
    <w:uiPriority w:val="9"/>
    <w:rsid w:val="000C113F"/>
    <w:rPr>
      <w:rFonts w:ascii="Exo" w:hAnsi="Exo"/>
      <w:b/>
      <w:bCs/>
    </w:rPr>
  </w:style>
  <w:style w:type="character" w:customStyle="1" w:styleId="Ttulo3Car">
    <w:name w:val="Título 3 Car"/>
    <w:basedOn w:val="Fuentedeprrafopredeter"/>
    <w:link w:val="Ttulo3"/>
    <w:uiPriority w:val="9"/>
    <w:semiHidden/>
    <w:rsid w:val="000C11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11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11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11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11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11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113F"/>
    <w:rPr>
      <w:rFonts w:eastAsiaTheme="majorEastAsia" w:cstheme="majorBidi"/>
      <w:color w:val="272727" w:themeColor="text1" w:themeTint="D8"/>
    </w:rPr>
  </w:style>
  <w:style w:type="paragraph" w:styleId="Ttulo">
    <w:name w:val="Title"/>
    <w:basedOn w:val="Normal"/>
    <w:next w:val="Normal"/>
    <w:link w:val="TtuloCar"/>
    <w:uiPriority w:val="10"/>
    <w:qFormat/>
    <w:rsid w:val="000C1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11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11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11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113F"/>
    <w:pPr>
      <w:spacing w:before="160"/>
      <w:jc w:val="center"/>
    </w:pPr>
    <w:rPr>
      <w:i/>
      <w:iCs/>
      <w:color w:val="404040" w:themeColor="text1" w:themeTint="BF"/>
    </w:rPr>
  </w:style>
  <w:style w:type="character" w:customStyle="1" w:styleId="CitaCar">
    <w:name w:val="Cita Car"/>
    <w:basedOn w:val="Fuentedeprrafopredeter"/>
    <w:link w:val="Cita"/>
    <w:uiPriority w:val="29"/>
    <w:rsid w:val="000C113F"/>
    <w:rPr>
      <w:i/>
      <w:iCs/>
      <w:color w:val="404040" w:themeColor="text1" w:themeTint="BF"/>
    </w:rPr>
  </w:style>
  <w:style w:type="paragraph" w:styleId="Prrafodelista">
    <w:name w:val="List Paragraph"/>
    <w:basedOn w:val="Normal"/>
    <w:uiPriority w:val="34"/>
    <w:qFormat/>
    <w:rsid w:val="000C113F"/>
    <w:pPr>
      <w:ind w:left="720"/>
      <w:contextualSpacing/>
    </w:pPr>
  </w:style>
  <w:style w:type="character" w:styleId="nfasisintenso">
    <w:name w:val="Intense Emphasis"/>
    <w:basedOn w:val="Fuentedeprrafopredeter"/>
    <w:uiPriority w:val="21"/>
    <w:qFormat/>
    <w:rsid w:val="000C113F"/>
    <w:rPr>
      <w:i/>
      <w:iCs/>
      <w:color w:val="0F4761" w:themeColor="accent1" w:themeShade="BF"/>
    </w:rPr>
  </w:style>
  <w:style w:type="paragraph" w:styleId="Citadestacada">
    <w:name w:val="Intense Quote"/>
    <w:basedOn w:val="Normal"/>
    <w:next w:val="Normal"/>
    <w:link w:val="CitadestacadaCar"/>
    <w:uiPriority w:val="30"/>
    <w:qFormat/>
    <w:rsid w:val="000C1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113F"/>
    <w:rPr>
      <w:i/>
      <w:iCs/>
      <w:color w:val="0F4761" w:themeColor="accent1" w:themeShade="BF"/>
    </w:rPr>
  </w:style>
  <w:style w:type="character" w:styleId="Referenciaintensa">
    <w:name w:val="Intense Reference"/>
    <w:basedOn w:val="Fuentedeprrafopredeter"/>
    <w:uiPriority w:val="32"/>
    <w:qFormat/>
    <w:rsid w:val="000C113F"/>
    <w:rPr>
      <w:b/>
      <w:bCs/>
      <w:smallCaps/>
      <w:color w:val="0F4761" w:themeColor="accent1" w:themeShade="BF"/>
      <w:spacing w:val="5"/>
    </w:rPr>
  </w:style>
  <w:style w:type="table" w:styleId="Tablaconcuadrcula">
    <w:name w:val="Table Grid"/>
    <w:basedOn w:val="Tablanormal"/>
    <w:uiPriority w:val="39"/>
    <w:rsid w:val="0048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25B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625BC"/>
    <w:rPr>
      <w:rFonts w:ascii="Exo" w:hAnsi="Exo"/>
    </w:rPr>
  </w:style>
  <w:style w:type="paragraph" w:styleId="Piedepgina">
    <w:name w:val="footer"/>
    <w:basedOn w:val="Normal"/>
    <w:link w:val="PiedepginaCar"/>
    <w:uiPriority w:val="99"/>
    <w:unhideWhenUsed/>
    <w:rsid w:val="009625B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625BC"/>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8404-1972-44F9-857F-AF22DFE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4099</Words>
  <Characters>22549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Coordinacion Tecnica</cp:lastModifiedBy>
  <cp:revision>13</cp:revision>
  <dcterms:created xsi:type="dcterms:W3CDTF">2025-05-12T17:21:00Z</dcterms:created>
  <dcterms:modified xsi:type="dcterms:W3CDTF">2025-05-13T21:31:00Z</dcterms:modified>
</cp:coreProperties>
</file>