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6667A" w14:textId="3F0C919C" w:rsidR="00790DDB" w:rsidRPr="00265D45" w:rsidRDefault="00391E45" w:rsidP="00790DDB">
      <w:pPr>
        <w:rPr>
          <w:rFonts w:ascii="Arial" w:hAnsi="Arial" w:cs="Arial"/>
          <w:b/>
          <w:sz w:val="24"/>
          <w:szCs w:val="24"/>
        </w:rPr>
      </w:pPr>
      <w:r w:rsidRPr="00265D45">
        <w:rPr>
          <w:rFonts w:ascii="Arial" w:hAnsi="Arial" w:cs="Arial"/>
          <w:b/>
          <w:sz w:val="24"/>
          <w:szCs w:val="24"/>
        </w:rPr>
        <w:t xml:space="preserve">ACUERDO QUE EMITE EL CONSEJO ESTATAL DEL INSTITUTO ELECTORAL Y DE PARTICIPACIÓN CIUDADANA DE TABASCO, MEDIANTE EL CUAL APRUEBA EL ANTEPROYECTO DE EGRESOS DEL INSTITUTO PARA EL EJERCICIO 2026 </w:t>
      </w:r>
    </w:p>
    <w:p w14:paraId="77B646DC" w14:textId="77777777" w:rsidR="00790DDB" w:rsidRPr="00534D25" w:rsidRDefault="00790DDB" w:rsidP="00790DDB">
      <w:pPr>
        <w:rPr>
          <w:rFonts w:ascii="Arial" w:hAnsi="Arial" w:cs="Arial"/>
          <w:sz w:val="22"/>
          <w:szCs w:val="22"/>
        </w:rPr>
      </w:pPr>
      <w:r w:rsidRPr="00534D25">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790DDB" w:rsidRPr="00391E45" w14:paraId="077D01B7" w14:textId="77777777" w:rsidTr="001D3D48">
        <w:trPr>
          <w:trHeight w:val="624"/>
          <w:jc w:val="center"/>
        </w:trPr>
        <w:tc>
          <w:tcPr>
            <w:tcW w:w="2042" w:type="pct"/>
            <w:vAlign w:val="center"/>
          </w:tcPr>
          <w:p w14:paraId="26C95F62"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Consejo Estatal:</w:t>
            </w:r>
          </w:p>
        </w:tc>
        <w:tc>
          <w:tcPr>
            <w:tcW w:w="2958" w:type="pct"/>
            <w:vAlign w:val="center"/>
          </w:tcPr>
          <w:p w14:paraId="165CF704"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Consejo Estatal del Instituto Electoral y de Participación Ciudadana de Tabasco.</w:t>
            </w:r>
          </w:p>
        </w:tc>
      </w:tr>
      <w:tr w:rsidR="00790DDB" w:rsidRPr="00391E45" w14:paraId="493C526B" w14:textId="77777777" w:rsidTr="001D3D48">
        <w:trPr>
          <w:trHeight w:val="624"/>
          <w:jc w:val="center"/>
        </w:trPr>
        <w:tc>
          <w:tcPr>
            <w:tcW w:w="2042" w:type="pct"/>
            <w:vAlign w:val="center"/>
          </w:tcPr>
          <w:p w14:paraId="61B771DD"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Constitución Federal:</w:t>
            </w:r>
          </w:p>
        </w:tc>
        <w:tc>
          <w:tcPr>
            <w:tcW w:w="2958" w:type="pct"/>
            <w:vAlign w:val="center"/>
          </w:tcPr>
          <w:p w14:paraId="559827D1"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Constitución Política de los Estados Unidos Mexicanos.</w:t>
            </w:r>
          </w:p>
        </w:tc>
      </w:tr>
      <w:tr w:rsidR="00790DDB" w:rsidRPr="00391E45" w14:paraId="5C65E1AB" w14:textId="77777777" w:rsidTr="001D3D48">
        <w:trPr>
          <w:trHeight w:val="624"/>
          <w:jc w:val="center"/>
        </w:trPr>
        <w:tc>
          <w:tcPr>
            <w:tcW w:w="2042" w:type="pct"/>
            <w:vAlign w:val="center"/>
          </w:tcPr>
          <w:p w14:paraId="2A32B661"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Constitución Local:</w:t>
            </w:r>
          </w:p>
        </w:tc>
        <w:tc>
          <w:tcPr>
            <w:tcW w:w="2958" w:type="pct"/>
            <w:vAlign w:val="center"/>
          </w:tcPr>
          <w:p w14:paraId="768B631A"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Constitución Política del Estado Libre y Soberano de Tabasco.</w:t>
            </w:r>
          </w:p>
        </w:tc>
      </w:tr>
      <w:tr w:rsidR="00790DDB" w:rsidRPr="00391E45" w14:paraId="16E40C36" w14:textId="77777777" w:rsidTr="001D3D48">
        <w:trPr>
          <w:trHeight w:val="624"/>
          <w:jc w:val="center"/>
        </w:trPr>
        <w:tc>
          <w:tcPr>
            <w:tcW w:w="2042" w:type="pct"/>
            <w:vAlign w:val="center"/>
          </w:tcPr>
          <w:p w14:paraId="4B8F3576"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INE:</w:t>
            </w:r>
          </w:p>
        </w:tc>
        <w:tc>
          <w:tcPr>
            <w:tcW w:w="2958" w:type="pct"/>
            <w:vAlign w:val="center"/>
          </w:tcPr>
          <w:p w14:paraId="5002CFA0"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Instituto Nacional Electoral.</w:t>
            </w:r>
          </w:p>
        </w:tc>
      </w:tr>
      <w:tr w:rsidR="00790DDB" w:rsidRPr="00391E45" w14:paraId="2685449F" w14:textId="77777777" w:rsidTr="001D3D48">
        <w:trPr>
          <w:trHeight w:val="624"/>
          <w:jc w:val="center"/>
        </w:trPr>
        <w:tc>
          <w:tcPr>
            <w:tcW w:w="2042" w:type="pct"/>
            <w:vAlign w:val="center"/>
          </w:tcPr>
          <w:p w14:paraId="45B53A59"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Instituto:</w:t>
            </w:r>
          </w:p>
        </w:tc>
        <w:tc>
          <w:tcPr>
            <w:tcW w:w="2958" w:type="pct"/>
          </w:tcPr>
          <w:p w14:paraId="548C5427"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Instituto Electoral y de Participación Ciudadana de Tabasco.</w:t>
            </w:r>
          </w:p>
        </w:tc>
      </w:tr>
      <w:tr w:rsidR="00790DDB" w:rsidRPr="00391E45" w14:paraId="128F4C90" w14:textId="77777777" w:rsidTr="001D3D48">
        <w:trPr>
          <w:trHeight w:val="624"/>
          <w:jc w:val="center"/>
        </w:trPr>
        <w:tc>
          <w:tcPr>
            <w:tcW w:w="2042" w:type="pct"/>
            <w:vAlign w:val="center"/>
          </w:tcPr>
          <w:p w14:paraId="29944149"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Ley de Presupuesto:</w:t>
            </w:r>
          </w:p>
        </w:tc>
        <w:tc>
          <w:tcPr>
            <w:tcW w:w="2958" w:type="pct"/>
            <w:vAlign w:val="center"/>
          </w:tcPr>
          <w:p w14:paraId="3799639D"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Ley de Presupuesto y Responsabilidad Hacendaria del Estado de Tabasco y sus municipios.</w:t>
            </w:r>
          </w:p>
        </w:tc>
      </w:tr>
      <w:tr w:rsidR="00BA0FD8" w:rsidRPr="00391E45" w14:paraId="78190A27" w14:textId="77777777" w:rsidTr="001D3D48">
        <w:trPr>
          <w:trHeight w:val="624"/>
          <w:jc w:val="center"/>
        </w:trPr>
        <w:tc>
          <w:tcPr>
            <w:tcW w:w="2042" w:type="pct"/>
            <w:vAlign w:val="center"/>
          </w:tcPr>
          <w:p w14:paraId="494A6288" w14:textId="178E4F85" w:rsidR="00BA0FD8" w:rsidRPr="00534D25" w:rsidRDefault="00BA0FD8"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Ley de Remuneraciones:</w:t>
            </w:r>
          </w:p>
        </w:tc>
        <w:tc>
          <w:tcPr>
            <w:tcW w:w="2958" w:type="pct"/>
            <w:vAlign w:val="center"/>
          </w:tcPr>
          <w:p w14:paraId="45B2D16D" w14:textId="504DC6A6" w:rsidR="00BA0FD8" w:rsidRPr="00534D25" w:rsidRDefault="00BA0FD8" w:rsidP="001D3D48">
            <w:pPr>
              <w:spacing w:before="60" w:after="60" w:line="288" w:lineRule="auto"/>
              <w:ind w:left="57"/>
              <w:rPr>
                <w:rFonts w:ascii="Arial" w:hAnsi="Arial" w:cs="Arial"/>
                <w:sz w:val="20"/>
                <w:szCs w:val="20"/>
              </w:rPr>
            </w:pPr>
            <w:r w:rsidRPr="00534D25">
              <w:rPr>
                <w:rFonts w:ascii="Arial" w:hAnsi="Arial" w:cs="Arial"/>
                <w:sz w:val="20"/>
                <w:szCs w:val="20"/>
              </w:rPr>
              <w:t>Ley de Remuneraciones de los Servidores Públicos del Estado y sus Municipios.</w:t>
            </w:r>
          </w:p>
        </w:tc>
      </w:tr>
      <w:tr w:rsidR="00790DDB" w:rsidRPr="00391E45" w14:paraId="2B3DA45C" w14:textId="77777777" w:rsidTr="001D3D48">
        <w:trPr>
          <w:trHeight w:val="624"/>
          <w:jc w:val="center"/>
        </w:trPr>
        <w:tc>
          <w:tcPr>
            <w:tcW w:w="2042" w:type="pct"/>
            <w:vAlign w:val="center"/>
          </w:tcPr>
          <w:p w14:paraId="1E78F194"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Ley Electoral:</w:t>
            </w:r>
          </w:p>
        </w:tc>
        <w:tc>
          <w:tcPr>
            <w:tcW w:w="2958" w:type="pct"/>
            <w:vAlign w:val="center"/>
          </w:tcPr>
          <w:p w14:paraId="20D87643"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Ley Electoral y de Partidos Políticos del Estado de Tabasco.</w:t>
            </w:r>
          </w:p>
        </w:tc>
      </w:tr>
      <w:tr w:rsidR="00790DDB" w:rsidRPr="00391E45" w14:paraId="015B45E0" w14:textId="77777777" w:rsidTr="001D3D48">
        <w:trPr>
          <w:trHeight w:val="624"/>
          <w:jc w:val="center"/>
        </w:trPr>
        <w:tc>
          <w:tcPr>
            <w:tcW w:w="2042" w:type="pct"/>
            <w:vAlign w:val="center"/>
          </w:tcPr>
          <w:p w14:paraId="76D723DA"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Ley General:</w:t>
            </w:r>
          </w:p>
        </w:tc>
        <w:tc>
          <w:tcPr>
            <w:tcW w:w="2958" w:type="pct"/>
            <w:vAlign w:val="center"/>
          </w:tcPr>
          <w:p w14:paraId="36875882"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Ley General de Instituciones y Procedimientos Electorales.</w:t>
            </w:r>
          </w:p>
        </w:tc>
      </w:tr>
      <w:tr w:rsidR="00790DDB" w:rsidRPr="00391E45" w14:paraId="458FFCF8" w14:textId="77777777" w:rsidTr="001D3D48">
        <w:trPr>
          <w:trHeight w:val="624"/>
          <w:jc w:val="center"/>
        </w:trPr>
        <w:tc>
          <w:tcPr>
            <w:tcW w:w="2042" w:type="pct"/>
            <w:vAlign w:val="center"/>
          </w:tcPr>
          <w:p w14:paraId="25946344" w14:textId="77777777" w:rsidR="00790DDB" w:rsidRPr="00534D25" w:rsidRDefault="00790DDB"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Secretaría Ejecutiva:</w:t>
            </w:r>
          </w:p>
        </w:tc>
        <w:tc>
          <w:tcPr>
            <w:tcW w:w="2958" w:type="pct"/>
            <w:vAlign w:val="center"/>
          </w:tcPr>
          <w:p w14:paraId="48B0E6B8" w14:textId="77777777" w:rsidR="00790DDB" w:rsidRPr="00534D25" w:rsidRDefault="00790DDB" w:rsidP="001D3D48">
            <w:pPr>
              <w:spacing w:before="60" w:after="60" w:line="288" w:lineRule="auto"/>
              <w:ind w:left="57"/>
              <w:rPr>
                <w:rFonts w:ascii="Arial" w:hAnsi="Arial" w:cs="Arial"/>
                <w:sz w:val="20"/>
                <w:szCs w:val="20"/>
              </w:rPr>
            </w:pPr>
            <w:r w:rsidRPr="00534D25">
              <w:rPr>
                <w:rFonts w:ascii="Arial" w:hAnsi="Arial" w:cs="Arial"/>
                <w:sz w:val="20"/>
                <w:szCs w:val="20"/>
              </w:rPr>
              <w:t>Secretaría Ejecutiva del Instituto Electoral y de Participación Ciudadana de Tabasco.</w:t>
            </w:r>
          </w:p>
        </w:tc>
      </w:tr>
      <w:tr w:rsidR="00661E0C" w:rsidRPr="00391E45" w14:paraId="6D873241" w14:textId="77777777" w:rsidTr="001D3D48">
        <w:trPr>
          <w:trHeight w:val="624"/>
          <w:jc w:val="center"/>
        </w:trPr>
        <w:tc>
          <w:tcPr>
            <w:tcW w:w="2042" w:type="pct"/>
            <w:vAlign w:val="center"/>
          </w:tcPr>
          <w:p w14:paraId="3FE88944" w14:textId="77777777" w:rsidR="00661E0C" w:rsidRPr="00534D25" w:rsidRDefault="00661E0C" w:rsidP="001D3D48">
            <w:pPr>
              <w:spacing w:before="60" w:after="60" w:line="288" w:lineRule="auto"/>
              <w:ind w:left="57"/>
              <w:jc w:val="right"/>
              <w:rPr>
                <w:rFonts w:ascii="Arial" w:hAnsi="Arial" w:cs="Arial"/>
                <w:b/>
                <w:sz w:val="20"/>
                <w:szCs w:val="20"/>
              </w:rPr>
            </w:pPr>
            <w:r w:rsidRPr="00534D25">
              <w:rPr>
                <w:rFonts w:ascii="Arial" w:hAnsi="Arial" w:cs="Arial"/>
                <w:b/>
                <w:sz w:val="20"/>
                <w:szCs w:val="20"/>
              </w:rPr>
              <w:t>Tabulador de sueldos:</w:t>
            </w:r>
          </w:p>
        </w:tc>
        <w:tc>
          <w:tcPr>
            <w:tcW w:w="2958" w:type="pct"/>
            <w:vAlign w:val="center"/>
          </w:tcPr>
          <w:p w14:paraId="56E6C101" w14:textId="767B571E" w:rsidR="00661E0C" w:rsidRPr="00534D25" w:rsidRDefault="00661E0C" w:rsidP="001D3D48">
            <w:pPr>
              <w:spacing w:before="60" w:after="60" w:line="288" w:lineRule="auto"/>
              <w:ind w:left="57"/>
              <w:rPr>
                <w:rFonts w:ascii="Arial" w:hAnsi="Arial" w:cs="Arial"/>
                <w:sz w:val="20"/>
                <w:szCs w:val="20"/>
              </w:rPr>
            </w:pPr>
            <w:r w:rsidRPr="00534D25">
              <w:rPr>
                <w:rFonts w:ascii="Arial" w:hAnsi="Arial" w:cs="Arial"/>
                <w:sz w:val="20"/>
                <w:szCs w:val="20"/>
              </w:rPr>
              <w:t>Tabulador de Sueldos y Salarios de los Servidores Públicos del Instituto Electoral y de Participación Ciudadana</w:t>
            </w:r>
            <w:r w:rsidR="00265D45" w:rsidRPr="00534D25">
              <w:rPr>
                <w:rFonts w:ascii="Arial" w:hAnsi="Arial" w:cs="Arial"/>
                <w:sz w:val="20"/>
                <w:szCs w:val="20"/>
              </w:rPr>
              <w:t>.</w:t>
            </w:r>
          </w:p>
        </w:tc>
      </w:tr>
    </w:tbl>
    <w:p w14:paraId="21F2017C" w14:textId="77777777" w:rsidR="00534D25" w:rsidRDefault="00534D25" w:rsidP="00391E45">
      <w:pPr>
        <w:pStyle w:val="Ttulo1"/>
        <w:numPr>
          <w:ilvl w:val="0"/>
          <w:numId w:val="0"/>
        </w:numPr>
        <w:ind w:left="432"/>
        <w:rPr>
          <w:rFonts w:ascii="Arial" w:hAnsi="Arial" w:cs="Arial"/>
        </w:rPr>
      </w:pPr>
    </w:p>
    <w:p w14:paraId="769FE138" w14:textId="7456C580" w:rsidR="00790DDB" w:rsidRPr="00534D25" w:rsidRDefault="00790DDB" w:rsidP="00534D25">
      <w:pPr>
        <w:pStyle w:val="Ttulo1"/>
        <w:numPr>
          <w:ilvl w:val="0"/>
          <w:numId w:val="5"/>
        </w:numPr>
        <w:rPr>
          <w:rFonts w:ascii="Arial" w:hAnsi="Arial" w:cs="Arial"/>
          <w:sz w:val="24"/>
          <w:szCs w:val="24"/>
        </w:rPr>
      </w:pPr>
      <w:r w:rsidRPr="00534D25">
        <w:rPr>
          <w:rFonts w:ascii="Arial" w:hAnsi="Arial" w:cs="Arial"/>
          <w:sz w:val="24"/>
          <w:szCs w:val="24"/>
        </w:rPr>
        <w:lastRenderedPageBreak/>
        <w:t>Antecedentes</w:t>
      </w:r>
    </w:p>
    <w:p w14:paraId="6E901A0D" w14:textId="3EF4498C" w:rsidR="00EF622F" w:rsidRPr="00534D25" w:rsidRDefault="00534D25" w:rsidP="00534D25">
      <w:pPr>
        <w:pStyle w:val="Ttulo2"/>
        <w:numPr>
          <w:ilvl w:val="0"/>
          <w:numId w:val="0"/>
        </w:numPr>
        <w:ind w:left="936" w:hanging="936"/>
        <w:rPr>
          <w:rFonts w:ascii="Arial" w:hAnsi="Arial" w:cs="Arial"/>
          <w:sz w:val="22"/>
          <w:szCs w:val="22"/>
        </w:rPr>
      </w:pPr>
      <w:r>
        <w:rPr>
          <w:rFonts w:ascii="Arial" w:hAnsi="Arial" w:cs="Arial"/>
          <w:sz w:val="22"/>
          <w:szCs w:val="22"/>
        </w:rPr>
        <w:t xml:space="preserve">1.1 </w:t>
      </w:r>
      <w:r w:rsidR="00EF622F" w:rsidRPr="00534D25">
        <w:rPr>
          <w:rFonts w:ascii="Arial" w:hAnsi="Arial" w:cs="Arial"/>
          <w:sz w:val="22"/>
          <w:szCs w:val="22"/>
        </w:rPr>
        <w:t xml:space="preserve">Fines del Instituto </w:t>
      </w:r>
    </w:p>
    <w:p w14:paraId="2944568A" w14:textId="77777777" w:rsidR="00EF622F" w:rsidRPr="00534D25" w:rsidRDefault="00EF622F" w:rsidP="00EF622F">
      <w:pPr>
        <w:rPr>
          <w:rFonts w:ascii="Arial" w:hAnsi="Arial" w:cs="Arial"/>
          <w:sz w:val="22"/>
          <w:szCs w:val="22"/>
        </w:rPr>
      </w:pPr>
      <w:bookmarkStart w:id="0" w:name="_Hlk207009561"/>
      <w:r w:rsidRPr="00534D25">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DB8C2AD" w14:textId="77777777" w:rsidR="00EF622F" w:rsidRPr="00534D25" w:rsidRDefault="00EF622F" w:rsidP="00EF622F">
      <w:pPr>
        <w:rPr>
          <w:rFonts w:ascii="Arial" w:hAnsi="Arial" w:cs="Arial"/>
          <w:sz w:val="22"/>
          <w:szCs w:val="22"/>
        </w:rPr>
      </w:pPr>
      <w:r w:rsidRPr="00534D25">
        <w:rPr>
          <w:rFonts w:ascii="Arial" w:hAnsi="Arial" w:cs="Arial"/>
          <w:sz w:val="22"/>
          <w:szCs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741138D1" w14:textId="77777777" w:rsidR="00EF622F" w:rsidRPr="00534D25" w:rsidRDefault="00EF622F" w:rsidP="00EF622F">
      <w:pPr>
        <w:rPr>
          <w:rFonts w:ascii="Arial" w:hAnsi="Arial" w:cs="Arial"/>
          <w:sz w:val="22"/>
          <w:szCs w:val="22"/>
        </w:rPr>
      </w:pPr>
      <w:r w:rsidRPr="00534D25">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bookmarkEnd w:id="0"/>
    </w:p>
    <w:p w14:paraId="53BD9F30" w14:textId="7830D3DC" w:rsidR="00EF622F" w:rsidRPr="00534D25" w:rsidRDefault="00EF622F" w:rsidP="00534D25">
      <w:pPr>
        <w:pStyle w:val="Ttulo2"/>
        <w:numPr>
          <w:ilvl w:val="1"/>
          <w:numId w:val="5"/>
        </w:numPr>
        <w:ind w:left="426" w:hanging="426"/>
        <w:rPr>
          <w:rFonts w:ascii="Arial" w:hAnsi="Arial" w:cs="Arial"/>
          <w:sz w:val="22"/>
          <w:szCs w:val="22"/>
        </w:rPr>
      </w:pPr>
      <w:r w:rsidRPr="00534D25">
        <w:rPr>
          <w:rFonts w:ascii="Arial" w:hAnsi="Arial" w:cs="Arial"/>
          <w:sz w:val="22"/>
          <w:szCs w:val="22"/>
        </w:rPr>
        <w:t>Integración del órgano superior de dirección</w:t>
      </w:r>
    </w:p>
    <w:p w14:paraId="2C90D89E" w14:textId="77777777" w:rsidR="00EF622F" w:rsidRPr="00534D25" w:rsidRDefault="00EF622F" w:rsidP="00EF622F">
      <w:pPr>
        <w:rPr>
          <w:rFonts w:ascii="Arial" w:hAnsi="Arial" w:cs="Arial"/>
          <w:sz w:val="22"/>
          <w:szCs w:val="22"/>
        </w:rPr>
      </w:pPr>
      <w:bookmarkStart w:id="1" w:name="_Hlk207009591"/>
      <w:r w:rsidRPr="00534D25">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BD2F99E" w14:textId="589F39BC" w:rsidR="00EF622F" w:rsidRPr="00534D25" w:rsidRDefault="00E84589" w:rsidP="00EF622F">
      <w:pPr>
        <w:rPr>
          <w:rFonts w:ascii="Arial" w:hAnsi="Arial" w:cs="Arial"/>
          <w:sz w:val="22"/>
          <w:szCs w:val="22"/>
        </w:rPr>
      </w:pPr>
      <w:r w:rsidRPr="00534D25">
        <w:rPr>
          <w:rFonts w:ascii="Arial" w:hAnsi="Arial" w:cs="Arial"/>
          <w:sz w:val="22"/>
          <w:szCs w:val="22"/>
        </w:rPr>
        <w:t>En atención a lo previsto en los</w:t>
      </w:r>
      <w:r w:rsidR="00EF622F" w:rsidRPr="00534D25">
        <w:rPr>
          <w:rFonts w:ascii="Arial" w:hAnsi="Arial" w:cs="Arial"/>
          <w:sz w:val="22"/>
          <w:szCs w:val="22"/>
        </w:rPr>
        <w:t xml:space="preserve"> artículos </w:t>
      </w:r>
      <w:r w:rsidR="00BA0FD8" w:rsidRPr="00534D25">
        <w:rPr>
          <w:rFonts w:ascii="Arial" w:hAnsi="Arial" w:cs="Arial"/>
          <w:sz w:val="22"/>
          <w:szCs w:val="22"/>
        </w:rPr>
        <w:t xml:space="preserve">9, apartado “C”, base I, inciso a) de la Constitución Local, </w:t>
      </w:r>
      <w:r w:rsidR="00EF622F" w:rsidRPr="00534D25">
        <w:rPr>
          <w:rFonts w:ascii="Arial" w:hAnsi="Arial" w:cs="Arial"/>
          <w:sz w:val="22"/>
          <w:szCs w:val="22"/>
        </w:rPr>
        <w:t xml:space="preserve">99 </w:t>
      </w:r>
      <w:bookmarkStart w:id="2" w:name="_Hlk208219743"/>
      <w:r w:rsidR="00EF622F" w:rsidRPr="00534D25">
        <w:rPr>
          <w:rFonts w:ascii="Arial" w:hAnsi="Arial" w:cs="Arial"/>
          <w:sz w:val="22"/>
          <w:szCs w:val="22"/>
        </w:rPr>
        <w:t xml:space="preserve">numeral 1 </w:t>
      </w:r>
      <w:bookmarkEnd w:id="2"/>
      <w:r w:rsidR="00EF622F" w:rsidRPr="00534D25">
        <w:rPr>
          <w:rFonts w:ascii="Arial" w:hAnsi="Arial" w:cs="Arial"/>
          <w:sz w:val="22"/>
          <w:szCs w:val="22"/>
        </w:rPr>
        <w:t xml:space="preserve">de la Ley General y 107 numeral 1 de la Ley Electoral, </w:t>
      </w:r>
      <w:r w:rsidRPr="00534D25">
        <w:rPr>
          <w:rFonts w:ascii="Arial" w:hAnsi="Arial" w:cs="Arial"/>
          <w:sz w:val="22"/>
          <w:szCs w:val="22"/>
        </w:rPr>
        <w:t xml:space="preserve">dicho órgano </w:t>
      </w:r>
      <w:r w:rsidRPr="00534D25">
        <w:rPr>
          <w:rFonts w:ascii="Arial" w:hAnsi="Arial" w:cs="Arial"/>
          <w:sz w:val="22"/>
          <w:szCs w:val="22"/>
        </w:rPr>
        <w:lastRenderedPageBreak/>
        <w:t xml:space="preserve">electoral </w:t>
      </w:r>
      <w:r w:rsidR="00EF622F" w:rsidRPr="00534D25">
        <w:rPr>
          <w:rFonts w:ascii="Arial" w:hAnsi="Arial" w:cs="Arial"/>
          <w:sz w:val="22"/>
          <w:szCs w:val="22"/>
        </w:rPr>
        <w:t>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bookmarkEnd w:id="1"/>
    <w:p w14:paraId="77BF0287" w14:textId="7EA5218E" w:rsidR="00E12753" w:rsidRPr="00534D25" w:rsidRDefault="00E12753" w:rsidP="00534D25">
      <w:pPr>
        <w:pStyle w:val="Ttulo2"/>
        <w:numPr>
          <w:ilvl w:val="1"/>
          <w:numId w:val="5"/>
        </w:numPr>
        <w:ind w:left="284"/>
        <w:rPr>
          <w:rFonts w:ascii="Arial" w:hAnsi="Arial" w:cs="Arial"/>
          <w:sz w:val="22"/>
          <w:szCs w:val="22"/>
        </w:rPr>
      </w:pPr>
      <w:r w:rsidRPr="00534D25">
        <w:rPr>
          <w:rFonts w:ascii="Arial" w:hAnsi="Arial" w:cs="Arial"/>
          <w:sz w:val="22"/>
          <w:szCs w:val="22"/>
        </w:rPr>
        <w:t>Presentación de proyectos</w:t>
      </w:r>
    </w:p>
    <w:p w14:paraId="75D0F6F7" w14:textId="2CB41A45" w:rsidR="00E12753" w:rsidRPr="00534D25" w:rsidRDefault="00265D45" w:rsidP="00E12753">
      <w:pPr>
        <w:rPr>
          <w:rFonts w:ascii="Arial" w:hAnsi="Arial" w:cs="Arial"/>
          <w:sz w:val="22"/>
          <w:szCs w:val="22"/>
        </w:rPr>
      </w:pPr>
      <w:r w:rsidRPr="00534D25">
        <w:rPr>
          <w:rFonts w:ascii="Arial" w:hAnsi="Arial" w:cs="Arial"/>
          <w:sz w:val="22"/>
          <w:szCs w:val="22"/>
        </w:rPr>
        <w:t>En el marco del proceso de integración del Anteproyecto del Presupuesto de Egresos del Instituto para el ejercicio fiscal 2026, las distintas áreas y órganos que lo conforman presentaron sus proyectos de necesidades y requerimientos presupuestales, con el propósito de ser considerados en la elaboración del documento correspondiente.</w:t>
      </w:r>
    </w:p>
    <w:p w14:paraId="6C9F60BB" w14:textId="49CC6585" w:rsidR="00E12753" w:rsidRPr="00534D25" w:rsidRDefault="00E12753" w:rsidP="00534D25">
      <w:pPr>
        <w:pStyle w:val="Ttulo2"/>
        <w:numPr>
          <w:ilvl w:val="1"/>
          <w:numId w:val="5"/>
        </w:numPr>
        <w:ind w:left="284"/>
        <w:rPr>
          <w:rFonts w:ascii="Arial" w:hAnsi="Arial" w:cs="Arial"/>
          <w:sz w:val="22"/>
          <w:szCs w:val="22"/>
        </w:rPr>
      </w:pPr>
      <w:r w:rsidRPr="00534D25">
        <w:rPr>
          <w:rFonts w:ascii="Arial" w:hAnsi="Arial" w:cs="Arial"/>
          <w:sz w:val="22"/>
          <w:szCs w:val="22"/>
        </w:rPr>
        <w:t xml:space="preserve">Tabulador de sueldos </w:t>
      </w:r>
    </w:p>
    <w:p w14:paraId="394EE1A4" w14:textId="7915AF39" w:rsidR="00E12753" w:rsidRPr="00534D25" w:rsidRDefault="00E12753" w:rsidP="00E12753">
      <w:pPr>
        <w:rPr>
          <w:rFonts w:ascii="Arial" w:hAnsi="Arial" w:cs="Arial"/>
          <w:sz w:val="22"/>
          <w:szCs w:val="22"/>
        </w:rPr>
      </w:pPr>
      <w:r w:rsidRPr="00534D25">
        <w:rPr>
          <w:rFonts w:ascii="Arial" w:hAnsi="Arial" w:cs="Arial"/>
          <w:sz w:val="22"/>
          <w:szCs w:val="22"/>
        </w:rPr>
        <w:t xml:space="preserve">El </w:t>
      </w:r>
      <w:r w:rsidR="00ED604E" w:rsidRPr="00534D25">
        <w:rPr>
          <w:rFonts w:ascii="Arial" w:hAnsi="Arial" w:cs="Arial"/>
          <w:sz w:val="22"/>
          <w:szCs w:val="22"/>
        </w:rPr>
        <w:t>0</w:t>
      </w:r>
      <w:r w:rsidR="00F80FBA" w:rsidRPr="00534D25">
        <w:rPr>
          <w:rFonts w:ascii="Arial" w:hAnsi="Arial" w:cs="Arial"/>
          <w:sz w:val="22"/>
          <w:szCs w:val="22"/>
        </w:rPr>
        <w:t>3</w:t>
      </w:r>
      <w:r w:rsidRPr="00534D25">
        <w:rPr>
          <w:rFonts w:ascii="Arial" w:hAnsi="Arial" w:cs="Arial"/>
          <w:sz w:val="22"/>
          <w:szCs w:val="22"/>
        </w:rPr>
        <w:t xml:space="preserve"> de octubre de 202</w:t>
      </w:r>
      <w:r w:rsidR="00ED604E" w:rsidRPr="00534D25">
        <w:rPr>
          <w:rFonts w:ascii="Arial" w:hAnsi="Arial" w:cs="Arial"/>
          <w:sz w:val="22"/>
          <w:szCs w:val="22"/>
        </w:rPr>
        <w:t>5</w:t>
      </w:r>
      <w:r w:rsidRPr="00534D25">
        <w:rPr>
          <w:rFonts w:ascii="Arial" w:hAnsi="Arial" w:cs="Arial"/>
          <w:sz w:val="22"/>
          <w:szCs w:val="22"/>
        </w:rPr>
        <w:t>, la Junta Estatal Ejecutiva</w:t>
      </w:r>
      <w:r w:rsidR="00E84589" w:rsidRPr="00534D25">
        <w:rPr>
          <w:rFonts w:ascii="Arial" w:hAnsi="Arial" w:cs="Arial"/>
          <w:sz w:val="22"/>
          <w:szCs w:val="22"/>
        </w:rPr>
        <w:t xml:space="preserve"> aprobó el Tabulador de Sueldos de este órgano electoral</w:t>
      </w:r>
      <w:r w:rsidRPr="00534D25">
        <w:rPr>
          <w:rFonts w:ascii="Arial" w:hAnsi="Arial" w:cs="Arial"/>
          <w:sz w:val="22"/>
          <w:szCs w:val="22"/>
        </w:rPr>
        <w:t>, en cumplimiento a lo que establecen los artículos 7 de la Ley de Remuneraciones, 41 fracción XIII y 44 fracción III del Reglamento Interior</w:t>
      </w:r>
      <w:r w:rsidR="00265D45" w:rsidRPr="00534D25">
        <w:rPr>
          <w:rFonts w:ascii="Arial" w:hAnsi="Arial" w:cs="Arial"/>
          <w:sz w:val="22"/>
          <w:szCs w:val="22"/>
        </w:rPr>
        <w:t xml:space="preserve"> del Instituto</w:t>
      </w:r>
      <w:r w:rsidRPr="00534D25">
        <w:rPr>
          <w:rFonts w:ascii="Arial" w:hAnsi="Arial" w:cs="Arial"/>
          <w:sz w:val="22"/>
          <w:szCs w:val="22"/>
        </w:rPr>
        <w:t xml:space="preserve">, 6 y 7 del Manual de </w:t>
      </w:r>
      <w:r w:rsidR="00ED604E" w:rsidRPr="00534D25">
        <w:rPr>
          <w:rFonts w:ascii="Arial" w:hAnsi="Arial" w:cs="Arial"/>
          <w:sz w:val="22"/>
          <w:szCs w:val="22"/>
        </w:rPr>
        <w:t xml:space="preserve">Administración de </w:t>
      </w:r>
      <w:r w:rsidRPr="00534D25">
        <w:rPr>
          <w:rFonts w:ascii="Arial" w:hAnsi="Arial" w:cs="Arial"/>
          <w:sz w:val="22"/>
          <w:szCs w:val="22"/>
        </w:rPr>
        <w:t xml:space="preserve">Remuneraciones </w:t>
      </w:r>
      <w:r w:rsidR="00ED604E" w:rsidRPr="00534D25">
        <w:rPr>
          <w:rFonts w:ascii="Arial" w:hAnsi="Arial" w:cs="Arial"/>
          <w:sz w:val="22"/>
          <w:szCs w:val="22"/>
        </w:rPr>
        <w:t>del Instituto</w:t>
      </w:r>
      <w:r w:rsidRPr="00534D25">
        <w:rPr>
          <w:rFonts w:ascii="Arial" w:hAnsi="Arial" w:cs="Arial"/>
          <w:sz w:val="22"/>
          <w:szCs w:val="22"/>
        </w:rPr>
        <w:t>, numerales 3.1. y 3.2. del Manual de Normas Presupuestarias y Administrativas para el Control del Ejercicio Presupuestal</w:t>
      </w:r>
      <w:r w:rsidR="00E84589" w:rsidRPr="00534D25">
        <w:rPr>
          <w:rFonts w:ascii="Arial" w:hAnsi="Arial" w:cs="Arial"/>
          <w:sz w:val="22"/>
          <w:szCs w:val="22"/>
        </w:rPr>
        <w:t>;</w:t>
      </w:r>
      <w:r w:rsidRPr="00534D25">
        <w:rPr>
          <w:rFonts w:ascii="Arial" w:hAnsi="Arial" w:cs="Arial"/>
          <w:sz w:val="22"/>
          <w:szCs w:val="22"/>
        </w:rPr>
        <w:t xml:space="preserve"> estableciendo las percepciones ordinarias y extraordinarias con sus importes mínimos y máximos, así como las prestaciones en numerario o en especie.</w:t>
      </w:r>
    </w:p>
    <w:p w14:paraId="13BFB003" w14:textId="26A94B99" w:rsidR="00790DDB" w:rsidRPr="00534D25" w:rsidRDefault="00790DDB" w:rsidP="00534D25">
      <w:pPr>
        <w:pStyle w:val="Ttulo1"/>
        <w:numPr>
          <w:ilvl w:val="0"/>
          <w:numId w:val="5"/>
        </w:numPr>
        <w:rPr>
          <w:rFonts w:ascii="Arial" w:hAnsi="Arial" w:cs="Arial"/>
          <w:sz w:val="24"/>
          <w:szCs w:val="24"/>
        </w:rPr>
      </w:pPr>
      <w:r w:rsidRPr="00534D25">
        <w:rPr>
          <w:rFonts w:ascii="Arial" w:hAnsi="Arial" w:cs="Arial"/>
          <w:sz w:val="24"/>
          <w:szCs w:val="24"/>
        </w:rPr>
        <w:t>Considerando</w:t>
      </w:r>
    </w:p>
    <w:p w14:paraId="3BD01C56" w14:textId="12811259" w:rsidR="00790DDB" w:rsidRPr="00534D25" w:rsidRDefault="00534D25" w:rsidP="00534D25">
      <w:pPr>
        <w:pStyle w:val="Ttulo2"/>
        <w:numPr>
          <w:ilvl w:val="0"/>
          <w:numId w:val="0"/>
        </w:numPr>
        <w:rPr>
          <w:rFonts w:ascii="Arial" w:hAnsi="Arial" w:cs="Arial"/>
          <w:sz w:val="22"/>
          <w:szCs w:val="22"/>
        </w:rPr>
      </w:pPr>
      <w:r>
        <w:rPr>
          <w:rFonts w:ascii="Arial" w:hAnsi="Arial" w:cs="Arial"/>
          <w:sz w:val="22"/>
          <w:szCs w:val="22"/>
        </w:rPr>
        <w:t xml:space="preserve">2.1 </w:t>
      </w:r>
      <w:r w:rsidR="00790DDB" w:rsidRPr="00534D25">
        <w:rPr>
          <w:rFonts w:ascii="Arial" w:hAnsi="Arial" w:cs="Arial"/>
          <w:sz w:val="22"/>
          <w:szCs w:val="22"/>
        </w:rPr>
        <w:t>Competencia del Consejo Estatal</w:t>
      </w:r>
    </w:p>
    <w:p w14:paraId="068D2200" w14:textId="61C8BDBE" w:rsidR="005E29F4" w:rsidRPr="00534D25" w:rsidRDefault="005E29F4" w:rsidP="001D3D48">
      <w:pPr>
        <w:rPr>
          <w:rFonts w:ascii="Arial" w:hAnsi="Arial" w:cs="Arial"/>
          <w:sz w:val="22"/>
          <w:szCs w:val="22"/>
        </w:rPr>
      </w:pPr>
      <w:r w:rsidRPr="00534D25">
        <w:rPr>
          <w:rFonts w:ascii="Arial" w:hAnsi="Arial" w:cs="Arial"/>
          <w:sz w:val="22"/>
          <w:szCs w:val="22"/>
        </w:rPr>
        <w:t>En términos de lo previsto en los artículos 41, base V, apartado C, primer párrafo; y 116, fracción IV, inciso c, de la Constitución Federal, en las entidades federativas, las elecciones locales y, en su caso, las consultas populares y los procesos de revocación de mandato, estarán a cargo de los organismos públicos locales electorales; y gozarán de autonomía en su funcionamiento, e independencia en sus decisiones.</w:t>
      </w:r>
    </w:p>
    <w:p w14:paraId="6BA32442" w14:textId="77777777" w:rsidR="005E29F4" w:rsidRPr="00534D25" w:rsidRDefault="005E29F4" w:rsidP="005E29F4">
      <w:pPr>
        <w:rPr>
          <w:rFonts w:ascii="Arial" w:hAnsi="Arial" w:cs="Arial"/>
          <w:sz w:val="22"/>
          <w:szCs w:val="22"/>
        </w:rPr>
      </w:pPr>
      <w:r w:rsidRPr="00534D25">
        <w:rPr>
          <w:rFonts w:ascii="Arial" w:hAnsi="Arial" w:cs="Arial"/>
          <w:sz w:val="22"/>
          <w:szCs w:val="22"/>
        </w:rPr>
        <w:t xml:space="preserve">Ahora bien, el artículo 9, apartado “C”, base I, inciso a) de la Constitución Local reconoce al Instituto como un órgano constitucional autónomo, lo que trae consigo que se le otorgue autonomía presupuestaria que, de acuerdo con el artículo 6, tercer párrafo, inciso a) de la Ley de Presupuesto comprende, entre otras, aprobar sus proyectos de presupuesto y </w:t>
      </w:r>
      <w:r w:rsidRPr="00534D25">
        <w:rPr>
          <w:rFonts w:ascii="Arial" w:hAnsi="Arial" w:cs="Arial"/>
          <w:sz w:val="22"/>
          <w:szCs w:val="22"/>
        </w:rPr>
        <w:lastRenderedPageBreak/>
        <w:t>enviarlos a la Secretaría de Administración y Finanzas para su integración al proyecto de Presupuesto de Egresos, observando los criterios de política económica y demás disposiciones aplicables.</w:t>
      </w:r>
    </w:p>
    <w:p w14:paraId="39DBE064" w14:textId="7522629A" w:rsidR="001D3D48" w:rsidRPr="00534D25" w:rsidRDefault="001D3D48" w:rsidP="001D3D48">
      <w:pPr>
        <w:rPr>
          <w:rFonts w:ascii="Arial" w:hAnsi="Arial" w:cs="Arial"/>
          <w:sz w:val="22"/>
          <w:szCs w:val="22"/>
        </w:rPr>
      </w:pPr>
      <w:r w:rsidRPr="00534D25">
        <w:rPr>
          <w:rFonts w:ascii="Arial" w:hAnsi="Arial" w:cs="Arial"/>
          <w:sz w:val="22"/>
          <w:szCs w:val="22"/>
        </w:rPr>
        <w:t xml:space="preserve">En relación </w:t>
      </w:r>
      <w:r w:rsidR="005E29F4" w:rsidRPr="00534D25">
        <w:rPr>
          <w:rFonts w:ascii="Arial" w:hAnsi="Arial" w:cs="Arial"/>
          <w:sz w:val="22"/>
          <w:szCs w:val="22"/>
        </w:rPr>
        <w:t>a ello</w:t>
      </w:r>
      <w:r w:rsidRPr="00534D25">
        <w:rPr>
          <w:rFonts w:ascii="Arial" w:hAnsi="Arial" w:cs="Arial"/>
          <w:sz w:val="22"/>
          <w:szCs w:val="22"/>
        </w:rPr>
        <w:t xml:space="preserve">, el artículo 126 de la Constitución Federal prevé </w:t>
      </w:r>
      <w:r w:rsidR="00AB74E9" w:rsidRPr="00534D25">
        <w:rPr>
          <w:rFonts w:ascii="Arial" w:hAnsi="Arial" w:cs="Arial"/>
          <w:sz w:val="22"/>
          <w:szCs w:val="22"/>
        </w:rPr>
        <w:t xml:space="preserve">que </w:t>
      </w:r>
      <w:r w:rsidRPr="00534D25">
        <w:rPr>
          <w:rFonts w:ascii="Arial" w:hAnsi="Arial" w:cs="Arial"/>
          <w:sz w:val="22"/>
          <w:szCs w:val="22"/>
        </w:rPr>
        <w:t>no podrá hacerse pago alguno que no esté comprendido en el presupuesto o d</w:t>
      </w:r>
      <w:r w:rsidR="005A4205" w:rsidRPr="00534D25">
        <w:rPr>
          <w:rFonts w:ascii="Arial" w:hAnsi="Arial" w:cs="Arial"/>
          <w:sz w:val="22"/>
          <w:szCs w:val="22"/>
        </w:rPr>
        <w:t xml:space="preserve">eterminado por la ley posterior; </w:t>
      </w:r>
      <w:r w:rsidR="00E84589" w:rsidRPr="00534D25">
        <w:rPr>
          <w:rFonts w:ascii="Arial" w:hAnsi="Arial" w:cs="Arial"/>
          <w:sz w:val="22"/>
          <w:szCs w:val="22"/>
        </w:rPr>
        <w:t>por su parte</w:t>
      </w:r>
      <w:r w:rsidR="00AB74E9" w:rsidRPr="00534D25">
        <w:rPr>
          <w:rFonts w:ascii="Arial" w:hAnsi="Arial" w:cs="Arial"/>
          <w:sz w:val="22"/>
          <w:szCs w:val="22"/>
        </w:rPr>
        <w:t>,</w:t>
      </w:r>
      <w:r w:rsidRPr="00534D25">
        <w:rPr>
          <w:rFonts w:ascii="Arial" w:hAnsi="Arial" w:cs="Arial"/>
          <w:sz w:val="22"/>
          <w:szCs w:val="22"/>
        </w:rPr>
        <w:t xml:space="preserve"> el artículo 1 de la Ley de Presupuesto refiere que, el Estado de Tabasco, sus municipios y los respectivos entes públicos en cada orden de gobierno, cumplirán con la programación, presupuestación, aprobación, ejercicio, control y evaluación de los ingresos y egresos públicos, debiendo observar que la administración de los recursos se realice con base en criterios de legalidad, honestidad, eficiencia, eficacia, economía, racionalidad, austeridad, transparencia, control y rendición de cuentas e igualdad de género.</w:t>
      </w:r>
    </w:p>
    <w:p w14:paraId="7656140B" w14:textId="4E0E638C" w:rsidR="00790DDB" w:rsidRPr="00534D25" w:rsidRDefault="005E29F4" w:rsidP="00790DDB">
      <w:pPr>
        <w:rPr>
          <w:rFonts w:ascii="Arial" w:hAnsi="Arial" w:cs="Arial"/>
          <w:sz w:val="22"/>
          <w:szCs w:val="22"/>
        </w:rPr>
      </w:pPr>
      <w:r w:rsidRPr="00534D25">
        <w:rPr>
          <w:rFonts w:ascii="Arial" w:hAnsi="Arial" w:cs="Arial"/>
          <w:sz w:val="22"/>
          <w:szCs w:val="22"/>
        </w:rPr>
        <w:t>Así pues, el artículo 115 numeral 1, fracción XXXII de la Ley Electoral prevé que</w:t>
      </w:r>
      <w:r w:rsidR="005A4205" w:rsidRPr="00534D25">
        <w:rPr>
          <w:rFonts w:ascii="Arial" w:hAnsi="Arial" w:cs="Arial"/>
          <w:sz w:val="22"/>
          <w:szCs w:val="22"/>
        </w:rPr>
        <w:t xml:space="preserve"> c</w:t>
      </w:r>
      <w:r w:rsidR="00790DDB" w:rsidRPr="00534D25">
        <w:rPr>
          <w:rFonts w:ascii="Arial" w:hAnsi="Arial" w:cs="Arial"/>
          <w:sz w:val="22"/>
          <w:szCs w:val="22"/>
        </w:rPr>
        <w:t>orresponde al Consejo Estatal aprobar anualmente el anteproyecto del presupuesto del Institu</w:t>
      </w:r>
      <w:r w:rsidR="000E7EB2" w:rsidRPr="00534D25">
        <w:rPr>
          <w:rFonts w:ascii="Arial" w:hAnsi="Arial" w:cs="Arial"/>
          <w:sz w:val="22"/>
          <w:szCs w:val="22"/>
        </w:rPr>
        <w:t>to que le proponga la Presidencia</w:t>
      </w:r>
      <w:r w:rsidRPr="00534D25">
        <w:rPr>
          <w:rFonts w:ascii="Arial" w:hAnsi="Arial" w:cs="Arial"/>
          <w:sz w:val="22"/>
          <w:szCs w:val="22"/>
        </w:rPr>
        <w:t xml:space="preserve"> </w:t>
      </w:r>
      <w:r w:rsidR="0078220A" w:rsidRPr="00534D25">
        <w:rPr>
          <w:rFonts w:ascii="Arial" w:hAnsi="Arial" w:cs="Arial"/>
          <w:sz w:val="22"/>
          <w:szCs w:val="22"/>
        </w:rPr>
        <w:t>del propio Consejo y, una vez aprobado, remitirlo</w:t>
      </w:r>
      <w:r w:rsidR="00790DDB" w:rsidRPr="00534D25">
        <w:rPr>
          <w:rFonts w:ascii="Arial" w:hAnsi="Arial" w:cs="Arial"/>
          <w:sz w:val="22"/>
          <w:szCs w:val="22"/>
        </w:rPr>
        <w:t xml:space="preserve"> al Ejecutivo local para su inclusión en el proyecto de Pr</w:t>
      </w:r>
      <w:r w:rsidR="005A4205" w:rsidRPr="00534D25">
        <w:rPr>
          <w:rFonts w:ascii="Arial" w:hAnsi="Arial" w:cs="Arial"/>
          <w:sz w:val="22"/>
          <w:szCs w:val="22"/>
        </w:rPr>
        <w:t>esupuesto de Egresos del Estado.</w:t>
      </w:r>
    </w:p>
    <w:p w14:paraId="5F4BD97D" w14:textId="65DF483C" w:rsidR="00790DDB" w:rsidRPr="00534D25" w:rsidRDefault="00C82096" w:rsidP="00790DDB">
      <w:pPr>
        <w:rPr>
          <w:rFonts w:ascii="Arial" w:hAnsi="Arial" w:cs="Arial"/>
          <w:sz w:val="22"/>
          <w:szCs w:val="22"/>
        </w:rPr>
      </w:pPr>
      <w:r w:rsidRPr="00534D25">
        <w:rPr>
          <w:rFonts w:ascii="Arial" w:hAnsi="Arial" w:cs="Arial"/>
          <w:sz w:val="22"/>
          <w:szCs w:val="22"/>
        </w:rPr>
        <w:t>De todo lo anterior</w:t>
      </w:r>
      <w:r w:rsidR="005E29F4" w:rsidRPr="00534D25">
        <w:rPr>
          <w:rFonts w:ascii="Arial" w:hAnsi="Arial" w:cs="Arial"/>
          <w:sz w:val="22"/>
          <w:szCs w:val="22"/>
        </w:rPr>
        <w:t>,</w:t>
      </w:r>
      <w:r w:rsidRPr="00534D25">
        <w:rPr>
          <w:rFonts w:ascii="Arial" w:hAnsi="Arial" w:cs="Arial"/>
          <w:sz w:val="22"/>
          <w:szCs w:val="22"/>
        </w:rPr>
        <w:t xml:space="preserve"> se advierte que este Consejo Estatal es competente para dictar el presente acuerdo</w:t>
      </w:r>
      <w:r w:rsidR="00602BC2" w:rsidRPr="00534D25">
        <w:rPr>
          <w:rFonts w:ascii="Arial" w:hAnsi="Arial" w:cs="Arial"/>
          <w:sz w:val="22"/>
          <w:szCs w:val="22"/>
        </w:rPr>
        <w:t xml:space="preserve">, lo cual también </w:t>
      </w:r>
      <w:r w:rsidR="00723132" w:rsidRPr="00534D25">
        <w:rPr>
          <w:rFonts w:ascii="Arial" w:hAnsi="Arial" w:cs="Arial"/>
          <w:sz w:val="22"/>
          <w:szCs w:val="22"/>
        </w:rPr>
        <w:t>se sustenta en</w:t>
      </w:r>
      <w:r w:rsidR="0078220A" w:rsidRPr="00534D25">
        <w:rPr>
          <w:rFonts w:ascii="Arial" w:hAnsi="Arial" w:cs="Arial"/>
          <w:sz w:val="22"/>
          <w:szCs w:val="22"/>
        </w:rPr>
        <w:t xml:space="preserve"> el</w:t>
      </w:r>
      <w:r w:rsidR="00790DDB" w:rsidRPr="00534D25">
        <w:rPr>
          <w:rFonts w:ascii="Arial" w:hAnsi="Arial" w:cs="Arial"/>
          <w:sz w:val="22"/>
          <w:szCs w:val="22"/>
        </w:rPr>
        <w:t xml:space="preserve"> n</w:t>
      </w:r>
      <w:r w:rsidR="0078220A" w:rsidRPr="00534D25">
        <w:rPr>
          <w:rFonts w:ascii="Arial" w:hAnsi="Arial" w:cs="Arial"/>
          <w:sz w:val="22"/>
          <w:szCs w:val="22"/>
        </w:rPr>
        <w:t xml:space="preserve">umeral 2 del artículo </w:t>
      </w:r>
      <w:r w:rsidR="00602BC2" w:rsidRPr="00534D25">
        <w:rPr>
          <w:rFonts w:ascii="Arial" w:hAnsi="Arial" w:cs="Arial"/>
          <w:sz w:val="22"/>
          <w:szCs w:val="22"/>
        </w:rPr>
        <w:t>115</w:t>
      </w:r>
      <w:r w:rsidR="00723132" w:rsidRPr="00534D25">
        <w:rPr>
          <w:rFonts w:ascii="Arial" w:hAnsi="Arial" w:cs="Arial"/>
          <w:sz w:val="22"/>
          <w:szCs w:val="22"/>
        </w:rPr>
        <w:t xml:space="preserve">, el cual dispone </w:t>
      </w:r>
      <w:r w:rsidR="0078220A" w:rsidRPr="00534D25">
        <w:rPr>
          <w:rFonts w:ascii="Arial" w:hAnsi="Arial" w:cs="Arial"/>
          <w:sz w:val="22"/>
          <w:szCs w:val="22"/>
        </w:rPr>
        <w:t>que</w:t>
      </w:r>
      <w:r w:rsidR="00790DDB" w:rsidRPr="00534D25">
        <w:rPr>
          <w:rFonts w:ascii="Arial" w:hAnsi="Arial" w:cs="Arial"/>
          <w:sz w:val="22"/>
          <w:szCs w:val="22"/>
        </w:rPr>
        <w:t xml:space="preserve"> para el debido ejercicio de las facultade</w:t>
      </w:r>
      <w:r w:rsidR="004C68F8" w:rsidRPr="00534D25">
        <w:rPr>
          <w:rFonts w:ascii="Arial" w:hAnsi="Arial" w:cs="Arial"/>
          <w:sz w:val="22"/>
          <w:szCs w:val="22"/>
        </w:rPr>
        <w:t>s y atribuciones del Instituto y otros supuestos</w:t>
      </w:r>
      <w:r w:rsidR="00790DDB" w:rsidRPr="00534D25">
        <w:rPr>
          <w:rFonts w:ascii="Arial" w:hAnsi="Arial" w:cs="Arial"/>
          <w:sz w:val="22"/>
          <w:szCs w:val="22"/>
        </w:rPr>
        <w:t>, el Consejo Estatal podrá dictar los acuerdos necesarios que resulten pertinentes para garantizar el oportuno y adecuado cumplimiento de las funciones que corresponda, siempre en apego a sus facultades y a los principios rectores de la función electoral.</w:t>
      </w:r>
    </w:p>
    <w:p w14:paraId="6D670724" w14:textId="7066F89B" w:rsidR="00666060" w:rsidRPr="00534D25" w:rsidRDefault="00534D25" w:rsidP="00534D25">
      <w:pPr>
        <w:pStyle w:val="Ttulo2"/>
        <w:numPr>
          <w:ilvl w:val="0"/>
          <w:numId w:val="0"/>
        </w:numPr>
        <w:rPr>
          <w:rFonts w:ascii="Arial" w:hAnsi="Arial" w:cs="Arial"/>
          <w:sz w:val="22"/>
          <w:szCs w:val="22"/>
        </w:rPr>
      </w:pPr>
      <w:r>
        <w:rPr>
          <w:rFonts w:ascii="Arial" w:hAnsi="Arial" w:cs="Arial"/>
          <w:sz w:val="22"/>
          <w:szCs w:val="22"/>
        </w:rPr>
        <w:t xml:space="preserve">2.2 </w:t>
      </w:r>
      <w:r w:rsidR="00666060" w:rsidRPr="00534D25">
        <w:rPr>
          <w:rFonts w:ascii="Arial" w:hAnsi="Arial" w:cs="Arial"/>
          <w:sz w:val="22"/>
          <w:szCs w:val="22"/>
        </w:rPr>
        <w:t>Elaboración del Anteproyecto de presupuesto</w:t>
      </w:r>
    </w:p>
    <w:p w14:paraId="2489D801" w14:textId="51294951" w:rsidR="00666060" w:rsidRDefault="008D3E6E" w:rsidP="00666060">
      <w:pPr>
        <w:rPr>
          <w:rFonts w:ascii="Arial" w:hAnsi="Arial" w:cs="Arial"/>
          <w:sz w:val="22"/>
          <w:szCs w:val="22"/>
        </w:rPr>
      </w:pPr>
      <w:r w:rsidRPr="00534D25">
        <w:rPr>
          <w:rFonts w:ascii="Arial" w:hAnsi="Arial" w:cs="Arial"/>
          <w:sz w:val="22"/>
          <w:szCs w:val="22"/>
        </w:rPr>
        <w:t>De acuerdo con lo con lo previsto en los artículos 117 numeral 2, fracción XV y 122 numeral 1, fracción III de la Ley Electoral, corresponde a l</w:t>
      </w:r>
      <w:r w:rsidR="00666060" w:rsidRPr="00534D25">
        <w:rPr>
          <w:rFonts w:ascii="Arial" w:hAnsi="Arial" w:cs="Arial"/>
          <w:sz w:val="22"/>
          <w:szCs w:val="22"/>
        </w:rPr>
        <w:t>a Secretaría Ejecutiva y a la Dirección de Administración elabora</w:t>
      </w:r>
      <w:r w:rsidRPr="00534D25">
        <w:rPr>
          <w:rFonts w:ascii="Arial" w:hAnsi="Arial" w:cs="Arial"/>
          <w:sz w:val="22"/>
          <w:szCs w:val="22"/>
        </w:rPr>
        <w:t>r</w:t>
      </w:r>
      <w:r w:rsidR="00666060" w:rsidRPr="00534D25">
        <w:rPr>
          <w:rFonts w:ascii="Arial" w:hAnsi="Arial" w:cs="Arial"/>
          <w:sz w:val="22"/>
          <w:szCs w:val="22"/>
        </w:rPr>
        <w:t xml:space="preserve"> y formula</w:t>
      </w:r>
      <w:r w:rsidRPr="00534D25">
        <w:rPr>
          <w:rFonts w:ascii="Arial" w:hAnsi="Arial" w:cs="Arial"/>
          <w:sz w:val="22"/>
          <w:szCs w:val="22"/>
        </w:rPr>
        <w:t>r</w:t>
      </w:r>
      <w:r w:rsidR="00666060" w:rsidRPr="00534D25">
        <w:rPr>
          <w:rFonts w:ascii="Arial" w:hAnsi="Arial" w:cs="Arial"/>
          <w:sz w:val="22"/>
          <w:szCs w:val="22"/>
        </w:rPr>
        <w:t xml:space="preserve"> anualmente el anteproyecto de presupuesto del Instituto</w:t>
      </w:r>
      <w:r w:rsidR="00D277BC" w:rsidRPr="00534D25">
        <w:rPr>
          <w:rFonts w:ascii="Arial" w:hAnsi="Arial" w:cs="Arial"/>
          <w:sz w:val="22"/>
          <w:szCs w:val="22"/>
        </w:rPr>
        <w:t>, basado en</w:t>
      </w:r>
      <w:r w:rsidR="00666060" w:rsidRPr="00534D25">
        <w:rPr>
          <w:rFonts w:ascii="Arial" w:hAnsi="Arial" w:cs="Arial"/>
          <w:sz w:val="22"/>
          <w:szCs w:val="22"/>
        </w:rPr>
        <w:t xml:space="preserve"> las leyes aplic</w:t>
      </w:r>
      <w:r w:rsidR="00D277BC" w:rsidRPr="00534D25">
        <w:rPr>
          <w:rFonts w:ascii="Arial" w:hAnsi="Arial" w:cs="Arial"/>
          <w:sz w:val="22"/>
          <w:szCs w:val="22"/>
        </w:rPr>
        <w:t xml:space="preserve">ables, </w:t>
      </w:r>
      <w:r w:rsidR="00723132" w:rsidRPr="00534D25">
        <w:rPr>
          <w:rFonts w:ascii="Arial" w:hAnsi="Arial" w:cs="Arial"/>
          <w:sz w:val="22"/>
          <w:szCs w:val="22"/>
        </w:rPr>
        <w:t>para</w:t>
      </w:r>
      <w:r w:rsidR="00D277BC" w:rsidRPr="00534D25">
        <w:rPr>
          <w:rFonts w:ascii="Arial" w:hAnsi="Arial" w:cs="Arial"/>
          <w:sz w:val="22"/>
          <w:szCs w:val="22"/>
        </w:rPr>
        <w:t xml:space="preserve"> pone</w:t>
      </w:r>
      <w:r w:rsidR="00723132" w:rsidRPr="00534D25">
        <w:rPr>
          <w:rFonts w:ascii="Arial" w:hAnsi="Arial" w:cs="Arial"/>
          <w:sz w:val="22"/>
          <w:szCs w:val="22"/>
        </w:rPr>
        <w:t>rlo</w:t>
      </w:r>
      <w:r w:rsidR="00666060" w:rsidRPr="00534D25">
        <w:rPr>
          <w:rFonts w:ascii="Arial" w:hAnsi="Arial" w:cs="Arial"/>
          <w:sz w:val="22"/>
          <w:szCs w:val="22"/>
        </w:rPr>
        <w:t xml:space="preserve"> a consideración de la Presidencia del Consejo Estatal.</w:t>
      </w:r>
    </w:p>
    <w:p w14:paraId="7BE37509" w14:textId="4F617FF1" w:rsidR="001D3D48" w:rsidRPr="00534D25" w:rsidRDefault="001D3D48" w:rsidP="00534D25">
      <w:pPr>
        <w:pStyle w:val="Ttulo2"/>
        <w:numPr>
          <w:ilvl w:val="1"/>
          <w:numId w:val="6"/>
        </w:numPr>
        <w:ind w:left="284"/>
        <w:rPr>
          <w:rFonts w:ascii="Arial" w:hAnsi="Arial" w:cs="Arial"/>
          <w:sz w:val="22"/>
          <w:szCs w:val="22"/>
        </w:rPr>
      </w:pPr>
      <w:r w:rsidRPr="00534D25">
        <w:rPr>
          <w:rFonts w:ascii="Arial" w:hAnsi="Arial" w:cs="Arial"/>
          <w:sz w:val="22"/>
          <w:szCs w:val="22"/>
        </w:rPr>
        <w:t xml:space="preserve">Presentación del Anteproyecto de Presupuesto </w:t>
      </w:r>
    </w:p>
    <w:p w14:paraId="600DD84C" w14:textId="0A78BD7B" w:rsidR="001D3D48" w:rsidRPr="00534D25" w:rsidRDefault="00D277BC" w:rsidP="001D3D48">
      <w:pPr>
        <w:rPr>
          <w:rFonts w:ascii="Arial" w:hAnsi="Arial" w:cs="Arial"/>
          <w:sz w:val="22"/>
          <w:szCs w:val="22"/>
        </w:rPr>
      </w:pPr>
      <w:r w:rsidRPr="00534D25">
        <w:rPr>
          <w:rFonts w:ascii="Arial" w:hAnsi="Arial" w:cs="Arial"/>
          <w:sz w:val="22"/>
          <w:szCs w:val="22"/>
        </w:rPr>
        <w:t xml:space="preserve">Conforme a lo previsto en el artículo 116, numeral 1, fracción IX de la Ley Electoral, </w:t>
      </w:r>
      <w:r w:rsidR="008D3E6E" w:rsidRPr="00534D25">
        <w:rPr>
          <w:rFonts w:ascii="Arial" w:hAnsi="Arial" w:cs="Arial"/>
          <w:sz w:val="22"/>
          <w:szCs w:val="22"/>
        </w:rPr>
        <w:t xml:space="preserve">corresponde a </w:t>
      </w:r>
      <w:r w:rsidRPr="00534D25">
        <w:rPr>
          <w:rFonts w:ascii="Arial" w:hAnsi="Arial" w:cs="Arial"/>
          <w:sz w:val="22"/>
          <w:szCs w:val="22"/>
        </w:rPr>
        <w:t>la Presidencia pone</w:t>
      </w:r>
      <w:r w:rsidR="008D3E6E" w:rsidRPr="00534D25">
        <w:rPr>
          <w:rFonts w:ascii="Arial" w:hAnsi="Arial" w:cs="Arial"/>
          <w:sz w:val="22"/>
          <w:szCs w:val="22"/>
        </w:rPr>
        <w:t>r</w:t>
      </w:r>
      <w:r w:rsidRPr="00534D25">
        <w:rPr>
          <w:rFonts w:ascii="Arial" w:hAnsi="Arial" w:cs="Arial"/>
          <w:sz w:val="22"/>
          <w:szCs w:val="22"/>
        </w:rPr>
        <w:t xml:space="preserve"> a consideración </w:t>
      </w:r>
      <w:r w:rsidR="00880BD5" w:rsidRPr="00534D25">
        <w:rPr>
          <w:rFonts w:ascii="Arial" w:hAnsi="Arial" w:cs="Arial"/>
          <w:sz w:val="22"/>
          <w:szCs w:val="22"/>
        </w:rPr>
        <w:t>del</w:t>
      </w:r>
      <w:r w:rsidRPr="00534D25">
        <w:rPr>
          <w:rFonts w:ascii="Arial" w:hAnsi="Arial" w:cs="Arial"/>
          <w:sz w:val="22"/>
          <w:szCs w:val="22"/>
        </w:rPr>
        <w:t xml:space="preserve"> Consejo </w:t>
      </w:r>
      <w:r w:rsidR="00880BD5" w:rsidRPr="00534D25">
        <w:rPr>
          <w:rFonts w:ascii="Arial" w:hAnsi="Arial" w:cs="Arial"/>
          <w:sz w:val="22"/>
          <w:szCs w:val="22"/>
        </w:rPr>
        <w:t xml:space="preserve">Estatal </w:t>
      </w:r>
      <w:r w:rsidRPr="00534D25">
        <w:rPr>
          <w:rFonts w:ascii="Arial" w:hAnsi="Arial" w:cs="Arial"/>
          <w:sz w:val="22"/>
          <w:szCs w:val="22"/>
        </w:rPr>
        <w:t>el anteproyecto de presupuesto anual del Instituto</w:t>
      </w:r>
      <w:r w:rsidR="00880BD5" w:rsidRPr="00534D25">
        <w:rPr>
          <w:rFonts w:ascii="Arial" w:hAnsi="Arial" w:cs="Arial"/>
          <w:sz w:val="22"/>
          <w:szCs w:val="22"/>
        </w:rPr>
        <w:t xml:space="preserve"> para su aprobación</w:t>
      </w:r>
      <w:r w:rsidRPr="00534D25">
        <w:rPr>
          <w:rFonts w:ascii="Arial" w:hAnsi="Arial" w:cs="Arial"/>
          <w:sz w:val="22"/>
          <w:szCs w:val="22"/>
        </w:rPr>
        <w:t>.</w:t>
      </w:r>
    </w:p>
    <w:p w14:paraId="0F3DA24B" w14:textId="2E7A4904" w:rsidR="00666060" w:rsidRPr="00534D25" w:rsidRDefault="00666060" w:rsidP="00534D25">
      <w:pPr>
        <w:pStyle w:val="Ttulo2"/>
        <w:numPr>
          <w:ilvl w:val="1"/>
          <w:numId w:val="6"/>
        </w:numPr>
        <w:ind w:left="284"/>
        <w:rPr>
          <w:rFonts w:ascii="Arial" w:hAnsi="Arial" w:cs="Arial"/>
          <w:sz w:val="22"/>
          <w:szCs w:val="22"/>
        </w:rPr>
      </w:pPr>
      <w:r w:rsidRPr="00534D25">
        <w:rPr>
          <w:rFonts w:ascii="Arial" w:hAnsi="Arial" w:cs="Arial"/>
          <w:sz w:val="22"/>
          <w:szCs w:val="22"/>
        </w:rPr>
        <w:lastRenderedPageBreak/>
        <w:t>Contenido del Anteproyecto del Presupuesto de Egresos</w:t>
      </w:r>
    </w:p>
    <w:p w14:paraId="2D60E803" w14:textId="77777777" w:rsidR="008D3E6E" w:rsidRPr="00534D25" w:rsidRDefault="008D3E6E" w:rsidP="00666060">
      <w:pPr>
        <w:rPr>
          <w:rFonts w:ascii="Arial" w:hAnsi="Arial" w:cs="Arial"/>
          <w:sz w:val="22"/>
          <w:szCs w:val="22"/>
        </w:rPr>
      </w:pPr>
      <w:r w:rsidRPr="00534D25">
        <w:rPr>
          <w:rFonts w:ascii="Arial" w:hAnsi="Arial" w:cs="Arial"/>
          <w:sz w:val="22"/>
          <w:szCs w:val="22"/>
        </w:rPr>
        <w:t>E</w:t>
      </w:r>
      <w:r w:rsidR="00666060" w:rsidRPr="00534D25">
        <w:rPr>
          <w:rFonts w:ascii="Arial" w:hAnsi="Arial" w:cs="Arial"/>
          <w:sz w:val="22"/>
          <w:szCs w:val="22"/>
        </w:rPr>
        <w:t>l artí</w:t>
      </w:r>
      <w:r w:rsidR="00880BD5" w:rsidRPr="00534D25">
        <w:rPr>
          <w:rFonts w:ascii="Arial" w:hAnsi="Arial" w:cs="Arial"/>
          <w:sz w:val="22"/>
          <w:szCs w:val="22"/>
        </w:rPr>
        <w:t>culo 5 de la Ley de Presupuesto prevé que</w:t>
      </w:r>
      <w:r w:rsidR="00666060" w:rsidRPr="00534D25">
        <w:rPr>
          <w:rFonts w:ascii="Arial" w:hAnsi="Arial" w:cs="Arial"/>
          <w:sz w:val="22"/>
          <w:szCs w:val="22"/>
        </w:rPr>
        <w:t xml:space="preserve"> el gasto público comprende las erogaciones por concepto de gasto corriente, incluyendo los pagos de pasivo de la deuda pública; inversión física; inversión financiera; así como responsabilidad patrimonial; que realizan, entre otros ejecutores de gasto, los órganos autónomos. </w:t>
      </w:r>
    </w:p>
    <w:p w14:paraId="4A87D8CF" w14:textId="2722D010" w:rsidR="00666060" w:rsidRPr="00534D25" w:rsidRDefault="008D3E6E" w:rsidP="00666060">
      <w:pPr>
        <w:rPr>
          <w:rFonts w:ascii="Arial" w:hAnsi="Arial" w:cs="Arial"/>
          <w:sz w:val="22"/>
          <w:szCs w:val="22"/>
        </w:rPr>
      </w:pPr>
      <w:r w:rsidRPr="00534D25">
        <w:rPr>
          <w:rFonts w:ascii="Arial" w:hAnsi="Arial" w:cs="Arial"/>
          <w:sz w:val="22"/>
          <w:szCs w:val="22"/>
        </w:rPr>
        <w:t>Por su parte</w:t>
      </w:r>
      <w:r w:rsidR="00666060" w:rsidRPr="00534D25">
        <w:rPr>
          <w:rFonts w:ascii="Arial" w:hAnsi="Arial" w:cs="Arial"/>
          <w:sz w:val="22"/>
          <w:szCs w:val="22"/>
        </w:rPr>
        <w:t xml:space="preserve">, el artículo 2 fracción XV de la Ley de Disciplina Financiera de las </w:t>
      </w:r>
      <w:r w:rsidR="00880BD5" w:rsidRPr="00534D25">
        <w:rPr>
          <w:rFonts w:ascii="Arial" w:hAnsi="Arial" w:cs="Arial"/>
          <w:sz w:val="22"/>
          <w:szCs w:val="22"/>
        </w:rPr>
        <w:t>Entidades Federativas y sus M</w:t>
      </w:r>
      <w:r w:rsidR="00666060" w:rsidRPr="00534D25">
        <w:rPr>
          <w:rFonts w:ascii="Arial" w:hAnsi="Arial" w:cs="Arial"/>
          <w:sz w:val="22"/>
          <w:szCs w:val="22"/>
        </w:rPr>
        <w:t>unicipios define al gasto corriente como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8955490" w14:textId="58921B31" w:rsidR="00666060" w:rsidRPr="00534D25" w:rsidRDefault="00880BD5" w:rsidP="00666060">
      <w:pPr>
        <w:rPr>
          <w:rFonts w:ascii="Arial" w:hAnsi="Arial" w:cs="Arial"/>
          <w:sz w:val="22"/>
          <w:szCs w:val="22"/>
        </w:rPr>
      </w:pPr>
      <w:r w:rsidRPr="00534D25">
        <w:rPr>
          <w:rFonts w:ascii="Arial" w:hAnsi="Arial" w:cs="Arial"/>
          <w:sz w:val="22"/>
          <w:szCs w:val="22"/>
        </w:rPr>
        <w:t>Ahora bien,</w:t>
      </w:r>
      <w:r w:rsidR="00666060" w:rsidRPr="00534D25">
        <w:rPr>
          <w:rFonts w:ascii="Arial" w:hAnsi="Arial" w:cs="Arial"/>
          <w:sz w:val="22"/>
          <w:szCs w:val="22"/>
        </w:rPr>
        <w:t xml:space="preserve"> los artículos 14 y 18 de la Ley de Remuneraciones </w:t>
      </w:r>
      <w:r w:rsidRPr="00534D25">
        <w:rPr>
          <w:rFonts w:ascii="Arial" w:hAnsi="Arial" w:cs="Arial"/>
          <w:sz w:val="22"/>
          <w:szCs w:val="22"/>
        </w:rPr>
        <w:t>dispone</w:t>
      </w:r>
      <w:r w:rsidR="00A61204" w:rsidRPr="00534D25">
        <w:rPr>
          <w:rFonts w:ascii="Arial" w:hAnsi="Arial" w:cs="Arial"/>
          <w:sz w:val="22"/>
          <w:szCs w:val="22"/>
        </w:rPr>
        <w:t>n</w:t>
      </w:r>
      <w:r w:rsidRPr="00534D25">
        <w:rPr>
          <w:rFonts w:ascii="Arial" w:hAnsi="Arial" w:cs="Arial"/>
          <w:sz w:val="22"/>
          <w:szCs w:val="22"/>
        </w:rPr>
        <w:t xml:space="preserve"> que</w:t>
      </w:r>
      <w:r w:rsidR="00A61204" w:rsidRPr="00534D25">
        <w:rPr>
          <w:rFonts w:ascii="Arial" w:hAnsi="Arial" w:cs="Arial"/>
          <w:sz w:val="22"/>
          <w:szCs w:val="22"/>
        </w:rPr>
        <w:t xml:space="preserve"> cada ente público dentro de</w:t>
      </w:r>
      <w:r w:rsidR="00AE24E9" w:rsidRPr="00534D25">
        <w:rPr>
          <w:rFonts w:ascii="Arial" w:hAnsi="Arial" w:cs="Arial"/>
          <w:sz w:val="22"/>
          <w:szCs w:val="22"/>
        </w:rPr>
        <w:t>l</w:t>
      </w:r>
      <w:r w:rsidR="00A61204" w:rsidRPr="00534D25">
        <w:rPr>
          <w:rFonts w:ascii="Arial" w:hAnsi="Arial" w:cs="Arial"/>
          <w:sz w:val="22"/>
          <w:szCs w:val="22"/>
        </w:rPr>
        <w:t xml:space="preserve"> presupuesto de egresos</w:t>
      </w:r>
      <w:r w:rsidRPr="00534D25">
        <w:rPr>
          <w:rFonts w:ascii="Arial" w:hAnsi="Arial" w:cs="Arial"/>
          <w:sz w:val="22"/>
          <w:szCs w:val="22"/>
        </w:rPr>
        <w:t xml:space="preserve"> </w:t>
      </w:r>
      <w:r w:rsidR="00666060" w:rsidRPr="00534D25">
        <w:rPr>
          <w:rFonts w:ascii="Arial" w:hAnsi="Arial" w:cs="Arial"/>
          <w:sz w:val="22"/>
          <w:szCs w:val="22"/>
        </w:rPr>
        <w:t xml:space="preserve">deberá elaborar y presentar las remuneraciones, así como </w:t>
      </w:r>
      <w:r w:rsidR="00AE24E9" w:rsidRPr="00534D25">
        <w:rPr>
          <w:rFonts w:ascii="Arial" w:hAnsi="Arial" w:cs="Arial"/>
          <w:sz w:val="22"/>
          <w:szCs w:val="22"/>
        </w:rPr>
        <w:t>el tabulador</w:t>
      </w:r>
      <w:r w:rsidR="00666060" w:rsidRPr="00534D25">
        <w:rPr>
          <w:rFonts w:ascii="Arial" w:hAnsi="Arial" w:cs="Arial"/>
          <w:sz w:val="22"/>
          <w:szCs w:val="22"/>
        </w:rPr>
        <w:t xml:space="preserve"> que corresponda a cada empleo, cargo o comisión, debiendo especificar y diferenciar sus elementos fijos y variables tanto en efectivo como en especie</w:t>
      </w:r>
      <w:r w:rsidR="00AE24E9" w:rsidRPr="00534D25">
        <w:rPr>
          <w:rFonts w:ascii="Arial" w:hAnsi="Arial" w:cs="Arial"/>
          <w:sz w:val="22"/>
          <w:szCs w:val="22"/>
        </w:rPr>
        <w:t>; que dicho tabulador es</w:t>
      </w:r>
      <w:r w:rsidR="00666060" w:rsidRPr="00534D25">
        <w:rPr>
          <w:rFonts w:ascii="Arial" w:hAnsi="Arial" w:cs="Arial"/>
          <w:sz w:val="22"/>
          <w:szCs w:val="22"/>
        </w:rPr>
        <w:t xml:space="preserve"> de carácter público y deberán estar anexos en los presupuestos de egresos aprobados. Asimismo, el tabulador determinará los rangos o niveles mínimos y máximos de los montos de las remuneraciones que deberán percibir los servidores públicos por nivel, categoría o puesto.</w:t>
      </w:r>
    </w:p>
    <w:p w14:paraId="72289EA9" w14:textId="0395E440" w:rsidR="00666060" w:rsidRPr="00534D25" w:rsidRDefault="008D3E6E" w:rsidP="00666060">
      <w:pPr>
        <w:rPr>
          <w:rFonts w:ascii="Arial" w:hAnsi="Arial" w:cs="Arial"/>
          <w:sz w:val="22"/>
          <w:szCs w:val="22"/>
        </w:rPr>
      </w:pPr>
      <w:r w:rsidRPr="00534D25">
        <w:rPr>
          <w:rFonts w:ascii="Arial" w:hAnsi="Arial" w:cs="Arial"/>
          <w:sz w:val="22"/>
          <w:szCs w:val="22"/>
        </w:rPr>
        <w:t>Aunado a lo anterior, en observancia a lo dispuesto en los artículos 72, fracciones I, II y III; 101 y 103 de la Ley Electoral, e</w:t>
      </w:r>
      <w:r w:rsidR="00666060" w:rsidRPr="00534D25">
        <w:rPr>
          <w:rFonts w:ascii="Arial" w:hAnsi="Arial" w:cs="Arial"/>
          <w:sz w:val="22"/>
          <w:szCs w:val="22"/>
        </w:rPr>
        <w:t xml:space="preserve">n el caso del Instituto, además de lo correspondiente al gasto ordinario, debe </w:t>
      </w:r>
      <w:r w:rsidR="00772937" w:rsidRPr="00534D25">
        <w:rPr>
          <w:rFonts w:ascii="Arial" w:hAnsi="Arial" w:cs="Arial"/>
          <w:sz w:val="22"/>
          <w:szCs w:val="22"/>
        </w:rPr>
        <w:t>integrarse al</w:t>
      </w:r>
      <w:r w:rsidR="00666060" w:rsidRPr="00534D25">
        <w:rPr>
          <w:rFonts w:ascii="Arial" w:hAnsi="Arial" w:cs="Arial"/>
          <w:sz w:val="22"/>
          <w:szCs w:val="22"/>
        </w:rPr>
        <w:t xml:space="preserve"> Anteproyecto de Presupuesto de Egresos del Instituto, el financiamiento de partidos políticos para</w:t>
      </w:r>
      <w:r w:rsidR="001D5FB4" w:rsidRPr="00534D25">
        <w:rPr>
          <w:rFonts w:ascii="Arial" w:hAnsi="Arial" w:cs="Arial"/>
          <w:sz w:val="22"/>
          <w:szCs w:val="22"/>
        </w:rPr>
        <w:t xml:space="preserve"> actividades ordinarias permanentes</w:t>
      </w:r>
      <w:r w:rsidR="00666060" w:rsidRPr="00534D25">
        <w:rPr>
          <w:rFonts w:ascii="Arial" w:hAnsi="Arial" w:cs="Arial"/>
          <w:sz w:val="22"/>
          <w:szCs w:val="22"/>
        </w:rPr>
        <w:t xml:space="preserve"> y por actividades específicas como entidades de interés público</w:t>
      </w:r>
      <w:r w:rsidRPr="00534D25">
        <w:rPr>
          <w:rFonts w:ascii="Arial" w:hAnsi="Arial" w:cs="Arial"/>
          <w:sz w:val="22"/>
          <w:szCs w:val="22"/>
        </w:rPr>
        <w:t>.</w:t>
      </w:r>
    </w:p>
    <w:p w14:paraId="55226F02" w14:textId="2D211A9E" w:rsidR="00666060" w:rsidRPr="00534D25" w:rsidRDefault="00534D25" w:rsidP="00534D25">
      <w:pPr>
        <w:pStyle w:val="Ttulo2"/>
        <w:numPr>
          <w:ilvl w:val="0"/>
          <w:numId w:val="0"/>
        </w:numPr>
        <w:rPr>
          <w:rFonts w:ascii="Arial" w:hAnsi="Arial" w:cs="Arial"/>
          <w:sz w:val="22"/>
          <w:szCs w:val="22"/>
        </w:rPr>
      </w:pPr>
      <w:r>
        <w:rPr>
          <w:rFonts w:ascii="Arial" w:hAnsi="Arial" w:cs="Arial"/>
          <w:sz w:val="22"/>
          <w:szCs w:val="22"/>
        </w:rPr>
        <w:t xml:space="preserve">2.5 </w:t>
      </w:r>
      <w:r w:rsidR="00666060" w:rsidRPr="00534D25">
        <w:rPr>
          <w:rFonts w:ascii="Arial" w:hAnsi="Arial" w:cs="Arial"/>
          <w:sz w:val="22"/>
          <w:szCs w:val="22"/>
        </w:rPr>
        <w:t xml:space="preserve">Integración del Anteproyecto de Presupuesto de Egresos del Instituto </w:t>
      </w:r>
    </w:p>
    <w:p w14:paraId="25097692" w14:textId="169DDDC2" w:rsidR="00666060" w:rsidRPr="00534D25" w:rsidRDefault="000127E0" w:rsidP="00666060">
      <w:pPr>
        <w:rPr>
          <w:rFonts w:ascii="Arial" w:hAnsi="Arial" w:cs="Arial"/>
          <w:sz w:val="22"/>
          <w:szCs w:val="22"/>
        </w:rPr>
      </w:pPr>
      <w:r w:rsidRPr="00534D25">
        <w:rPr>
          <w:rFonts w:ascii="Arial" w:hAnsi="Arial" w:cs="Arial"/>
          <w:sz w:val="22"/>
          <w:szCs w:val="22"/>
        </w:rPr>
        <w:t xml:space="preserve">La elaboración y aprobación del presupuesto es un requerimiento legal, lo que asegura el cumplimiento del marco normativo que </w:t>
      </w:r>
      <w:r w:rsidR="00AE24E9" w:rsidRPr="00534D25">
        <w:rPr>
          <w:rFonts w:ascii="Arial" w:hAnsi="Arial" w:cs="Arial"/>
          <w:sz w:val="22"/>
          <w:szCs w:val="22"/>
        </w:rPr>
        <w:t>guía la</w:t>
      </w:r>
      <w:r w:rsidRPr="00534D25">
        <w:rPr>
          <w:rFonts w:ascii="Arial" w:hAnsi="Arial" w:cs="Arial"/>
          <w:sz w:val="22"/>
          <w:szCs w:val="22"/>
        </w:rPr>
        <w:t xml:space="preserve"> administración pública. </w:t>
      </w:r>
      <w:r w:rsidR="00B96942" w:rsidRPr="00534D25">
        <w:rPr>
          <w:rFonts w:ascii="Arial" w:hAnsi="Arial" w:cs="Arial"/>
          <w:sz w:val="22"/>
          <w:szCs w:val="22"/>
        </w:rPr>
        <w:t>Al respecto, la D</w:t>
      </w:r>
      <w:r w:rsidR="00880BD5" w:rsidRPr="00534D25">
        <w:rPr>
          <w:rFonts w:ascii="Arial" w:hAnsi="Arial" w:cs="Arial"/>
          <w:sz w:val="22"/>
          <w:szCs w:val="22"/>
        </w:rPr>
        <w:t xml:space="preserve">irección de </w:t>
      </w:r>
      <w:r w:rsidR="00B96942" w:rsidRPr="00534D25">
        <w:rPr>
          <w:rFonts w:ascii="Arial" w:hAnsi="Arial" w:cs="Arial"/>
          <w:sz w:val="22"/>
          <w:szCs w:val="22"/>
        </w:rPr>
        <w:t>A</w:t>
      </w:r>
      <w:r w:rsidR="00880BD5" w:rsidRPr="00534D25">
        <w:rPr>
          <w:rFonts w:ascii="Arial" w:hAnsi="Arial" w:cs="Arial"/>
          <w:sz w:val="22"/>
          <w:szCs w:val="22"/>
        </w:rPr>
        <w:t xml:space="preserve">dministración del Instituto </w:t>
      </w:r>
      <w:r w:rsidR="00AE24E9" w:rsidRPr="00534D25">
        <w:rPr>
          <w:rFonts w:ascii="Arial" w:hAnsi="Arial" w:cs="Arial"/>
          <w:sz w:val="22"/>
          <w:szCs w:val="22"/>
        </w:rPr>
        <w:t>formuló</w:t>
      </w:r>
      <w:r w:rsidR="00880BD5" w:rsidRPr="00534D25">
        <w:rPr>
          <w:rFonts w:ascii="Arial" w:hAnsi="Arial" w:cs="Arial"/>
          <w:sz w:val="22"/>
          <w:szCs w:val="22"/>
        </w:rPr>
        <w:t xml:space="preserve"> el A</w:t>
      </w:r>
      <w:r w:rsidR="00B96942" w:rsidRPr="00534D25">
        <w:rPr>
          <w:rFonts w:ascii="Arial" w:hAnsi="Arial" w:cs="Arial"/>
          <w:sz w:val="22"/>
          <w:szCs w:val="22"/>
        </w:rPr>
        <w:t>nteproyecto de Presupuesto de Egresos con base en las estimaciones presupuestarias de las áreas del Instituto y lo remitió a la S</w:t>
      </w:r>
      <w:r w:rsidR="00880BD5" w:rsidRPr="00534D25">
        <w:rPr>
          <w:rFonts w:ascii="Arial" w:hAnsi="Arial" w:cs="Arial"/>
          <w:sz w:val="22"/>
          <w:szCs w:val="22"/>
        </w:rPr>
        <w:t xml:space="preserve">ecretaría </w:t>
      </w:r>
      <w:r w:rsidR="00B96942" w:rsidRPr="00534D25">
        <w:rPr>
          <w:rFonts w:ascii="Arial" w:hAnsi="Arial" w:cs="Arial"/>
          <w:sz w:val="22"/>
          <w:szCs w:val="22"/>
        </w:rPr>
        <w:t>E</w:t>
      </w:r>
      <w:r w:rsidR="00880BD5" w:rsidRPr="00534D25">
        <w:rPr>
          <w:rFonts w:ascii="Arial" w:hAnsi="Arial" w:cs="Arial"/>
          <w:sz w:val="22"/>
          <w:szCs w:val="22"/>
        </w:rPr>
        <w:t>jecutiva</w:t>
      </w:r>
      <w:r w:rsidR="00B96942" w:rsidRPr="00534D25">
        <w:rPr>
          <w:rFonts w:ascii="Arial" w:hAnsi="Arial" w:cs="Arial"/>
          <w:sz w:val="22"/>
          <w:szCs w:val="22"/>
        </w:rPr>
        <w:t>, a efecto de que por su conducto</w:t>
      </w:r>
      <w:r w:rsidR="00880BD5" w:rsidRPr="00534D25">
        <w:rPr>
          <w:rFonts w:ascii="Arial" w:hAnsi="Arial" w:cs="Arial"/>
          <w:sz w:val="22"/>
          <w:szCs w:val="22"/>
        </w:rPr>
        <w:t xml:space="preserve"> lo hiciera del conocimiento de la Presidencia </w:t>
      </w:r>
      <w:r w:rsidR="00B96942" w:rsidRPr="00534D25">
        <w:rPr>
          <w:rFonts w:ascii="Arial" w:hAnsi="Arial" w:cs="Arial"/>
          <w:sz w:val="22"/>
          <w:szCs w:val="22"/>
        </w:rPr>
        <w:t xml:space="preserve">de este Instituto, quien posteriormente </w:t>
      </w:r>
      <w:r w:rsidR="00AE24E9" w:rsidRPr="00534D25">
        <w:rPr>
          <w:rFonts w:ascii="Arial" w:hAnsi="Arial" w:cs="Arial"/>
          <w:sz w:val="22"/>
          <w:szCs w:val="22"/>
        </w:rPr>
        <w:t>lo sometió</w:t>
      </w:r>
      <w:r w:rsidR="00B96942" w:rsidRPr="00534D25">
        <w:rPr>
          <w:rFonts w:ascii="Arial" w:hAnsi="Arial" w:cs="Arial"/>
          <w:sz w:val="22"/>
          <w:szCs w:val="22"/>
        </w:rPr>
        <w:t xml:space="preserve"> a consi</w:t>
      </w:r>
      <w:r w:rsidR="00880BD5" w:rsidRPr="00534D25">
        <w:rPr>
          <w:rFonts w:ascii="Arial" w:hAnsi="Arial" w:cs="Arial"/>
          <w:sz w:val="22"/>
          <w:szCs w:val="22"/>
        </w:rPr>
        <w:t>deración de este Consejo Estatal</w:t>
      </w:r>
      <w:r w:rsidR="00B96942" w:rsidRPr="00534D25">
        <w:rPr>
          <w:rFonts w:ascii="Arial" w:hAnsi="Arial" w:cs="Arial"/>
          <w:sz w:val="22"/>
          <w:szCs w:val="22"/>
        </w:rPr>
        <w:t>, para su aprobación</w:t>
      </w:r>
      <w:r w:rsidR="00666060" w:rsidRPr="00534D25">
        <w:rPr>
          <w:rFonts w:ascii="Arial" w:hAnsi="Arial" w:cs="Arial"/>
          <w:sz w:val="22"/>
          <w:szCs w:val="22"/>
        </w:rPr>
        <w:t xml:space="preserve">, </w:t>
      </w:r>
      <w:r w:rsidR="00880BD5" w:rsidRPr="00534D25">
        <w:rPr>
          <w:rFonts w:ascii="Arial" w:hAnsi="Arial" w:cs="Arial"/>
          <w:sz w:val="22"/>
          <w:szCs w:val="22"/>
        </w:rPr>
        <w:t>en dicho Anteproyecto de Presupuesto de E</w:t>
      </w:r>
      <w:r w:rsidR="00666060" w:rsidRPr="00534D25">
        <w:rPr>
          <w:rFonts w:ascii="Arial" w:hAnsi="Arial" w:cs="Arial"/>
          <w:sz w:val="22"/>
          <w:szCs w:val="22"/>
        </w:rPr>
        <w:t>gresos del Instituto</w:t>
      </w:r>
      <w:r w:rsidR="00DA2258" w:rsidRPr="00534D25">
        <w:rPr>
          <w:rFonts w:ascii="Arial" w:hAnsi="Arial" w:cs="Arial"/>
          <w:sz w:val="22"/>
          <w:szCs w:val="22"/>
        </w:rPr>
        <w:t xml:space="preserve"> ―cuyos montos se muestran redondeados para facilitar la captura en el Sistema PBR a cargo de la Secretaría de Administración y Finanzas del Estado―</w:t>
      </w:r>
      <w:r w:rsidR="00666060" w:rsidRPr="00534D25">
        <w:rPr>
          <w:rFonts w:ascii="Arial" w:hAnsi="Arial" w:cs="Arial"/>
          <w:sz w:val="22"/>
          <w:szCs w:val="22"/>
        </w:rPr>
        <w:t xml:space="preserve"> </w:t>
      </w:r>
      <w:r w:rsidR="00880BD5" w:rsidRPr="00534D25">
        <w:rPr>
          <w:rFonts w:ascii="Arial" w:hAnsi="Arial" w:cs="Arial"/>
          <w:sz w:val="22"/>
          <w:szCs w:val="22"/>
        </w:rPr>
        <w:t xml:space="preserve">se </w:t>
      </w:r>
      <w:r w:rsidR="00402B53" w:rsidRPr="00534D25">
        <w:rPr>
          <w:rFonts w:ascii="Arial" w:hAnsi="Arial" w:cs="Arial"/>
          <w:sz w:val="22"/>
          <w:szCs w:val="22"/>
        </w:rPr>
        <w:t>refleja</w:t>
      </w:r>
      <w:r w:rsidR="00880BD5" w:rsidRPr="00534D25">
        <w:rPr>
          <w:rFonts w:ascii="Arial" w:hAnsi="Arial" w:cs="Arial"/>
          <w:sz w:val="22"/>
          <w:szCs w:val="22"/>
        </w:rPr>
        <w:t>n</w:t>
      </w:r>
      <w:r w:rsidR="00402B53" w:rsidRPr="00534D25">
        <w:rPr>
          <w:rFonts w:ascii="Arial" w:hAnsi="Arial" w:cs="Arial"/>
          <w:sz w:val="22"/>
          <w:szCs w:val="22"/>
        </w:rPr>
        <w:t xml:space="preserve"> las </w:t>
      </w:r>
      <w:r w:rsidR="00402B53" w:rsidRPr="00534D25">
        <w:rPr>
          <w:rFonts w:ascii="Arial" w:hAnsi="Arial" w:cs="Arial"/>
          <w:sz w:val="22"/>
          <w:szCs w:val="22"/>
        </w:rPr>
        <w:lastRenderedPageBreak/>
        <w:t xml:space="preserve">prioridades institucionales; </w:t>
      </w:r>
      <w:r w:rsidR="00880BD5" w:rsidRPr="00534D25">
        <w:rPr>
          <w:rFonts w:ascii="Arial" w:hAnsi="Arial" w:cs="Arial"/>
          <w:sz w:val="22"/>
          <w:szCs w:val="22"/>
        </w:rPr>
        <w:t>además</w:t>
      </w:r>
      <w:r w:rsidR="00402B53" w:rsidRPr="00534D25">
        <w:rPr>
          <w:rFonts w:ascii="Arial" w:hAnsi="Arial" w:cs="Arial"/>
          <w:sz w:val="22"/>
          <w:szCs w:val="22"/>
        </w:rPr>
        <w:t>, asegura que los recursos se destinen a las áreas para el cumplimiento</w:t>
      </w:r>
      <w:r w:rsidR="00880BD5" w:rsidRPr="00534D25">
        <w:rPr>
          <w:rFonts w:ascii="Arial" w:hAnsi="Arial" w:cs="Arial"/>
          <w:sz w:val="22"/>
          <w:szCs w:val="22"/>
        </w:rPr>
        <w:t xml:space="preserve"> de sus atribuciones, </w:t>
      </w:r>
      <w:r w:rsidR="00402B53" w:rsidRPr="00534D25">
        <w:rPr>
          <w:rFonts w:ascii="Arial" w:hAnsi="Arial" w:cs="Arial"/>
          <w:sz w:val="22"/>
          <w:szCs w:val="22"/>
        </w:rPr>
        <w:t xml:space="preserve">promueve la transparencia y la rendición de cuentas sobre </w:t>
      </w:r>
      <w:r w:rsidR="00880BD5" w:rsidRPr="00534D25">
        <w:rPr>
          <w:rFonts w:ascii="Arial" w:hAnsi="Arial" w:cs="Arial"/>
          <w:sz w:val="22"/>
          <w:szCs w:val="22"/>
        </w:rPr>
        <w:t>el uso de los recursos públicos</w:t>
      </w:r>
      <w:r w:rsidR="00402B53" w:rsidRPr="00534D25">
        <w:rPr>
          <w:rFonts w:ascii="Arial" w:hAnsi="Arial" w:cs="Arial"/>
          <w:sz w:val="22"/>
          <w:szCs w:val="22"/>
        </w:rPr>
        <w:t xml:space="preserve"> </w:t>
      </w:r>
      <w:r w:rsidR="00880BD5" w:rsidRPr="00534D25">
        <w:rPr>
          <w:rFonts w:ascii="Arial" w:hAnsi="Arial" w:cs="Arial"/>
          <w:sz w:val="22"/>
          <w:szCs w:val="22"/>
        </w:rPr>
        <w:t>y contribuye</w:t>
      </w:r>
      <w:r w:rsidR="00402B53" w:rsidRPr="00534D25">
        <w:rPr>
          <w:rFonts w:ascii="Arial" w:hAnsi="Arial" w:cs="Arial"/>
          <w:sz w:val="22"/>
          <w:szCs w:val="22"/>
        </w:rPr>
        <w:t xml:space="preserve"> al control de gastos y fomentar una </w:t>
      </w:r>
      <w:r w:rsidRPr="00534D25">
        <w:rPr>
          <w:rFonts w:ascii="Arial" w:hAnsi="Arial" w:cs="Arial"/>
          <w:sz w:val="22"/>
          <w:szCs w:val="22"/>
        </w:rPr>
        <w:t>gestión financiera responsable.</w:t>
      </w:r>
      <w:r w:rsidR="00666060" w:rsidRPr="00534D25">
        <w:rPr>
          <w:rFonts w:ascii="Arial" w:hAnsi="Arial" w:cs="Arial"/>
          <w:sz w:val="22"/>
          <w:szCs w:val="22"/>
        </w:rPr>
        <w:t xml:space="preserve"> </w:t>
      </w:r>
      <w:r w:rsidR="00AE24E9" w:rsidRPr="00534D25">
        <w:rPr>
          <w:rFonts w:ascii="Arial" w:hAnsi="Arial" w:cs="Arial"/>
          <w:sz w:val="22"/>
          <w:szCs w:val="22"/>
        </w:rPr>
        <w:t>En cuanto hace al</w:t>
      </w:r>
      <w:r w:rsidR="00666060" w:rsidRPr="00534D25">
        <w:rPr>
          <w:rFonts w:ascii="Arial" w:hAnsi="Arial" w:cs="Arial"/>
          <w:sz w:val="22"/>
          <w:szCs w:val="22"/>
        </w:rPr>
        <w:t xml:space="preserve"> anteproyecto de presupuesto del Instituto </w:t>
      </w:r>
      <w:r w:rsidR="00AE24E9" w:rsidRPr="00534D25">
        <w:rPr>
          <w:rFonts w:ascii="Arial" w:hAnsi="Arial" w:cs="Arial"/>
          <w:sz w:val="22"/>
          <w:szCs w:val="22"/>
        </w:rPr>
        <w:t xml:space="preserve">se </w:t>
      </w:r>
      <w:r w:rsidR="00666060" w:rsidRPr="00534D25">
        <w:rPr>
          <w:rFonts w:ascii="Arial" w:hAnsi="Arial" w:cs="Arial"/>
          <w:sz w:val="22"/>
          <w:szCs w:val="22"/>
        </w:rPr>
        <w:t xml:space="preserve">prevé la integración del gasto </w:t>
      </w:r>
      <w:r w:rsidR="00AE24E9" w:rsidRPr="00534D25">
        <w:rPr>
          <w:rFonts w:ascii="Arial" w:hAnsi="Arial" w:cs="Arial"/>
          <w:sz w:val="22"/>
          <w:szCs w:val="22"/>
        </w:rPr>
        <w:t xml:space="preserve">en </w:t>
      </w:r>
      <w:r w:rsidR="00666060" w:rsidRPr="00534D25">
        <w:rPr>
          <w:rFonts w:ascii="Arial" w:hAnsi="Arial" w:cs="Arial"/>
          <w:sz w:val="22"/>
          <w:szCs w:val="22"/>
        </w:rPr>
        <w:t>capítulos</w:t>
      </w:r>
      <w:r w:rsidR="00DA2258" w:rsidRPr="00534D25">
        <w:rPr>
          <w:rFonts w:ascii="Arial" w:hAnsi="Arial" w:cs="Arial"/>
          <w:sz w:val="22"/>
          <w:szCs w:val="22"/>
        </w:rPr>
        <w:t xml:space="preserve"> de la siguiente manera</w:t>
      </w:r>
      <w:r w:rsidR="00666060" w:rsidRPr="00534D25">
        <w:rPr>
          <w:rFonts w:ascii="Arial" w:hAnsi="Arial" w:cs="Arial"/>
          <w:sz w:val="22"/>
          <w:szCs w:val="22"/>
        </w:rPr>
        <w:t>:</w:t>
      </w:r>
    </w:p>
    <w:p w14:paraId="356DB78C" w14:textId="6AF96E21" w:rsidR="00391E45" w:rsidRPr="00534D25" w:rsidRDefault="00391E45" w:rsidP="00666060">
      <w:pPr>
        <w:rPr>
          <w:rFonts w:ascii="Arial" w:hAnsi="Arial" w:cs="Arial"/>
          <w:b/>
          <w:sz w:val="22"/>
          <w:szCs w:val="22"/>
        </w:rPr>
      </w:pPr>
      <w:r w:rsidRPr="00534D25">
        <w:rPr>
          <w:rFonts w:ascii="Arial" w:hAnsi="Arial" w:cs="Arial"/>
          <w:b/>
          <w:sz w:val="22"/>
          <w:szCs w:val="22"/>
        </w:rPr>
        <w:t>a) Gastos de operación</w:t>
      </w:r>
    </w:p>
    <w:p w14:paraId="4FB51B94" w14:textId="41C27BD6" w:rsidR="00391E45" w:rsidRPr="00534D25" w:rsidRDefault="00391E45" w:rsidP="00666060">
      <w:pPr>
        <w:rPr>
          <w:rFonts w:ascii="Arial" w:hAnsi="Arial" w:cs="Arial"/>
          <w:sz w:val="22"/>
          <w:szCs w:val="22"/>
        </w:rPr>
      </w:pPr>
      <w:r w:rsidRPr="00534D25">
        <w:rPr>
          <w:rFonts w:ascii="Arial" w:hAnsi="Arial" w:cs="Arial"/>
          <w:sz w:val="22"/>
          <w:szCs w:val="22"/>
        </w:rPr>
        <w:t xml:space="preserve">El gasto ordinario o corriente comprende las erogaciones que se destinan para el pago de remuneraciones relacionadas con el capital humano, así como la adquisición de bienes y servicios necesarios para </w:t>
      </w:r>
      <w:r w:rsidR="000127E0" w:rsidRPr="00534D25">
        <w:rPr>
          <w:rFonts w:ascii="Arial" w:hAnsi="Arial" w:cs="Arial"/>
          <w:sz w:val="22"/>
          <w:szCs w:val="22"/>
        </w:rPr>
        <w:t xml:space="preserve">el funcionamiento del Instituto, </w:t>
      </w:r>
      <w:r w:rsidRPr="00534D25">
        <w:rPr>
          <w:rFonts w:ascii="Arial" w:hAnsi="Arial" w:cs="Arial"/>
          <w:sz w:val="22"/>
          <w:szCs w:val="22"/>
        </w:rPr>
        <w:t>distintos de aquellos vinculados directamente con los gastos del proceso electoral.</w:t>
      </w:r>
    </w:p>
    <w:p w14:paraId="1EDCBDEE" w14:textId="09E26155" w:rsidR="00421C7E" w:rsidRPr="00534D25" w:rsidRDefault="000127E0" w:rsidP="00421C7E">
      <w:pPr>
        <w:rPr>
          <w:rFonts w:ascii="Arial" w:hAnsi="Arial" w:cs="Arial"/>
          <w:color w:val="FF0000"/>
          <w:sz w:val="22"/>
          <w:szCs w:val="22"/>
        </w:rPr>
      </w:pPr>
      <w:r w:rsidRPr="00534D25">
        <w:rPr>
          <w:rFonts w:ascii="Arial" w:hAnsi="Arial" w:cs="Arial"/>
          <w:sz w:val="22"/>
          <w:szCs w:val="22"/>
        </w:rPr>
        <w:t xml:space="preserve">Por otro lado, en atención a lo </w:t>
      </w:r>
      <w:r w:rsidR="00DA2258" w:rsidRPr="00534D25">
        <w:rPr>
          <w:rFonts w:ascii="Arial" w:hAnsi="Arial" w:cs="Arial"/>
          <w:sz w:val="22"/>
          <w:szCs w:val="22"/>
        </w:rPr>
        <w:t>previsto</w:t>
      </w:r>
      <w:r w:rsidRPr="00534D25">
        <w:rPr>
          <w:rFonts w:ascii="Arial" w:hAnsi="Arial" w:cs="Arial"/>
          <w:sz w:val="22"/>
          <w:szCs w:val="22"/>
        </w:rPr>
        <w:t xml:space="preserve"> en </w:t>
      </w:r>
      <w:r w:rsidR="00391E45" w:rsidRPr="00534D25">
        <w:rPr>
          <w:rFonts w:ascii="Arial" w:hAnsi="Arial" w:cs="Arial"/>
          <w:sz w:val="22"/>
          <w:szCs w:val="22"/>
        </w:rPr>
        <w:t>el artículo 126 de la Constitución Federal</w:t>
      </w:r>
      <w:r w:rsidR="00DA2258" w:rsidRPr="00534D25">
        <w:rPr>
          <w:rFonts w:ascii="Arial" w:hAnsi="Arial" w:cs="Arial"/>
          <w:sz w:val="22"/>
          <w:szCs w:val="22"/>
        </w:rPr>
        <w:t>,</w:t>
      </w:r>
      <w:r w:rsidR="00391E45" w:rsidRPr="00534D25">
        <w:rPr>
          <w:rFonts w:ascii="Arial" w:hAnsi="Arial" w:cs="Arial"/>
          <w:sz w:val="22"/>
          <w:szCs w:val="22"/>
        </w:rPr>
        <w:t xml:space="preserve"> </w:t>
      </w:r>
      <w:r w:rsidR="00DA2258" w:rsidRPr="00534D25">
        <w:rPr>
          <w:rFonts w:ascii="Arial" w:hAnsi="Arial" w:cs="Arial"/>
          <w:sz w:val="22"/>
          <w:szCs w:val="22"/>
        </w:rPr>
        <w:t>en cuanto hace a que</w:t>
      </w:r>
      <w:r w:rsidR="00391E45" w:rsidRPr="00534D25">
        <w:rPr>
          <w:rFonts w:ascii="Arial" w:hAnsi="Arial" w:cs="Arial"/>
          <w:sz w:val="22"/>
          <w:szCs w:val="22"/>
        </w:rPr>
        <w:t xml:space="preserve"> no podrá hacerse pago alguno que no esté comprendido en el presupuesto o determinado por la ley posterior, </w:t>
      </w:r>
      <w:r w:rsidRPr="00534D25">
        <w:rPr>
          <w:rFonts w:ascii="Arial" w:hAnsi="Arial" w:cs="Arial"/>
          <w:sz w:val="22"/>
          <w:szCs w:val="22"/>
        </w:rPr>
        <w:t>es necesario incluir en el A</w:t>
      </w:r>
      <w:r w:rsidR="00391E45" w:rsidRPr="00534D25">
        <w:rPr>
          <w:rFonts w:ascii="Arial" w:hAnsi="Arial" w:cs="Arial"/>
          <w:sz w:val="22"/>
          <w:szCs w:val="22"/>
        </w:rPr>
        <w:t xml:space="preserve">nteproyecto </w:t>
      </w:r>
      <w:r w:rsidRPr="00534D25">
        <w:rPr>
          <w:rFonts w:ascii="Arial" w:hAnsi="Arial" w:cs="Arial"/>
          <w:sz w:val="22"/>
          <w:szCs w:val="22"/>
        </w:rPr>
        <w:t>Presupuesto de E</w:t>
      </w:r>
      <w:r w:rsidR="00391E45" w:rsidRPr="00534D25">
        <w:rPr>
          <w:rFonts w:ascii="Arial" w:hAnsi="Arial" w:cs="Arial"/>
          <w:sz w:val="22"/>
          <w:szCs w:val="22"/>
        </w:rPr>
        <w:t>gresos</w:t>
      </w:r>
      <w:r w:rsidR="00DA2258" w:rsidRPr="00534D25">
        <w:rPr>
          <w:rFonts w:ascii="Arial" w:hAnsi="Arial" w:cs="Arial"/>
          <w:sz w:val="22"/>
          <w:szCs w:val="22"/>
        </w:rPr>
        <w:t xml:space="preserve"> lo correspondiente al financiamiento público local de los partidos políticos para el ejercicio 2026, al cual se determinó</w:t>
      </w:r>
      <w:r w:rsidR="00391E45" w:rsidRPr="00534D25">
        <w:rPr>
          <w:rFonts w:ascii="Arial" w:hAnsi="Arial" w:cs="Arial"/>
          <w:sz w:val="22"/>
          <w:szCs w:val="22"/>
        </w:rPr>
        <w:t xml:space="preserve"> la cantidad de </w:t>
      </w:r>
      <w:r w:rsidR="00421C7E" w:rsidRPr="00534D25">
        <w:rPr>
          <w:rFonts w:ascii="Arial" w:hAnsi="Arial" w:cs="Arial"/>
          <w:sz w:val="22"/>
          <w:szCs w:val="22"/>
        </w:rPr>
        <w:t>$77,246,134.00</w:t>
      </w:r>
      <w:r w:rsidR="00391E45" w:rsidRPr="00534D25">
        <w:rPr>
          <w:rFonts w:ascii="Arial" w:hAnsi="Arial" w:cs="Arial"/>
          <w:sz w:val="22"/>
          <w:szCs w:val="22"/>
        </w:rPr>
        <w:t xml:space="preserve"> (</w:t>
      </w:r>
      <w:r w:rsidR="00421C7E" w:rsidRPr="00534D25">
        <w:rPr>
          <w:rFonts w:ascii="Arial" w:hAnsi="Arial" w:cs="Arial"/>
          <w:sz w:val="22"/>
          <w:szCs w:val="22"/>
        </w:rPr>
        <w:t>setenta y siete millones doscientos cuarenta y seis mil cientos treinta y cuatro 00</w:t>
      </w:r>
      <w:r w:rsidR="00391E45" w:rsidRPr="00534D25">
        <w:rPr>
          <w:rFonts w:ascii="Arial" w:hAnsi="Arial" w:cs="Arial"/>
          <w:sz w:val="22"/>
          <w:szCs w:val="22"/>
        </w:rPr>
        <w:t>/100 m. n)</w:t>
      </w:r>
      <w:r w:rsidR="00421C7E" w:rsidRPr="00534D25">
        <w:rPr>
          <w:rFonts w:ascii="Arial" w:hAnsi="Arial" w:cs="Arial"/>
          <w:sz w:val="22"/>
          <w:szCs w:val="22"/>
        </w:rPr>
        <w:t>.</w:t>
      </w:r>
    </w:p>
    <w:p w14:paraId="361F8FA2" w14:textId="1C073000" w:rsidR="00391E45" w:rsidRPr="00534D25" w:rsidRDefault="00CF6B7C" w:rsidP="00421C7E">
      <w:pPr>
        <w:rPr>
          <w:rFonts w:ascii="Arial" w:hAnsi="Arial" w:cs="Arial"/>
          <w:sz w:val="22"/>
          <w:szCs w:val="22"/>
        </w:rPr>
      </w:pPr>
      <w:r w:rsidRPr="00534D25">
        <w:rPr>
          <w:rFonts w:ascii="Arial" w:hAnsi="Arial" w:cs="Arial"/>
          <w:sz w:val="22"/>
          <w:szCs w:val="22"/>
        </w:rPr>
        <w:t>Tomando en consideración todo lo anterior, el gasto ordinario o corriente por capítulos</w:t>
      </w:r>
      <w:r w:rsidR="00DA2258" w:rsidRPr="00534D25">
        <w:rPr>
          <w:rFonts w:ascii="Arial" w:hAnsi="Arial" w:cs="Arial"/>
          <w:sz w:val="22"/>
          <w:szCs w:val="22"/>
        </w:rPr>
        <w:t xml:space="preserve"> </w:t>
      </w:r>
      <w:r w:rsidRPr="00534D25">
        <w:rPr>
          <w:rFonts w:ascii="Arial" w:hAnsi="Arial" w:cs="Arial"/>
          <w:sz w:val="22"/>
          <w:szCs w:val="22"/>
        </w:rPr>
        <w:t>se conforma de la manera siguiente:</w:t>
      </w:r>
    </w:p>
    <w:p w14:paraId="74BE95FD" w14:textId="3C29277F" w:rsidR="00391E45" w:rsidRPr="00EE1BC1" w:rsidRDefault="00EE1BC1" w:rsidP="00EE1BC1">
      <w:pPr>
        <w:spacing w:before="0" w:after="0"/>
        <w:jc w:val="center"/>
        <w:rPr>
          <w:rFonts w:ascii="Arial" w:hAnsi="Arial" w:cs="Arial"/>
          <w:b/>
        </w:rPr>
      </w:pPr>
      <w:r w:rsidRPr="00EE1BC1">
        <w:rPr>
          <w:rFonts w:ascii="Arial" w:hAnsi="Arial" w:cs="Arial"/>
          <w:b/>
        </w:rPr>
        <w:t>Gasto ordinario</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93"/>
        <w:gridCol w:w="4839"/>
        <w:gridCol w:w="2596"/>
      </w:tblGrid>
      <w:tr w:rsidR="00666060" w:rsidRPr="00391E45" w14:paraId="367B1E30" w14:textId="77777777" w:rsidTr="00421C7E">
        <w:tc>
          <w:tcPr>
            <w:tcW w:w="1393" w:type="dxa"/>
            <w:shd w:val="clear" w:color="auto" w:fill="993366"/>
            <w:vAlign w:val="center"/>
          </w:tcPr>
          <w:p w14:paraId="77168685" w14:textId="77777777" w:rsidR="00666060" w:rsidRPr="00391E45" w:rsidRDefault="00666060" w:rsidP="00421C7E">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Capítulo</w:t>
            </w:r>
          </w:p>
        </w:tc>
        <w:tc>
          <w:tcPr>
            <w:tcW w:w="4839" w:type="dxa"/>
            <w:shd w:val="clear" w:color="auto" w:fill="993366"/>
            <w:vAlign w:val="center"/>
          </w:tcPr>
          <w:p w14:paraId="36338119" w14:textId="77777777" w:rsidR="00666060" w:rsidRPr="00391E45" w:rsidRDefault="00666060" w:rsidP="00421C7E">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Descripción</w:t>
            </w:r>
          </w:p>
        </w:tc>
        <w:tc>
          <w:tcPr>
            <w:tcW w:w="2596" w:type="dxa"/>
            <w:shd w:val="clear" w:color="auto" w:fill="993366"/>
            <w:vAlign w:val="center"/>
          </w:tcPr>
          <w:p w14:paraId="70EC5B65" w14:textId="77777777" w:rsidR="00666060" w:rsidRPr="00391E45" w:rsidRDefault="00666060" w:rsidP="00421C7E">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Importe</w:t>
            </w:r>
          </w:p>
        </w:tc>
      </w:tr>
      <w:tr w:rsidR="00666060" w:rsidRPr="00391E45" w14:paraId="03DDEBB0" w14:textId="77777777" w:rsidTr="00421C7E">
        <w:tc>
          <w:tcPr>
            <w:tcW w:w="1393" w:type="dxa"/>
            <w:vMerge w:val="restart"/>
            <w:vAlign w:val="center"/>
          </w:tcPr>
          <w:p w14:paraId="2C41F1E1" w14:textId="77777777" w:rsidR="00666060" w:rsidRPr="00534D25" w:rsidRDefault="00666060" w:rsidP="00421C7E">
            <w:pPr>
              <w:spacing w:before="40" w:after="40"/>
              <w:jc w:val="center"/>
              <w:rPr>
                <w:rFonts w:ascii="Arial" w:hAnsi="Arial" w:cs="Arial"/>
                <w:b/>
                <w:sz w:val="20"/>
                <w:szCs w:val="20"/>
              </w:rPr>
            </w:pPr>
            <w:r w:rsidRPr="00534D25">
              <w:rPr>
                <w:rFonts w:ascii="Arial" w:hAnsi="Arial" w:cs="Arial"/>
                <w:b/>
                <w:sz w:val="20"/>
                <w:szCs w:val="20"/>
              </w:rPr>
              <w:t>1000</w:t>
            </w:r>
          </w:p>
        </w:tc>
        <w:tc>
          <w:tcPr>
            <w:tcW w:w="4839" w:type="dxa"/>
            <w:vAlign w:val="center"/>
          </w:tcPr>
          <w:p w14:paraId="78E9016D" w14:textId="77777777" w:rsidR="00666060" w:rsidRPr="00534D25" w:rsidRDefault="00666060" w:rsidP="00421C7E">
            <w:pPr>
              <w:spacing w:before="40" w:after="40"/>
              <w:rPr>
                <w:rFonts w:ascii="Arial" w:hAnsi="Arial" w:cs="Arial"/>
                <w:b/>
                <w:sz w:val="20"/>
                <w:szCs w:val="20"/>
              </w:rPr>
            </w:pPr>
            <w:r w:rsidRPr="00534D25">
              <w:rPr>
                <w:rFonts w:ascii="Arial" w:hAnsi="Arial" w:cs="Arial"/>
                <w:b/>
                <w:sz w:val="20"/>
                <w:szCs w:val="20"/>
              </w:rPr>
              <w:t>Servicios personales</w:t>
            </w:r>
          </w:p>
        </w:tc>
        <w:tc>
          <w:tcPr>
            <w:tcW w:w="2596" w:type="dxa"/>
          </w:tcPr>
          <w:p w14:paraId="1DE8B7BF" w14:textId="1FAD5700" w:rsidR="00666060" w:rsidRPr="00534D25" w:rsidRDefault="00421C7E" w:rsidP="00421C7E">
            <w:pPr>
              <w:spacing w:before="40" w:after="40"/>
              <w:jc w:val="right"/>
              <w:rPr>
                <w:rFonts w:ascii="Arial" w:hAnsi="Arial" w:cs="Arial"/>
                <w:b/>
                <w:sz w:val="20"/>
                <w:szCs w:val="20"/>
              </w:rPr>
            </w:pPr>
            <w:r w:rsidRPr="00534D25">
              <w:rPr>
                <w:rFonts w:ascii="Arial" w:hAnsi="Arial" w:cs="Arial"/>
                <w:b/>
                <w:sz w:val="20"/>
                <w:szCs w:val="20"/>
              </w:rPr>
              <w:t xml:space="preserve"> $103,844,380</w:t>
            </w:r>
            <w:r w:rsidR="00666060" w:rsidRPr="00534D25">
              <w:rPr>
                <w:rFonts w:ascii="Arial" w:hAnsi="Arial" w:cs="Arial"/>
                <w:b/>
                <w:sz w:val="20"/>
                <w:szCs w:val="20"/>
              </w:rPr>
              <w:t xml:space="preserve">.00 </w:t>
            </w:r>
          </w:p>
        </w:tc>
      </w:tr>
      <w:tr w:rsidR="00666060" w:rsidRPr="00391E45" w14:paraId="366EFFEE" w14:textId="77777777" w:rsidTr="00421C7E">
        <w:tc>
          <w:tcPr>
            <w:tcW w:w="1393" w:type="dxa"/>
            <w:vMerge/>
            <w:vAlign w:val="center"/>
          </w:tcPr>
          <w:p w14:paraId="73A7757C" w14:textId="77777777" w:rsidR="00666060" w:rsidRPr="00534D25" w:rsidRDefault="00666060" w:rsidP="00421C7E">
            <w:pPr>
              <w:spacing w:before="40" w:after="40"/>
              <w:jc w:val="center"/>
              <w:rPr>
                <w:rFonts w:ascii="Arial" w:hAnsi="Arial" w:cs="Arial"/>
                <w:b/>
                <w:sz w:val="20"/>
                <w:szCs w:val="20"/>
              </w:rPr>
            </w:pPr>
          </w:p>
        </w:tc>
        <w:tc>
          <w:tcPr>
            <w:tcW w:w="4839" w:type="dxa"/>
            <w:vAlign w:val="center"/>
          </w:tcPr>
          <w:p w14:paraId="7A52F8E0" w14:textId="1C9E69E5" w:rsidR="00666060" w:rsidRPr="00534D25" w:rsidRDefault="00EE1BC1" w:rsidP="00421C7E">
            <w:pPr>
              <w:spacing w:before="40" w:after="40"/>
              <w:rPr>
                <w:rFonts w:ascii="Arial" w:hAnsi="Arial" w:cs="Arial"/>
                <w:b/>
                <w:sz w:val="20"/>
                <w:szCs w:val="20"/>
              </w:rPr>
            </w:pPr>
            <w:r w:rsidRPr="00534D25">
              <w:rPr>
                <w:rFonts w:ascii="Arial" w:hAnsi="Arial" w:cs="Arial"/>
                <w:b/>
                <w:sz w:val="20"/>
                <w:szCs w:val="20"/>
              </w:rPr>
              <w:t>Aportaciones al ISSET</w:t>
            </w:r>
          </w:p>
        </w:tc>
        <w:tc>
          <w:tcPr>
            <w:tcW w:w="2596" w:type="dxa"/>
          </w:tcPr>
          <w:p w14:paraId="5C2299B1" w14:textId="4DA110C7" w:rsidR="00666060" w:rsidRPr="00534D25" w:rsidRDefault="00421C7E" w:rsidP="00421C7E">
            <w:pPr>
              <w:spacing w:before="40" w:after="40"/>
              <w:jc w:val="right"/>
              <w:rPr>
                <w:rFonts w:ascii="Arial" w:hAnsi="Arial" w:cs="Arial"/>
                <w:b/>
                <w:sz w:val="20"/>
                <w:szCs w:val="20"/>
              </w:rPr>
            </w:pPr>
            <w:r w:rsidRPr="00534D25">
              <w:rPr>
                <w:rFonts w:ascii="Arial" w:hAnsi="Arial" w:cs="Arial"/>
                <w:b/>
                <w:sz w:val="20"/>
                <w:szCs w:val="20"/>
              </w:rPr>
              <w:t xml:space="preserve"> $8,361,147</w:t>
            </w:r>
            <w:r w:rsidR="00666060" w:rsidRPr="00534D25">
              <w:rPr>
                <w:rFonts w:ascii="Arial" w:hAnsi="Arial" w:cs="Arial"/>
                <w:b/>
                <w:sz w:val="20"/>
                <w:szCs w:val="20"/>
              </w:rPr>
              <w:t xml:space="preserve">.00 </w:t>
            </w:r>
          </w:p>
        </w:tc>
      </w:tr>
      <w:tr w:rsidR="00666060" w:rsidRPr="00391E45" w14:paraId="0685123A" w14:textId="77777777" w:rsidTr="00421C7E">
        <w:tc>
          <w:tcPr>
            <w:tcW w:w="1393" w:type="dxa"/>
            <w:vAlign w:val="center"/>
          </w:tcPr>
          <w:p w14:paraId="5B5D2520" w14:textId="77777777" w:rsidR="00666060" w:rsidRPr="00534D25" w:rsidRDefault="00666060" w:rsidP="00421C7E">
            <w:pPr>
              <w:spacing w:before="40" w:after="40"/>
              <w:jc w:val="center"/>
              <w:rPr>
                <w:rFonts w:ascii="Arial" w:hAnsi="Arial" w:cs="Arial"/>
                <w:b/>
                <w:sz w:val="20"/>
                <w:szCs w:val="20"/>
              </w:rPr>
            </w:pPr>
            <w:r w:rsidRPr="00534D25">
              <w:rPr>
                <w:rFonts w:ascii="Arial" w:hAnsi="Arial" w:cs="Arial"/>
                <w:b/>
                <w:sz w:val="20"/>
                <w:szCs w:val="20"/>
              </w:rPr>
              <w:t>2000</w:t>
            </w:r>
          </w:p>
        </w:tc>
        <w:tc>
          <w:tcPr>
            <w:tcW w:w="4839" w:type="dxa"/>
            <w:vAlign w:val="center"/>
          </w:tcPr>
          <w:p w14:paraId="1F662A66" w14:textId="77777777" w:rsidR="00666060" w:rsidRPr="00534D25" w:rsidRDefault="00666060" w:rsidP="00421C7E">
            <w:pPr>
              <w:spacing w:before="40" w:after="40"/>
              <w:rPr>
                <w:rFonts w:ascii="Arial" w:hAnsi="Arial" w:cs="Arial"/>
                <w:b/>
                <w:sz w:val="20"/>
                <w:szCs w:val="20"/>
              </w:rPr>
            </w:pPr>
            <w:r w:rsidRPr="00534D25">
              <w:rPr>
                <w:rFonts w:ascii="Arial" w:hAnsi="Arial" w:cs="Arial"/>
                <w:b/>
                <w:sz w:val="20"/>
                <w:szCs w:val="20"/>
              </w:rPr>
              <w:t>Materiales y suministros</w:t>
            </w:r>
          </w:p>
        </w:tc>
        <w:tc>
          <w:tcPr>
            <w:tcW w:w="2596" w:type="dxa"/>
          </w:tcPr>
          <w:p w14:paraId="2D754281" w14:textId="3A1BECA0" w:rsidR="00666060" w:rsidRPr="00534D25" w:rsidRDefault="00421C7E" w:rsidP="00421C7E">
            <w:pPr>
              <w:spacing w:before="40" w:after="40"/>
              <w:jc w:val="right"/>
              <w:rPr>
                <w:rFonts w:ascii="Arial" w:hAnsi="Arial" w:cs="Arial"/>
                <w:b/>
                <w:sz w:val="20"/>
                <w:szCs w:val="20"/>
              </w:rPr>
            </w:pPr>
            <w:r w:rsidRPr="00534D25">
              <w:rPr>
                <w:rFonts w:ascii="Arial" w:hAnsi="Arial" w:cs="Arial"/>
                <w:b/>
                <w:sz w:val="20"/>
                <w:szCs w:val="20"/>
              </w:rPr>
              <w:t xml:space="preserve"> $6,392,532</w:t>
            </w:r>
            <w:r w:rsidR="00666060" w:rsidRPr="00534D25">
              <w:rPr>
                <w:rFonts w:ascii="Arial" w:hAnsi="Arial" w:cs="Arial"/>
                <w:b/>
                <w:sz w:val="20"/>
                <w:szCs w:val="20"/>
              </w:rPr>
              <w:t xml:space="preserve">.00 </w:t>
            </w:r>
          </w:p>
        </w:tc>
      </w:tr>
      <w:tr w:rsidR="00666060" w:rsidRPr="00391E45" w14:paraId="126E92F5" w14:textId="77777777" w:rsidTr="00421C7E">
        <w:tc>
          <w:tcPr>
            <w:tcW w:w="1393" w:type="dxa"/>
            <w:vMerge w:val="restart"/>
            <w:vAlign w:val="center"/>
          </w:tcPr>
          <w:p w14:paraId="3A18F9DC" w14:textId="77777777" w:rsidR="00666060" w:rsidRPr="00534D25" w:rsidRDefault="00666060" w:rsidP="00421C7E">
            <w:pPr>
              <w:spacing w:before="40" w:after="40"/>
              <w:jc w:val="center"/>
              <w:rPr>
                <w:rFonts w:ascii="Arial" w:hAnsi="Arial" w:cs="Arial"/>
                <w:b/>
                <w:sz w:val="20"/>
                <w:szCs w:val="20"/>
              </w:rPr>
            </w:pPr>
            <w:r w:rsidRPr="00534D25">
              <w:rPr>
                <w:rFonts w:ascii="Arial" w:hAnsi="Arial" w:cs="Arial"/>
                <w:b/>
                <w:sz w:val="20"/>
                <w:szCs w:val="20"/>
              </w:rPr>
              <w:t>3000</w:t>
            </w:r>
          </w:p>
        </w:tc>
        <w:tc>
          <w:tcPr>
            <w:tcW w:w="4839" w:type="dxa"/>
            <w:vAlign w:val="center"/>
          </w:tcPr>
          <w:p w14:paraId="6B364F00" w14:textId="77777777" w:rsidR="00666060" w:rsidRPr="00534D25" w:rsidRDefault="00666060" w:rsidP="00421C7E">
            <w:pPr>
              <w:spacing w:before="40" w:after="40"/>
              <w:rPr>
                <w:rFonts w:ascii="Arial" w:hAnsi="Arial" w:cs="Arial"/>
                <w:b/>
                <w:sz w:val="20"/>
                <w:szCs w:val="20"/>
              </w:rPr>
            </w:pPr>
            <w:r w:rsidRPr="00534D25">
              <w:rPr>
                <w:rFonts w:ascii="Arial" w:hAnsi="Arial" w:cs="Arial"/>
                <w:b/>
                <w:sz w:val="20"/>
                <w:szCs w:val="20"/>
              </w:rPr>
              <w:t>Servicios generales</w:t>
            </w:r>
          </w:p>
        </w:tc>
        <w:tc>
          <w:tcPr>
            <w:tcW w:w="2596" w:type="dxa"/>
          </w:tcPr>
          <w:p w14:paraId="1D81AA4A" w14:textId="0DEFBE4C" w:rsidR="00666060" w:rsidRPr="00534D25" w:rsidRDefault="00666060" w:rsidP="00421C7E">
            <w:pPr>
              <w:spacing w:before="40" w:after="40"/>
              <w:jc w:val="right"/>
              <w:rPr>
                <w:rFonts w:ascii="Arial" w:hAnsi="Arial" w:cs="Arial"/>
                <w:b/>
                <w:sz w:val="20"/>
                <w:szCs w:val="20"/>
              </w:rPr>
            </w:pPr>
            <w:r w:rsidRPr="00534D25">
              <w:rPr>
                <w:rFonts w:ascii="Arial" w:hAnsi="Arial" w:cs="Arial"/>
                <w:b/>
                <w:sz w:val="20"/>
                <w:szCs w:val="20"/>
              </w:rPr>
              <w:t xml:space="preserve"> $</w:t>
            </w:r>
            <w:r w:rsidR="00421C7E" w:rsidRPr="00534D25">
              <w:rPr>
                <w:rFonts w:ascii="Arial" w:hAnsi="Arial" w:cs="Arial"/>
                <w:b/>
                <w:sz w:val="20"/>
                <w:szCs w:val="20"/>
              </w:rPr>
              <w:t>28,125,433</w:t>
            </w:r>
            <w:r w:rsidRPr="00534D25">
              <w:rPr>
                <w:rFonts w:ascii="Arial" w:hAnsi="Arial" w:cs="Arial"/>
                <w:b/>
                <w:sz w:val="20"/>
                <w:szCs w:val="20"/>
              </w:rPr>
              <w:t xml:space="preserve">.00 </w:t>
            </w:r>
          </w:p>
        </w:tc>
      </w:tr>
      <w:tr w:rsidR="00666060" w:rsidRPr="00391E45" w14:paraId="47D7F247" w14:textId="77777777" w:rsidTr="00421C7E">
        <w:tc>
          <w:tcPr>
            <w:tcW w:w="1393" w:type="dxa"/>
            <w:vMerge/>
            <w:vAlign w:val="center"/>
          </w:tcPr>
          <w:p w14:paraId="37086BB7" w14:textId="77777777" w:rsidR="00666060" w:rsidRPr="00534D25" w:rsidRDefault="00666060" w:rsidP="00421C7E">
            <w:pPr>
              <w:spacing w:before="40" w:after="40"/>
              <w:jc w:val="center"/>
              <w:rPr>
                <w:rFonts w:ascii="Arial" w:hAnsi="Arial" w:cs="Arial"/>
                <w:b/>
                <w:sz w:val="20"/>
                <w:szCs w:val="20"/>
              </w:rPr>
            </w:pPr>
          </w:p>
        </w:tc>
        <w:tc>
          <w:tcPr>
            <w:tcW w:w="4839" w:type="dxa"/>
            <w:vAlign w:val="center"/>
          </w:tcPr>
          <w:p w14:paraId="5919137C" w14:textId="77777777" w:rsidR="00666060" w:rsidRPr="00534D25" w:rsidRDefault="00666060" w:rsidP="00421C7E">
            <w:pPr>
              <w:spacing w:before="40" w:after="40"/>
              <w:rPr>
                <w:rFonts w:ascii="Arial" w:hAnsi="Arial" w:cs="Arial"/>
                <w:b/>
                <w:sz w:val="20"/>
                <w:szCs w:val="20"/>
              </w:rPr>
            </w:pPr>
            <w:r w:rsidRPr="00534D25">
              <w:rPr>
                <w:rFonts w:ascii="Arial" w:hAnsi="Arial" w:cs="Arial"/>
                <w:b/>
                <w:sz w:val="20"/>
                <w:szCs w:val="20"/>
              </w:rPr>
              <w:t>Impuesto Sobre Nómina</w:t>
            </w:r>
          </w:p>
        </w:tc>
        <w:tc>
          <w:tcPr>
            <w:tcW w:w="2596" w:type="dxa"/>
          </w:tcPr>
          <w:p w14:paraId="320D6B3E" w14:textId="4DB0D936" w:rsidR="00666060" w:rsidRPr="00534D25" w:rsidRDefault="00666060" w:rsidP="00421C7E">
            <w:pPr>
              <w:spacing w:before="40" w:after="40"/>
              <w:jc w:val="right"/>
              <w:rPr>
                <w:rFonts w:ascii="Arial" w:hAnsi="Arial" w:cs="Arial"/>
                <w:b/>
                <w:sz w:val="20"/>
                <w:szCs w:val="20"/>
              </w:rPr>
            </w:pPr>
            <w:r w:rsidRPr="00534D25">
              <w:rPr>
                <w:rFonts w:ascii="Arial" w:hAnsi="Arial" w:cs="Arial"/>
                <w:b/>
                <w:sz w:val="20"/>
                <w:szCs w:val="20"/>
              </w:rPr>
              <w:t xml:space="preserve"> $</w:t>
            </w:r>
            <w:r w:rsidR="00421C7E" w:rsidRPr="00534D25">
              <w:rPr>
                <w:rFonts w:ascii="Arial" w:hAnsi="Arial" w:cs="Arial"/>
                <w:b/>
                <w:sz w:val="20"/>
                <w:szCs w:val="20"/>
              </w:rPr>
              <w:t>3,115,332</w:t>
            </w:r>
            <w:r w:rsidRPr="00534D25">
              <w:rPr>
                <w:rFonts w:ascii="Arial" w:hAnsi="Arial" w:cs="Arial"/>
                <w:b/>
                <w:sz w:val="20"/>
                <w:szCs w:val="20"/>
              </w:rPr>
              <w:t xml:space="preserve">.00 </w:t>
            </w:r>
          </w:p>
        </w:tc>
      </w:tr>
      <w:tr w:rsidR="00666060" w:rsidRPr="00391E45" w14:paraId="1BE9A87F" w14:textId="77777777" w:rsidTr="00421C7E">
        <w:tc>
          <w:tcPr>
            <w:tcW w:w="1393" w:type="dxa"/>
            <w:vAlign w:val="center"/>
          </w:tcPr>
          <w:p w14:paraId="427675F2" w14:textId="77777777" w:rsidR="00666060" w:rsidRPr="00534D25" w:rsidRDefault="00666060" w:rsidP="00421C7E">
            <w:pPr>
              <w:spacing w:before="40" w:after="40"/>
              <w:jc w:val="center"/>
              <w:rPr>
                <w:rFonts w:ascii="Arial" w:hAnsi="Arial" w:cs="Arial"/>
                <w:b/>
                <w:sz w:val="20"/>
                <w:szCs w:val="20"/>
              </w:rPr>
            </w:pPr>
            <w:r w:rsidRPr="00534D25">
              <w:rPr>
                <w:rFonts w:ascii="Arial" w:hAnsi="Arial" w:cs="Arial"/>
                <w:b/>
                <w:sz w:val="20"/>
                <w:szCs w:val="20"/>
              </w:rPr>
              <w:t>4000</w:t>
            </w:r>
          </w:p>
        </w:tc>
        <w:tc>
          <w:tcPr>
            <w:tcW w:w="4839" w:type="dxa"/>
            <w:vAlign w:val="center"/>
          </w:tcPr>
          <w:p w14:paraId="55978AD2" w14:textId="77777777" w:rsidR="00666060" w:rsidRPr="00534D25" w:rsidRDefault="00666060" w:rsidP="00421C7E">
            <w:pPr>
              <w:spacing w:before="40" w:after="40"/>
              <w:rPr>
                <w:rFonts w:ascii="Arial" w:hAnsi="Arial" w:cs="Arial"/>
                <w:b/>
                <w:sz w:val="20"/>
                <w:szCs w:val="20"/>
              </w:rPr>
            </w:pPr>
            <w:r w:rsidRPr="00534D25">
              <w:rPr>
                <w:rFonts w:ascii="Arial" w:hAnsi="Arial" w:cs="Arial"/>
                <w:b/>
                <w:sz w:val="20"/>
                <w:szCs w:val="20"/>
              </w:rPr>
              <w:t>Financiamiento a partidos políticos</w:t>
            </w:r>
          </w:p>
        </w:tc>
        <w:tc>
          <w:tcPr>
            <w:tcW w:w="2596" w:type="dxa"/>
          </w:tcPr>
          <w:p w14:paraId="31B58630" w14:textId="1B0AD128" w:rsidR="00666060" w:rsidRPr="00534D25" w:rsidRDefault="00666060" w:rsidP="00421C7E">
            <w:pPr>
              <w:spacing w:before="40" w:after="40"/>
              <w:jc w:val="right"/>
              <w:rPr>
                <w:rFonts w:ascii="Arial" w:hAnsi="Arial" w:cs="Arial"/>
                <w:b/>
                <w:sz w:val="20"/>
                <w:szCs w:val="20"/>
              </w:rPr>
            </w:pPr>
            <w:r w:rsidRPr="00534D25">
              <w:rPr>
                <w:rFonts w:ascii="Arial" w:hAnsi="Arial" w:cs="Arial"/>
                <w:b/>
                <w:sz w:val="20"/>
                <w:szCs w:val="20"/>
              </w:rPr>
              <w:t xml:space="preserve"> $</w:t>
            </w:r>
            <w:r w:rsidR="00421C7E" w:rsidRPr="00534D25">
              <w:rPr>
                <w:rFonts w:ascii="Arial" w:hAnsi="Arial" w:cs="Arial"/>
                <w:b/>
                <w:sz w:val="20"/>
                <w:szCs w:val="20"/>
              </w:rPr>
              <w:t>77,246,134</w:t>
            </w:r>
            <w:r w:rsidRPr="00534D25">
              <w:rPr>
                <w:rFonts w:ascii="Arial" w:hAnsi="Arial" w:cs="Arial"/>
                <w:b/>
                <w:sz w:val="20"/>
                <w:szCs w:val="20"/>
              </w:rPr>
              <w:t xml:space="preserve">.00 </w:t>
            </w:r>
          </w:p>
        </w:tc>
      </w:tr>
      <w:tr w:rsidR="00666060" w:rsidRPr="00391E45" w14:paraId="1B568FF5" w14:textId="77777777" w:rsidTr="00421C7E">
        <w:tc>
          <w:tcPr>
            <w:tcW w:w="1393" w:type="dxa"/>
            <w:tcBorders>
              <w:bottom w:val="single" w:sz="4" w:space="0" w:color="A6A6A6" w:themeColor="background1" w:themeShade="A6"/>
            </w:tcBorders>
            <w:vAlign w:val="center"/>
          </w:tcPr>
          <w:p w14:paraId="6DF1C76E" w14:textId="77777777" w:rsidR="00666060" w:rsidRPr="00534D25" w:rsidRDefault="00666060" w:rsidP="00421C7E">
            <w:pPr>
              <w:spacing w:before="40" w:after="40"/>
              <w:jc w:val="center"/>
              <w:rPr>
                <w:rFonts w:ascii="Arial" w:hAnsi="Arial" w:cs="Arial"/>
                <w:b/>
                <w:sz w:val="20"/>
                <w:szCs w:val="20"/>
              </w:rPr>
            </w:pPr>
            <w:r w:rsidRPr="00534D25">
              <w:rPr>
                <w:rFonts w:ascii="Arial" w:hAnsi="Arial" w:cs="Arial"/>
                <w:b/>
                <w:sz w:val="20"/>
                <w:szCs w:val="20"/>
              </w:rPr>
              <w:t>5000</w:t>
            </w:r>
          </w:p>
        </w:tc>
        <w:tc>
          <w:tcPr>
            <w:tcW w:w="4839" w:type="dxa"/>
            <w:tcBorders>
              <w:bottom w:val="single" w:sz="4" w:space="0" w:color="A6A6A6" w:themeColor="background1" w:themeShade="A6"/>
            </w:tcBorders>
            <w:vAlign w:val="center"/>
          </w:tcPr>
          <w:p w14:paraId="6F7CC91C" w14:textId="2227B105" w:rsidR="00666060" w:rsidRPr="00534D25" w:rsidRDefault="00421C7E" w:rsidP="00421C7E">
            <w:pPr>
              <w:spacing w:before="40" w:after="40"/>
              <w:rPr>
                <w:rFonts w:ascii="Arial" w:hAnsi="Arial" w:cs="Arial"/>
                <w:b/>
                <w:sz w:val="20"/>
                <w:szCs w:val="20"/>
              </w:rPr>
            </w:pPr>
            <w:r w:rsidRPr="00534D25">
              <w:rPr>
                <w:rFonts w:ascii="Arial" w:hAnsi="Arial" w:cs="Arial"/>
                <w:b/>
                <w:sz w:val="20"/>
                <w:szCs w:val="20"/>
              </w:rPr>
              <w:t>Bienes muebles e inmuebles</w:t>
            </w:r>
          </w:p>
        </w:tc>
        <w:tc>
          <w:tcPr>
            <w:tcW w:w="2596" w:type="dxa"/>
            <w:tcBorders>
              <w:bottom w:val="single" w:sz="4" w:space="0" w:color="A6A6A6" w:themeColor="background1" w:themeShade="A6"/>
            </w:tcBorders>
          </w:tcPr>
          <w:p w14:paraId="213C24A5" w14:textId="4F41D814" w:rsidR="00666060" w:rsidRPr="00534D25" w:rsidRDefault="00421C7E" w:rsidP="00421C7E">
            <w:pPr>
              <w:spacing w:before="40" w:after="40"/>
              <w:jc w:val="right"/>
              <w:rPr>
                <w:rFonts w:ascii="Arial" w:hAnsi="Arial" w:cs="Arial"/>
                <w:b/>
                <w:sz w:val="20"/>
                <w:szCs w:val="20"/>
              </w:rPr>
            </w:pPr>
            <w:r w:rsidRPr="00534D25">
              <w:rPr>
                <w:rFonts w:ascii="Arial" w:hAnsi="Arial" w:cs="Arial"/>
                <w:b/>
                <w:sz w:val="20"/>
                <w:szCs w:val="20"/>
              </w:rPr>
              <w:t xml:space="preserve"> $9</w:t>
            </w:r>
            <w:r w:rsidR="00DA2258" w:rsidRPr="00534D25">
              <w:rPr>
                <w:rFonts w:ascii="Arial" w:hAnsi="Arial" w:cs="Arial"/>
                <w:b/>
                <w:sz w:val="20"/>
                <w:szCs w:val="20"/>
              </w:rPr>
              <w:t>,</w:t>
            </w:r>
            <w:r w:rsidRPr="00534D25">
              <w:rPr>
                <w:rFonts w:ascii="Arial" w:hAnsi="Arial" w:cs="Arial"/>
                <w:b/>
                <w:sz w:val="20"/>
                <w:szCs w:val="20"/>
              </w:rPr>
              <w:t>219,692</w:t>
            </w:r>
            <w:r w:rsidR="00666060" w:rsidRPr="00534D25">
              <w:rPr>
                <w:rFonts w:ascii="Arial" w:hAnsi="Arial" w:cs="Arial"/>
                <w:b/>
                <w:sz w:val="20"/>
                <w:szCs w:val="20"/>
              </w:rPr>
              <w:t xml:space="preserve">.00 </w:t>
            </w:r>
          </w:p>
        </w:tc>
      </w:tr>
      <w:tr w:rsidR="00666060" w:rsidRPr="00391E45" w14:paraId="30C939A4" w14:textId="77777777" w:rsidTr="00421C7E">
        <w:tc>
          <w:tcPr>
            <w:tcW w:w="1393"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D5E74" w14:textId="5B472B67" w:rsidR="00666060" w:rsidRPr="00534D25" w:rsidRDefault="00421C7E" w:rsidP="00421C7E">
            <w:pPr>
              <w:spacing w:before="40" w:after="40"/>
              <w:jc w:val="center"/>
              <w:rPr>
                <w:rFonts w:ascii="Arial" w:hAnsi="Arial" w:cs="Arial"/>
                <w:b/>
                <w:sz w:val="20"/>
                <w:szCs w:val="20"/>
              </w:rPr>
            </w:pPr>
            <w:r w:rsidRPr="00534D25">
              <w:rPr>
                <w:rFonts w:ascii="Arial" w:hAnsi="Arial" w:cs="Arial"/>
                <w:b/>
                <w:sz w:val="20"/>
                <w:szCs w:val="20"/>
              </w:rPr>
              <w:t>8</w:t>
            </w:r>
            <w:r w:rsidR="00666060" w:rsidRPr="00534D25">
              <w:rPr>
                <w:rFonts w:ascii="Arial" w:hAnsi="Arial" w:cs="Arial"/>
                <w:b/>
                <w:sz w:val="20"/>
                <w:szCs w:val="20"/>
              </w:rPr>
              <w:t>000</w:t>
            </w:r>
          </w:p>
        </w:tc>
        <w:tc>
          <w:tcPr>
            <w:tcW w:w="4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7D67AC" w14:textId="1D3F62C5" w:rsidR="00666060" w:rsidRPr="00534D25" w:rsidRDefault="00421C7E" w:rsidP="00421C7E">
            <w:pPr>
              <w:spacing w:before="40" w:after="40"/>
              <w:rPr>
                <w:rFonts w:ascii="Arial" w:hAnsi="Arial" w:cs="Arial"/>
                <w:b/>
                <w:sz w:val="20"/>
                <w:szCs w:val="20"/>
              </w:rPr>
            </w:pPr>
            <w:r w:rsidRPr="00534D25">
              <w:rPr>
                <w:rFonts w:ascii="Arial" w:hAnsi="Arial" w:cs="Arial"/>
                <w:b/>
                <w:sz w:val="20"/>
                <w:szCs w:val="20"/>
              </w:rPr>
              <w:t>Participaciones y Aportaciones</w:t>
            </w:r>
          </w:p>
        </w:tc>
        <w:tc>
          <w:tcPr>
            <w:tcW w:w="259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2FF2207" w14:textId="55091FA2" w:rsidR="00666060" w:rsidRPr="00534D25" w:rsidRDefault="00666060" w:rsidP="00421C7E">
            <w:pPr>
              <w:spacing w:before="40" w:after="40"/>
              <w:jc w:val="right"/>
              <w:rPr>
                <w:rFonts w:ascii="Arial" w:hAnsi="Arial" w:cs="Arial"/>
                <w:b/>
                <w:sz w:val="20"/>
                <w:szCs w:val="20"/>
              </w:rPr>
            </w:pPr>
            <w:r w:rsidRPr="00534D25">
              <w:rPr>
                <w:rFonts w:ascii="Arial" w:hAnsi="Arial" w:cs="Arial"/>
                <w:b/>
                <w:sz w:val="20"/>
                <w:szCs w:val="20"/>
              </w:rPr>
              <w:t xml:space="preserve"> $</w:t>
            </w:r>
            <w:r w:rsidR="00421C7E" w:rsidRPr="00534D25">
              <w:rPr>
                <w:rFonts w:ascii="Arial" w:hAnsi="Arial" w:cs="Arial"/>
                <w:b/>
                <w:sz w:val="20"/>
                <w:szCs w:val="20"/>
              </w:rPr>
              <w:t>500,000</w:t>
            </w:r>
            <w:r w:rsidRPr="00534D25">
              <w:rPr>
                <w:rFonts w:ascii="Arial" w:hAnsi="Arial" w:cs="Arial"/>
                <w:b/>
                <w:sz w:val="20"/>
                <w:szCs w:val="20"/>
              </w:rPr>
              <w:t xml:space="preserve">.00 </w:t>
            </w:r>
          </w:p>
        </w:tc>
      </w:tr>
      <w:tr w:rsidR="00666060" w:rsidRPr="00391E45" w14:paraId="0459DB45" w14:textId="77777777" w:rsidTr="00421C7E">
        <w:tc>
          <w:tcPr>
            <w:tcW w:w="6232" w:type="dxa"/>
            <w:gridSpan w:val="2"/>
            <w:tcBorders>
              <w:top w:val="single" w:sz="4" w:space="0" w:color="A6A6A6" w:themeColor="background1" w:themeShade="A6"/>
              <w:left w:val="nil"/>
              <w:bottom w:val="nil"/>
              <w:right w:val="single" w:sz="4" w:space="0" w:color="A6A6A6" w:themeColor="background1" w:themeShade="A6"/>
            </w:tcBorders>
            <w:vAlign w:val="center"/>
          </w:tcPr>
          <w:p w14:paraId="32B50CEA" w14:textId="77777777" w:rsidR="00666060" w:rsidRPr="00534D25" w:rsidRDefault="00666060" w:rsidP="00421C7E">
            <w:pPr>
              <w:spacing w:before="40" w:after="40"/>
              <w:jc w:val="right"/>
              <w:rPr>
                <w:rFonts w:ascii="Arial" w:hAnsi="Arial" w:cs="Arial"/>
                <w:b/>
                <w:sz w:val="20"/>
                <w:szCs w:val="20"/>
              </w:rPr>
            </w:pPr>
            <w:r w:rsidRPr="00534D25">
              <w:rPr>
                <w:rFonts w:ascii="Arial" w:hAnsi="Arial" w:cs="Arial"/>
                <w:b/>
                <w:sz w:val="20"/>
                <w:szCs w:val="20"/>
              </w:rPr>
              <w:t>Total</w:t>
            </w:r>
          </w:p>
        </w:tc>
        <w:tc>
          <w:tcPr>
            <w:tcW w:w="2596"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6BD39A8" w14:textId="75D00892" w:rsidR="00666060" w:rsidRPr="00534D25" w:rsidRDefault="00421C7E" w:rsidP="00421C7E">
            <w:pPr>
              <w:spacing w:before="40" w:after="40"/>
              <w:jc w:val="right"/>
              <w:rPr>
                <w:rFonts w:ascii="Arial" w:hAnsi="Arial" w:cs="Arial"/>
                <w:b/>
                <w:sz w:val="20"/>
                <w:szCs w:val="20"/>
              </w:rPr>
            </w:pPr>
            <w:r w:rsidRPr="00534D25">
              <w:rPr>
                <w:rFonts w:ascii="Arial" w:hAnsi="Arial" w:cs="Arial"/>
                <w:b/>
                <w:sz w:val="20"/>
                <w:szCs w:val="20"/>
              </w:rPr>
              <w:t>$23</w:t>
            </w:r>
            <w:r w:rsidR="00E20D1B" w:rsidRPr="00534D25">
              <w:rPr>
                <w:rFonts w:ascii="Arial" w:hAnsi="Arial" w:cs="Arial"/>
                <w:b/>
                <w:sz w:val="20"/>
                <w:szCs w:val="20"/>
              </w:rPr>
              <w:t>6</w:t>
            </w:r>
            <w:r w:rsidR="00666060" w:rsidRPr="00534D25">
              <w:rPr>
                <w:rFonts w:ascii="Arial" w:hAnsi="Arial" w:cs="Arial"/>
                <w:b/>
                <w:sz w:val="20"/>
                <w:szCs w:val="20"/>
              </w:rPr>
              <w:t>,</w:t>
            </w:r>
            <w:r w:rsidRPr="00534D25">
              <w:rPr>
                <w:rFonts w:ascii="Arial" w:hAnsi="Arial" w:cs="Arial"/>
                <w:b/>
                <w:sz w:val="20"/>
                <w:szCs w:val="20"/>
              </w:rPr>
              <w:t>804,650</w:t>
            </w:r>
            <w:r w:rsidR="00666060" w:rsidRPr="00534D25">
              <w:rPr>
                <w:rFonts w:ascii="Arial" w:hAnsi="Arial" w:cs="Arial"/>
                <w:b/>
                <w:sz w:val="20"/>
                <w:szCs w:val="20"/>
              </w:rPr>
              <w:t>.00</w:t>
            </w:r>
          </w:p>
        </w:tc>
      </w:tr>
    </w:tbl>
    <w:p w14:paraId="063D9580" w14:textId="21E0463E" w:rsidR="00666060" w:rsidRPr="00534D25" w:rsidRDefault="00666060" w:rsidP="00666060">
      <w:pPr>
        <w:rPr>
          <w:rFonts w:ascii="Arial" w:hAnsi="Arial" w:cs="Arial"/>
          <w:sz w:val="22"/>
          <w:szCs w:val="22"/>
        </w:rPr>
      </w:pPr>
      <w:r w:rsidRPr="00534D25">
        <w:rPr>
          <w:rFonts w:ascii="Arial" w:hAnsi="Arial" w:cs="Arial"/>
          <w:sz w:val="22"/>
          <w:szCs w:val="22"/>
        </w:rPr>
        <w:lastRenderedPageBreak/>
        <w:t xml:space="preserve">Asimismo, de conformidad con los artículos 14 y 15 de la Ley de Remuneraciones, </w:t>
      </w:r>
      <w:r w:rsidR="00421C7E" w:rsidRPr="00534D25">
        <w:rPr>
          <w:rFonts w:ascii="Arial" w:hAnsi="Arial" w:cs="Arial"/>
          <w:sz w:val="22"/>
          <w:szCs w:val="22"/>
        </w:rPr>
        <w:t>se agrega</w:t>
      </w:r>
      <w:r w:rsidR="00DA2258" w:rsidRPr="00534D25">
        <w:rPr>
          <w:rFonts w:ascii="Arial" w:hAnsi="Arial" w:cs="Arial"/>
          <w:sz w:val="22"/>
          <w:szCs w:val="22"/>
        </w:rPr>
        <w:t>,</w:t>
      </w:r>
      <w:r w:rsidRPr="00534D25">
        <w:rPr>
          <w:rFonts w:ascii="Arial" w:hAnsi="Arial" w:cs="Arial"/>
          <w:sz w:val="22"/>
          <w:szCs w:val="22"/>
        </w:rPr>
        <w:t xml:space="preserve"> al </w:t>
      </w:r>
      <w:r w:rsidR="00DA2258" w:rsidRPr="00534D25">
        <w:rPr>
          <w:rFonts w:ascii="Arial" w:hAnsi="Arial" w:cs="Arial"/>
          <w:sz w:val="22"/>
          <w:szCs w:val="22"/>
        </w:rPr>
        <w:t>Anteproyecto de Presupuesto de Egresos</w:t>
      </w:r>
      <w:r w:rsidRPr="00534D25">
        <w:rPr>
          <w:rFonts w:ascii="Arial" w:hAnsi="Arial" w:cs="Arial"/>
          <w:sz w:val="22"/>
          <w:szCs w:val="22"/>
        </w:rPr>
        <w:t>, el Tabulador de Sueldos para los efectos legales correspondientes.</w:t>
      </w:r>
    </w:p>
    <w:p w14:paraId="24E7F027" w14:textId="29C82689" w:rsidR="00CF6B7C" w:rsidRPr="00534D25" w:rsidRDefault="00CF6B7C" w:rsidP="00666060">
      <w:pPr>
        <w:rPr>
          <w:rFonts w:ascii="Arial" w:hAnsi="Arial" w:cs="Arial"/>
          <w:b/>
          <w:sz w:val="22"/>
          <w:szCs w:val="22"/>
        </w:rPr>
      </w:pPr>
      <w:r w:rsidRPr="00534D25">
        <w:rPr>
          <w:rFonts w:ascii="Arial" w:hAnsi="Arial" w:cs="Arial"/>
          <w:b/>
          <w:sz w:val="22"/>
          <w:szCs w:val="22"/>
        </w:rPr>
        <w:t>b) Gasto Electoral</w:t>
      </w:r>
    </w:p>
    <w:p w14:paraId="032FF9F6" w14:textId="5D317470" w:rsidR="00CF6B7C" w:rsidRPr="00265D45" w:rsidRDefault="00CF6B7C" w:rsidP="00666060">
      <w:pPr>
        <w:rPr>
          <w:rFonts w:ascii="Arial" w:hAnsi="Arial" w:cs="Arial"/>
          <w:sz w:val="24"/>
          <w:szCs w:val="24"/>
        </w:rPr>
      </w:pPr>
      <w:r w:rsidRPr="00534D25">
        <w:rPr>
          <w:rFonts w:ascii="Arial" w:hAnsi="Arial" w:cs="Arial"/>
          <w:sz w:val="22"/>
          <w:szCs w:val="22"/>
        </w:rPr>
        <w:t xml:space="preserve">Por otra parte, </w:t>
      </w:r>
      <w:r w:rsidR="008D315E" w:rsidRPr="00534D25">
        <w:rPr>
          <w:rFonts w:ascii="Arial" w:hAnsi="Arial" w:cs="Arial"/>
          <w:sz w:val="22"/>
          <w:szCs w:val="22"/>
        </w:rPr>
        <w:t>también se incluye al anteproyecto referido,</w:t>
      </w:r>
      <w:r w:rsidRPr="00534D25">
        <w:rPr>
          <w:rFonts w:ascii="Arial" w:hAnsi="Arial" w:cs="Arial"/>
          <w:sz w:val="22"/>
          <w:szCs w:val="22"/>
        </w:rPr>
        <w:t xml:space="preserve"> </w:t>
      </w:r>
      <w:r w:rsidR="008D315E" w:rsidRPr="00534D25">
        <w:rPr>
          <w:rFonts w:ascii="Arial" w:hAnsi="Arial" w:cs="Arial"/>
          <w:sz w:val="22"/>
          <w:szCs w:val="22"/>
        </w:rPr>
        <w:t>el</w:t>
      </w:r>
      <w:r w:rsidRPr="00534D25">
        <w:rPr>
          <w:rFonts w:ascii="Arial" w:hAnsi="Arial" w:cs="Arial"/>
          <w:sz w:val="22"/>
          <w:szCs w:val="22"/>
        </w:rPr>
        <w:t xml:space="preserve"> gasto operativo electoral por la cantidad de $</w:t>
      </w:r>
      <w:r w:rsidR="00EE1BC1" w:rsidRPr="00534D25">
        <w:rPr>
          <w:rFonts w:ascii="Arial" w:hAnsi="Arial" w:cs="Arial"/>
          <w:sz w:val="22"/>
          <w:szCs w:val="22"/>
        </w:rPr>
        <w:t>84,732,378</w:t>
      </w:r>
      <w:r w:rsidR="00053B09" w:rsidRPr="00534D25">
        <w:rPr>
          <w:rFonts w:ascii="Arial" w:hAnsi="Arial" w:cs="Arial"/>
          <w:sz w:val="22"/>
          <w:szCs w:val="22"/>
        </w:rPr>
        <w:t>.00</w:t>
      </w:r>
      <w:r w:rsidRPr="00534D25">
        <w:rPr>
          <w:rFonts w:ascii="Arial" w:hAnsi="Arial" w:cs="Arial"/>
          <w:sz w:val="22"/>
          <w:szCs w:val="22"/>
        </w:rPr>
        <w:t xml:space="preserve"> (</w:t>
      </w:r>
      <w:r w:rsidR="00053B09" w:rsidRPr="00534D25">
        <w:rPr>
          <w:rFonts w:ascii="Arial" w:hAnsi="Arial" w:cs="Arial"/>
          <w:sz w:val="22"/>
          <w:szCs w:val="22"/>
        </w:rPr>
        <w:t>ochenta y cuatro mil</w:t>
      </w:r>
      <w:r w:rsidR="008D3E6E" w:rsidRPr="00534D25">
        <w:rPr>
          <w:rFonts w:ascii="Arial" w:hAnsi="Arial" w:cs="Arial"/>
          <w:sz w:val="22"/>
          <w:szCs w:val="22"/>
        </w:rPr>
        <w:t>lones</w:t>
      </w:r>
      <w:r w:rsidR="00053B09" w:rsidRPr="00534D25">
        <w:rPr>
          <w:rFonts w:ascii="Arial" w:hAnsi="Arial" w:cs="Arial"/>
          <w:sz w:val="22"/>
          <w:szCs w:val="22"/>
        </w:rPr>
        <w:t xml:space="preserve"> setecientos treinta y dos mil trecientos setenta y ocho pesos</w:t>
      </w:r>
      <w:r w:rsidRPr="00534D25">
        <w:rPr>
          <w:rFonts w:ascii="Arial" w:hAnsi="Arial" w:cs="Arial"/>
          <w:sz w:val="22"/>
          <w:szCs w:val="22"/>
        </w:rPr>
        <w:t xml:space="preserve"> 0</w:t>
      </w:r>
      <w:r w:rsidR="008D3E6E" w:rsidRPr="00534D25">
        <w:rPr>
          <w:rFonts w:ascii="Arial" w:hAnsi="Arial" w:cs="Arial"/>
          <w:sz w:val="22"/>
          <w:szCs w:val="22"/>
        </w:rPr>
        <w:t>0</w:t>
      </w:r>
      <w:r w:rsidRPr="00534D25">
        <w:rPr>
          <w:rFonts w:ascii="Arial" w:hAnsi="Arial" w:cs="Arial"/>
          <w:sz w:val="22"/>
          <w:szCs w:val="22"/>
        </w:rPr>
        <w:t>/100 m. n.), con el que se llevarán a cabo las actividades, planes y programas establecidos con motivo del inicio formal del Proces</w:t>
      </w:r>
      <w:r w:rsidR="00053B09" w:rsidRPr="00534D25">
        <w:rPr>
          <w:rFonts w:ascii="Arial" w:hAnsi="Arial" w:cs="Arial"/>
          <w:sz w:val="22"/>
          <w:szCs w:val="22"/>
        </w:rPr>
        <w:t>o Electoral Local Ordinario 2026 — 2027</w:t>
      </w:r>
      <w:r w:rsidRPr="00534D25">
        <w:rPr>
          <w:rFonts w:ascii="Arial" w:hAnsi="Arial" w:cs="Arial"/>
          <w:sz w:val="22"/>
          <w:szCs w:val="22"/>
        </w:rPr>
        <w:t xml:space="preserve">. </w:t>
      </w:r>
      <w:r w:rsidR="008D315E" w:rsidRPr="00534D25">
        <w:rPr>
          <w:rFonts w:ascii="Arial" w:hAnsi="Arial" w:cs="Arial"/>
          <w:sz w:val="22"/>
          <w:szCs w:val="22"/>
        </w:rPr>
        <w:t>Dicha c</w:t>
      </w:r>
      <w:r w:rsidRPr="00534D25">
        <w:rPr>
          <w:rFonts w:ascii="Arial" w:hAnsi="Arial" w:cs="Arial"/>
          <w:sz w:val="22"/>
          <w:szCs w:val="22"/>
        </w:rPr>
        <w:t xml:space="preserve">antidad </w:t>
      </w:r>
      <w:r w:rsidR="008D315E" w:rsidRPr="00534D25">
        <w:rPr>
          <w:rFonts w:ascii="Arial" w:hAnsi="Arial" w:cs="Arial"/>
          <w:sz w:val="22"/>
          <w:szCs w:val="22"/>
        </w:rPr>
        <w:t xml:space="preserve">se </w:t>
      </w:r>
      <w:r w:rsidR="00053B09" w:rsidRPr="00534D25">
        <w:rPr>
          <w:rFonts w:ascii="Arial" w:hAnsi="Arial" w:cs="Arial"/>
          <w:sz w:val="22"/>
          <w:szCs w:val="22"/>
        </w:rPr>
        <w:t>determina</w:t>
      </w:r>
      <w:r w:rsidRPr="00534D25">
        <w:rPr>
          <w:rFonts w:ascii="Arial" w:hAnsi="Arial" w:cs="Arial"/>
          <w:sz w:val="22"/>
          <w:szCs w:val="22"/>
        </w:rPr>
        <w:t xml:space="preserve"> con base en los principios de eficiencia y eficacia que r</w:t>
      </w:r>
      <w:r w:rsidR="00EE1BC1" w:rsidRPr="00534D25">
        <w:rPr>
          <w:rFonts w:ascii="Arial" w:hAnsi="Arial" w:cs="Arial"/>
          <w:sz w:val="22"/>
          <w:szCs w:val="22"/>
        </w:rPr>
        <w:t>igen en materia presupuestaria y se integra de la siguiente manera</w:t>
      </w:r>
      <w:r w:rsidR="00EE1BC1" w:rsidRPr="00265D45">
        <w:rPr>
          <w:rFonts w:ascii="Arial" w:hAnsi="Arial" w:cs="Arial"/>
          <w:sz w:val="24"/>
          <w:szCs w:val="24"/>
        </w:rPr>
        <w:t>:</w:t>
      </w:r>
    </w:p>
    <w:p w14:paraId="510F1F78" w14:textId="53499391" w:rsidR="00EE1BC1" w:rsidRPr="00534D25" w:rsidRDefault="00EE1BC1" w:rsidP="00EE1BC1">
      <w:pPr>
        <w:spacing w:before="0" w:after="0"/>
        <w:jc w:val="center"/>
        <w:rPr>
          <w:rFonts w:ascii="Arial" w:hAnsi="Arial" w:cs="Arial"/>
          <w:b/>
          <w:sz w:val="22"/>
          <w:szCs w:val="22"/>
        </w:rPr>
      </w:pPr>
      <w:r w:rsidRPr="00534D25">
        <w:rPr>
          <w:rFonts w:ascii="Arial" w:hAnsi="Arial" w:cs="Arial"/>
          <w:b/>
          <w:sz w:val="22"/>
          <w:szCs w:val="22"/>
        </w:rPr>
        <w:t>Gasto electoral</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93"/>
        <w:gridCol w:w="4839"/>
        <w:gridCol w:w="2596"/>
      </w:tblGrid>
      <w:tr w:rsidR="00EE1BC1" w:rsidRPr="00391E45" w14:paraId="2B6B7A8B" w14:textId="77777777" w:rsidTr="009D764F">
        <w:tc>
          <w:tcPr>
            <w:tcW w:w="1393" w:type="dxa"/>
            <w:shd w:val="clear" w:color="auto" w:fill="993366"/>
            <w:vAlign w:val="center"/>
          </w:tcPr>
          <w:p w14:paraId="1794B47C" w14:textId="77777777" w:rsidR="00EE1BC1" w:rsidRPr="00391E45" w:rsidRDefault="00EE1BC1" w:rsidP="009D764F">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Capítulo</w:t>
            </w:r>
          </w:p>
        </w:tc>
        <w:tc>
          <w:tcPr>
            <w:tcW w:w="4839" w:type="dxa"/>
            <w:shd w:val="clear" w:color="auto" w:fill="993366"/>
            <w:vAlign w:val="center"/>
          </w:tcPr>
          <w:p w14:paraId="3EDCB1B1" w14:textId="77777777" w:rsidR="00EE1BC1" w:rsidRPr="00391E45" w:rsidRDefault="00EE1BC1" w:rsidP="009D764F">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Descripción</w:t>
            </w:r>
          </w:p>
        </w:tc>
        <w:tc>
          <w:tcPr>
            <w:tcW w:w="2596" w:type="dxa"/>
            <w:shd w:val="clear" w:color="auto" w:fill="993366"/>
            <w:vAlign w:val="center"/>
          </w:tcPr>
          <w:p w14:paraId="3399B96E" w14:textId="77777777" w:rsidR="00EE1BC1" w:rsidRPr="00391E45" w:rsidRDefault="00EE1BC1" w:rsidP="009D764F">
            <w:pPr>
              <w:spacing w:before="40" w:after="40"/>
              <w:jc w:val="center"/>
              <w:rPr>
                <w:rFonts w:ascii="Arial" w:hAnsi="Arial" w:cs="Arial"/>
                <w:b/>
                <w:color w:val="FFFFFF" w:themeColor="background1"/>
                <w:sz w:val="18"/>
              </w:rPr>
            </w:pPr>
            <w:r w:rsidRPr="00391E45">
              <w:rPr>
                <w:rFonts w:ascii="Arial" w:hAnsi="Arial" w:cs="Arial"/>
                <w:b/>
                <w:color w:val="FFFFFF" w:themeColor="background1"/>
                <w:sz w:val="18"/>
              </w:rPr>
              <w:t>Importe</w:t>
            </w:r>
          </w:p>
        </w:tc>
      </w:tr>
      <w:tr w:rsidR="00EE1BC1" w:rsidRPr="00391E45" w14:paraId="31C28BFE" w14:textId="77777777" w:rsidTr="009D764F">
        <w:tc>
          <w:tcPr>
            <w:tcW w:w="1393" w:type="dxa"/>
            <w:vMerge w:val="restart"/>
            <w:vAlign w:val="center"/>
          </w:tcPr>
          <w:p w14:paraId="5548E835"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1000</w:t>
            </w:r>
          </w:p>
        </w:tc>
        <w:tc>
          <w:tcPr>
            <w:tcW w:w="4839" w:type="dxa"/>
            <w:vAlign w:val="center"/>
          </w:tcPr>
          <w:p w14:paraId="69011E8E"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Servicios personales</w:t>
            </w:r>
          </w:p>
        </w:tc>
        <w:tc>
          <w:tcPr>
            <w:tcW w:w="2596" w:type="dxa"/>
          </w:tcPr>
          <w:p w14:paraId="6AFE1D9A" w14:textId="3270FB61"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 xml:space="preserve"> $48,974,315.00 </w:t>
            </w:r>
          </w:p>
        </w:tc>
      </w:tr>
      <w:tr w:rsidR="00EE1BC1" w:rsidRPr="00391E45" w14:paraId="6DE8DDB3" w14:textId="77777777" w:rsidTr="009D764F">
        <w:tc>
          <w:tcPr>
            <w:tcW w:w="1393" w:type="dxa"/>
            <w:vMerge/>
            <w:vAlign w:val="center"/>
          </w:tcPr>
          <w:p w14:paraId="0F814A3F" w14:textId="77777777" w:rsidR="00EE1BC1" w:rsidRPr="00534D25" w:rsidRDefault="00EE1BC1" w:rsidP="009D764F">
            <w:pPr>
              <w:spacing w:before="40" w:after="40"/>
              <w:jc w:val="center"/>
              <w:rPr>
                <w:rFonts w:ascii="Arial" w:hAnsi="Arial" w:cs="Arial"/>
                <w:b/>
                <w:sz w:val="20"/>
                <w:szCs w:val="20"/>
              </w:rPr>
            </w:pPr>
          </w:p>
        </w:tc>
        <w:tc>
          <w:tcPr>
            <w:tcW w:w="4839" w:type="dxa"/>
            <w:vAlign w:val="center"/>
          </w:tcPr>
          <w:p w14:paraId="6E0A047D" w14:textId="75123CD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Aportaciones al ISSET</w:t>
            </w:r>
          </w:p>
        </w:tc>
        <w:tc>
          <w:tcPr>
            <w:tcW w:w="2596" w:type="dxa"/>
          </w:tcPr>
          <w:p w14:paraId="115B12B1" w14:textId="753B7903"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 xml:space="preserve"> $2,648,823.00 </w:t>
            </w:r>
          </w:p>
        </w:tc>
      </w:tr>
      <w:tr w:rsidR="00EE1BC1" w:rsidRPr="00391E45" w14:paraId="7BE44AFB" w14:textId="77777777" w:rsidTr="009D764F">
        <w:tc>
          <w:tcPr>
            <w:tcW w:w="1393" w:type="dxa"/>
            <w:vAlign w:val="center"/>
          </w:tcPr>
          <w:p w14:paraId="198E0E39"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2000</w:t>
            </w:r>
          </w:p>
        </w:tc>
        <w:tc>
          <w:tcPr>
            <w:tcW w:w="4839" w:type="dxa"/>
            <w:vAlign w:val="center"/>
          </w:tcPr>
          <w:p w14:paraId="79C44D49"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Materiales y suministros</w:t>
            </w:r>
          </w:p>
        </w:tc>
        <w:tc>
          <w:tcPr>
            <w:tcW w:w="2596" w:type="dxa"/>
          </w:tcPr>
          <w:p w14:paraId="7AD5ECA4" w14:textId="1F29713B"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 xml:space="preserve"> $7,698,077.00 </w:t>
            </w:r>
          </w:p>
        </w:tc>
      </w:tr>
      <w:tr w:rsidR="00EE1BC1" w:rsidRPr="00391E45" w14:paraId="082FD9D6" w14:textId="77777777" w:rsidTr="009D764F">
        <w:tc>
          <w:tcPr>
            <w:tcW w:w="1393" w:type="dxa"/>
            <w:vMerge w:val="restart"/>
            <w:vAlign w:val="center"/>
          </w:tcPr>
          <w:p w14:paraId="001D85AF"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3000</w:t>
            </w:r>
          </w:p>
        </w:tc>
        <w:tc>
          <w:tcPr>
            <w:tcW w:w="4839" w:type="dxa"/>
            <w:vAlign w:val="center"/>
          </w:tcPr>
          <w:p w14:paraId="079E3FDA"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Servicios generales</w:t>
            </w:r>
          </w:p>
        </w:tc>
        <w:tc>
          <w:tcPr>
            <w:tcW w:w="2596" w:type="dxa"/>
          </w:tcPr>
          <w:p w14:paraId="5D04474A" w14:textId="73D012D5" w:rsidR="00EE1BC1" w:rsidRPr="00534D25" w:rsidRDefault="00EE1BC1" w:rsidP="00EE1BC1">
            <w:pPr>
              <w:spacing w:before="40" w:after="40"/>
              <w:jc w:val="right"/>
              <w:rPr>
                <w:rFonts w:ascii="Arial" w:hAnsi="Arial" w:cs="Arial"/>
                <w:b/>
                <w:sz w:val="20"/>
                <w:szCs w:val="20"/>
              </w:rPr>
            </w:pPr>
            <w:r w:rsidRPr="00534D25">
              <w:rPr>
                <w:rFonts w:ascii="Arial" w:hAnsi="Arial" w:cs="Arial"/>
                <w:b/>
                <w:sz w:val="20"/>
                <w:szCs w:val="20"/>
              </w:rPr>
              <w:t xml:space="preserve"> $19,026,618.00 </w:t>
            </w:r>
          </w:p>
        </w:tc>
      </w:tr>
      <w:tr w:rsidR="00EE1BC1" w:rsidRPr="00391E45" w14:paraId="45F57912" w14:textId="77777777" w:rsidTr="009D764F">
        <w:tc>
          <w:tcPr>
            <w:tcW w:w="1393" w:type="dxa"/>
            <w:vMerge/>
            <w:vAlign w:val="center"/>
          </w:tcPr>
          <w:p w14:paraId="2EC4A9E1" w14:textId="77777777" w:rsidR="00EE1BC1" w:rsidRPr="00534D25" w:rsidRDefault="00EE1BC1" w:rsidP="009D764F">
            <w:pPr>
              <w:spacing w:before="40" w:after="40"/>
              <w:jc w:val="center"/>
              <w:rPr>
                <w:rFonts w:ascii="Arial" w:hAnsi="Arial" w:cs="Arial"/>
                <w:b/>
                <w:sz w:val="20"/>
                <w:szCs w:val="20"/>
              </w:rPr>
            </w:pPr>
          </w:p>
        </w:tc>
        <w:tc>
          <w:tcPr>
            <w:tcW w:w="4839" w:type="dxa"/>
            <w:vAlign w:val="center"/>
          </w:tcPr>
          <w:p w14:paraId="49B5ECFC"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Impuesto Sobre Nómina</w:t>
            </w:r>
          </w:p>
        </w:tc>
        <w:tc>
          <w:tcPr>
            <w:tcW w:w="2596" w:type="dxa"/>
          </w:tcPr>
          <w:p w14:paraId="63516DFD" w14:textId="3B56E7FF" w:rsidR="00EE1BC1" w:rsidRPr="00534D25" w:rsidRDefault="00EE1BC1" w:rsidP="00EE1BC1">
            <w:pPr>
              <w:spacing w:before="40" w:after="40"/>
              <w:jc w:val="right"/>
              <w:rPr>
                <w:rFonts w:ascii="Arial" w:hAnsi="Arial" w:cs="Arial"/>
                <w:b/>
                <w:sz w:val="20"/>
                <w:szCs w:val="20"/>
              </w:rPr>
            </w:pPr>
            <w:r w:rsidRPr="00534D25">
              <w:rPr>
                <w:rFonts w:ascii="Arial" w:hAnsi="Arial" w:cs="Arial"/>
                <w:b/>
                <w:sz w:val="20"/>
                <w:szCs w:val="20"/>
              </w:rPr>
              <w:t xml:space="preserve"> $1,458,730.00 </w:t>
            </w:r>
          </w:p>
        </w:tc>
      </w:tr>
      <w:tr w:rsidR="00EE1BC1" w:rsidRPr="00391E45" w14:paraId="377728CD" w14:textId="77777777" w:rsidTr="009D764F">
        <w:tc>
          <w:tcPr>
            <w:tcW w:w="1393" w:type="dxa"/>
            <w:vAlign w:val="center"/>
          </w:tcPr>
          <w:p w14:paraId="75329289"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4000</w:t>
            </w:r>
          </w:p>
        </w:tc>
        <w:tc>
          <w:tcPr>
            <w:tcW w:w="4839" w:type="dxa"/>
            <w:vAlign w:val="center"/>
          </w:tcPr>
          <w:p w14:paraId="302C7A4C" w14:textId="2DFB2E95"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Dietas a Consejeros Electorales Distritales</w:t>
            </w:r>
          </w:p>
        </w:tc>
        <w:tc>
          <w:tcPr>
            <w:tcW w:w="2596" w:type="dxa"/>
          </w:tcPr>
          <w:p w14:paraId="355C7812" w14:textId="51A5CA8A" w:rsidR="00EE1BC1" w:rsidRPr="00534D25" w:rsidRDefault="00EE1BC1" w:rsidP="00EE1BC1">
            <w:pPr>
              <w:spacing w:before="40" w:after="40"/>
              <w:jc w:val="right"/>
              <w:rPr>
                <w:rFonts w:ascii="Arial" w:hAnsi="Arial" w:cs="Arial"/>
                <w:b/>
                <w:sz w:val="20"/>
                <w:szCs w:val="20"/>
              </w:rPr>
            </w:pPr>
            <w:r w:rsidRPr="00534D25">
              <w:rPr>
                <w:rFonts w:ascii="Arial" w:hAnsi="Arial" w:cs="Arial"/>
                <w:b/>
                <w:sz w:val="20"/>
                <w:szCs w:val="20"/>
              </w:rPr>
              <w:t xml:space="preserve"> $1,057,457.00 </w:t>
            </w:r>
          </w:p>
        </w:tc>
      </w:tr>
      <w:tr w:rsidR="00EE1BC1" w:rsidRPr="00391E45" w14:paraId="33EDABA9" w14:textId="77777777" w:rsidTr="009D764F">
        <w:tc>
          <w:tcPr>
            <w:tcW w:w="1393" w:type="dxa"/>
            <w:tcBorders>
              <w:bottom w:val="single" w:sz="4" w:space="0" w:color="A6A6A6" w:themeColor="background1" w:themeShade="A6"/>
            </w:tcBorders>
            <w:vAlign w:val="center"/>
          </w:tcPr>
          <w:p w14:paraId="71650747"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5000</w:t>
            </w:r>
          </w:p>
        </w:tc>
        <w:tc>
          <w:tcPr>
            <w:tcW w:w="4839" w:type="dxa"/>
            <w:tcBorders>
              <w:bottom w:val="single" w:sz="4" w:space="0" w:color="A6A6A6" w:themeColor="background1" w:themeShade="A6"/>
            </w:tcBorders>
            <w:vAlign w:val="center"/>
          </w:tcPr>
          <w:p w14:paraId="4BD52195"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Bienes muebles e inmuebles</w:t>
            </w:r>
          </w:p>
        </w:tc>
        <w:tc>
          <w:tcPr>
            <w:tcW w:w="2596" w:type="dxa"/>
            <w:tcBorders>
              <w:bottom w:val="single" w:sz="4" w:space="0" w:color="A6A6A6" w:themeColor="background1" w:themeShade="A6"/>
            </w:tcBorders>
          </w:tcPr>
          <w:p w14:paraId="4A763575" w14:textId="08566E12"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 xml:space="preserve"> $3,718,358.00 </w:t>
            </w:r>
          </w:p>
        </w:tc>
      </w:tr>
      <w:tr w:rsidR="00EE1BC1" w:rsidRPr="00391E45" w14:paraId="58CC7393" w14:textId="77777777" w:rsidTr="009D764F">
        <w:tc>
          <w:tcPr>
            <w:tcW w:w="1393"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F4A49" w14:textId="77777777" w:rsidR="00EE1BC1" w:rsidRPr="00534D25" w:rsidRDefault="00EE1BC1" w:rsidP="009D764F">
            <w:pPr>
              <w:spacing w:before="40" w:after="40"/>
              <w:jc w:val="center"/>
              <w:rPr>
                <w:rFonts w:ascii="Arial" w:hAnsi="Arial" w:cs="Arial"/>
                <w:b/>
                <w:sz w:val="20"/>
                <w:szCs w:val="20"/>
              </w:rPr>
            </w:pPr>
            <w:r w:rsidRPr="00534D25">
              <w:rPr>
                <w:rFonts w:ascii="Arial" w:hAnsi="Arial" w:cs="Arial"/>
                <w:b/>
                <w:sz w:val="20"/>
                <w:szCs w:val="20"/>
              </w:rPr>
              <w:t>8000</w:t>
            </w:r>
          </w:p>
        </w:tc>
        <w:tc>
          <w:tcPr>
            <w:tcW w:w="48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31AED4" w14:textId="77777777" w:rsidR="00EE1BC1" w:rsidRPr="00534D25" w:rsidRDefault="00EE1BC1" w:rsidP="009D764F">
            <w:pPr>
              <w:spacing w:before="40" w:after="40"/>
              <w:rPr>
                <w:rFonts w:ascii="Arial" w:hAnsi="Arial" w:cs="Arial"/>
                <w:b/>
                <w:sz w:val="20"/>
                <w:szCs w:val="20"/>
              </w:rPr>
            </w:pPr>
            <w:r w:rsidRPr="00534D25">
              <w:rPr>
                <w:rFonts w:ascii="Arial" w:hAnsi="Arial" w:cs="Arial"/>
                <w:b/>
                <w:sz w:val="20"/>
                <w:szCs w:val="20"/>
              </w:rPr>
              <w:t>Participaciones y Aportaciones</w:t>
            </w:r>
          </w:p>
        </w:tc>
        <w:tc>
          <w:tcPr>
            <w:tcW w:w="2596"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10CF2D4" w14:textId="74DE870A"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 xml:space="preserve"> $150,000.00 </w:t>
            </w:r>
          </w:p>
        </w:tc>
      </w:tr>
      <w:tr w:rsidR="00EE1BC1" w:rsidRPr="00391E45" w14:paraId="44EF064B" w14:textId="77777777" w:rsidTr="009D764F">
        <w:tc>
          <w:tcPr>
            <w:tcW w:w="6232" w:type="dxa"/>
            <w:gridSpan w:val="2"/>
            <w:tcBorders>
              <w:top w:val="single" w:sz="4" w:space="0" w:color="A6A6A6" w:themeColor="background1" w:themeShade="A6"/>
              <w:left w:val="nil"/>
              <w:bottom w:val="nil"/>
              <w:right w:val="single" w:sz="4" w:space="0" w:color="A6A6A6" w:themeColor="background1" w:themeShade="A6"/>
            </w:tcBorders>
            <w:vAlign w:val="center"/>
          </w:tcPr>
          <w:p w14:paraId="367AAFF6" w14:textId="77777777"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Total</w:t>
            </w:r>
          </w:p>
        </w:tc>
        <w:tc>
          <w:tcPr>
            <w:tcW w:w="2596"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1BBD36E1" w14:textId="79D48182" w:rsidR="00EE1BC1" w:rsidRPr="00534D25" w:rsidRDefault="00EE1BC1" w:rsidP="009D764F">
            <w:pPr>
              <w:spacing w:before="40" w:after="40"/>
              <w:jc w:val="right"/>
              <w:rPr>
                <w:rFonts w:ascii="Arial" w:hAnsi="Arial" w:cs="Arial"/>
                <w:b/>
                <w:sz w:val="20"/>
                <w:szCs w:val="20"/>
              </w:rPr>
            </w:pPr>
            <w:r w:rsidRPr="00534D25">
              <w:rPr>
                <w:rFonts w:ascii="Arial" w:hAnsi="Arial" w:cs="Arial"/>
                <w:b/>
                <w:sz w:val="20"/>
                <w:szCs w:val="20"/>
              </w:rPr>
              <w:t>$84,732,378.00</w:t>
            </w:r>
          </w:p>
        </w:tc>
      </w:tr>
    </w:tbl>
    <w:p w14:paraId="07D4DAC1" w14:textId="77D28341" w:rsidR="00CF6B7C" w:rsidRPr="00534D25" w:rsidRDefault="00053B09" w:rsidP="00666060">
      <w:pPr>
        <w:rPr>
          <w:rFonts w:ascii="Arial" w:hAnsi="Arial" w:cs="Arial"/>
          <w:sz w:val="22"/>
          <w:szCs w:val="22"/>
        </w:rPr>
      </w:pPr>
      <w:r w:rsidRPr="00534D25">
        <w:rPr>
          <w:rFonts w:ascii="Arial" w:hAnsi="Arial" w:cs="Arial"/>
          <w:sz w:val="22"/>
          <w:szCs w:val="22"/>
        </w:rPr>
        <w:t>En ese orden de ideas</w:t>
      </w:r>
      <w:r w:rsidR="00CF6B7C" w:rsidRPr="00534D25">
        <w:rPr>
          <w:rFonts w:ascii="Arial" w:hAnsi="Arial" w:cs="Arial"/>
          <w:sz w:val="22"/>
          <w:szCs w:val="22"/>
        </w:rPr>
        <w:t xml:space="preserve">, </w:t>
      </w:r>
      <w:r w:rsidRPr="00534D25">
        <w:rPr>
          <w:rFonts w:ascii="Arial" w:hAnsi="Arial" w:cs="Arial"/>
          <w:sz w:val="22"/>
          <w:szCs w:val="22"/>
        </w:rPr>
        <w:t>con dichas</w:t>
      </w:r>
      <w:r w:rsidR="00CF6B7C" w:rsidRPr="00534D25">
        <w:rPr>
          <w:rFonts w:ascii="Arial" w:hAnsi="Arial" w:cs="Arial"/>
          <w:sz w:val="22"/>
          <w:szCs w:val="22"/>
        </w:rPr>
        <w:t xml:space="preserve"> erogaciones </w:t>
      </w:r>
      <w:r w:rsidRPr="00534D25">
        <w:rPr>
          <w:rFonts w:ascii="Arial" w:hAnsi="Arial" w:cs="Arial"/>
          <w:sz w:val="22"/>
          <w:szCs w:val="22"/>
        </w:rPr>
        <w:t>se pretende</w:t>
      </w:r>
      <w:r w:rsidR="00CF6B7C" w:rsidRPr="00534D25">
        <w:rPr>
          <w:rFonts w:ascii="Arial" w:hAnsi="Arial" w:cs="Arial"/>
          <w:sz w:val="22"/>
          <w:szCs w:val="22"/>
        </w:rPr>
        <w:t xml:space="preserve"> cubrir los gastos iniciales necesarios para el inicio de</w:t>
      </w:r>
      <w:r w:rsidR="00E20D1B" w:rsidRPr="00534D25">
        <w:rPr>
          <w:rFonts w:ascii="Arial" w:hAnsi="Arial" w:cs="Arial"/>
          <w:sz w:val="22"/>
          <w:szCs w:val="22"/>
        </w:rPr>
        <w:t xml:space="preserve"> los</w:t>
      </w:r>
      <w:r w:rsidR="00CF6B7C" w:rsidRPr="00534D25">
        <w:rPr>
          <w:rFonts w:ascii="Arial" w:hAnsi="Arial" w:cs="Arial"/>
          <w:sz w:val="22"/>
          <w:szCs w:val="22"/>
        </w:rPr>
        <w:t xml:space="preserve"> próximo</w:t>
      </w:r>
      <w:r w:rsidR="00E20D1B" w:rsidRPr="00534D25">
        <w:rPr>
          <w:rFonts w:ascii="Arial" w:hAnsi="Arial" w:cs="Arial"/>
          <w:sz w:val="22"/>
          <w:szCs w:val="22"/>
        </w:rPr>
        <w:t>s</w:t>
      </w:r>
      <w:r w:rsidR="00CF6B7C" w:rsidRPr="00534D25">
        <w:rPr>
          <w:rFonts w:ascii="Arial" w:hAnsi="Arial" w:cs="Arial"/>
          <w:sz w:val="22"/>
          <w:szCs w:val="22"/>
        </w:rPr>
        <w:t xml:space="preserve"> proceso</w:t>
      </w:r>
      <w:r w:rsidR="00E20D1B" w:rsidRPr="00534D25">
        <w:rPr>
          <w:rFonts w:ascii="Arial" w:hAnsi="Arial" w:cs="Arial"/>
          <w:sz w:val="22"/>
          <w:szCs w:val="22"/>
        </w:rPr>
        <w:t>s</w:t>
      </w:r>
      <w:r w:rsidR="00CF6B7C" w:rsidRPr="00534D25">
        <w:rPr>
          <w:rFonts w:ascii="Arial" w:hAnsi="Arial" w:cs="Arial"/>
          <w:sz w:val="22"/>
          <w:szCs w:val="22"/>
        </w:rPr>
        <w:t xml:space="preserve"> electoral</w:t>
      </w:r>
      <w:r w:rsidR="00E20D1B" w:rsidRPr="00534D25">
        <w:rPr>
          <w:rFonts w:ascii="Arial" w:hAnsi="Arial" w:cs="Arial"/>
          <w:sz w:val="22"/>
          <w:szCs w:val="22"/>
        </w:rPr>
        <w:t>es, ya que conforme al artículo 387 numeral 2 de la LEPPET la preparación de la elección de personas juzgadoras del Poder Judicial del Estado que inicia los primeros siete días del mes de septiembre del año y el proceso electoral local ordinario</w:t>
      </w:r>
      <w:r w:rsidR="00CF6B7C" w:rsidRPr="00534D25">
        <w:rPr>
          <w:rFonts w:ascii="Arial" w:hAnsi="Arial" w:cs="Arial"/>
          <w:sz w:val="22"/>
          <w:szCs w:val="22"/>
        </w:rPr>
        <w:t xml:space="preserve"> comenzará a p</w:t>
      </w:r>
      <w:r w:rsidRPr="00534D25">
        <w:rPr>
          <w:rFonts w:ascii="Arial" w:hAnsi="Arial" w:cs="Arial"/>
          <w:sz w:val="22"/>
          <w:szCs w:val="22"/>
        </w:rPr>
        <w:t>artir del mes de octubre de 2026</w:t>
      </w:r>
      <w:r w:rsidR="00E20D1B" w:rsidRPr="00534D25">
        <w:rPr>
          <w:rFonts w:ascii="Arial" w:hAnsi="Arial" w:cs="Arial"/>
          <w:sz w:val="22"/>
          <w:szCs w:val="22"/>
        </w:rPr>
        <w:t>;</w:t>
      </w:r>
      <w:r w:rsidR="00CF6B7C" w:rsidRPr="00534D25">
        <w:rPr>
          <w:rFonts w:ascii="Arial" w:hAnsi="Arial" w:cs="Arial"/>
          <w:sz w:val="22"/>
          <w:szCs w:val="22"/>
        </w:rPr>
        <w:t xml:space="preserve"> entre los que se comprenden los servicios del personal eventual, el arrendamiento de los inmuebles en los que se instalarán las 21 juntas electorales distritales, el pago de dietas de las y los consejeros electorales distritales, la implementación y funcionamiento del Programa de Resultados Electorales Preliminares del Estado de Tabasco, el diseño de sistemas y aplicaciones informáticas, entre otros. </w:t>
      </w:r>
    </w:p>
    <w:p w14:paraId="171B88F9" w14:textId="77777777" w:rsidR="00CF6B7C" w:rsidRPr="00534D25" w:rsidRDefault="00CF6B7C" w:rsidP="00666060">
      <w:pPr>
        <w:rPr>
          <w:rFonts w:ascii="Arial" w:hAnsi="Arial" w:cs="Arial"/>
          <w:sz w:val="22"/>
          <w:szCs w:val="22"/>
        </w:rPr>
      </w:pPr>
      <w:r w:rsidRPr="00534D25">
        <w:rPr>
          <w:rFonts w:ascii="Arial" w:hAnsi="Arial" w:cs="Arial"/>
          <w:sz w:val="22"/>
          <w:szCs w:val="22"/>
        </w:rPr>
        <w:lastRenderedPageBreak/>
        <w:t xml:space="preserve">Asimismo, con el presupuesto electoral, se implementarán los programas de capacitación electoral que serán impartidos a cada uno de las y los funcionarios electorales distritales que, como consecuencia del proceso de selección correspondiente, resulten designados para ocupar tales encargos. </w:t>
      </w:r>
    </w:p>
    <w:p w14:paraId="57D96CBF" w14:textId="1A208EEC" w:rsidR="00CF6B7C" w:rsidRPr="00534D25" w:rsidRDefault="00CF6B7C" w:rsidP="00666060">
      <w:pPr>
        <w:rPr>
          <w:rFonts w:ascii="Arial" w:hAnsi="Arial" w:cs="Arial"/>
          <w:sz w:val="22"/>
          <w:szCs w:val="22"/>
        </w:rPr>
      </w:pPr>
      <w:r w:rsidRPr="00534D25">
        <w:rPr>
          <w:rFonts w:ascii="Arial" w:hAnsi="Arial" w:cs="Arial"/>
          <w:sz w:val="22"/>
          <w:szCs w:val="22"/>
        </w:rPr>
        <w:t xml:space="preserve">Otro aspecto fundamental, es la erogación destinada a la implementación de la campaña de difusión a la participación ciudadana y la promoción del voto, la cual tiene como objetivo, fomentar y propiciar la participación de la ciudadanía no solamente en la jornada electoral, sino en todas las actividades que se </w:t>
      </w:r>
      <w:r w:rsidR="002814E2" w:rsidRPr="00534D25">
        <w:rPr>
          <w:rFonts w:ascii="Arial" w:hAnsi="Arial" w:cs="Arial"/>
          <w:sz w:val="22"/>
          <w:szCs w:val="22"/>
        </w:rPr>
        <w:t>llevarán</w:t>
      </w:r>
      <w:r w:rsidRPr="00534D25">
        <w:rPr>
          <w:rFonts w:ascii="Arial" w:hAnsi="Arial" w:cs="Arial"/>
          <w:sz w:val="22"/>
          <w:szCs w:val="22"/>
        </w:rPr>
        <w:t xml:space="preserve"> a cabo. </w:t>
      </w:r>
    </w:p>
    <w:p w14:paraId="3B93752F" w14:textId="1193A936" w:rsidR="00CF6B7C" w:rsidRPr="00534D25" w:rsidRDefault="00CF6B7C" w:rsidP="00666060">
      <w:pPr>
        <w:rPr>
          <w:rFonts w:ascii="Arial" w:hAnsi="Arial" w:cs="Arial"/>
          <w:sz w:val="22"/>
          <w:szCs w:val="22"/>
        </w:rPr>
      </w:pPr>
      <w:r w:rsidRPr="00534D25">
        <w:rPr>
          <w:rFonts w:ascii="Arial" w:hAnsi="Arial" w:cs="Arial"/>
          <w:sz w:val="22"/>
          <w:szCs w:val="22"/>
        </w:rPr>
        <w:t>Por último, con base en la experiencia de los procesos electorales anteriores y considerando que</w:t>
      </w:r>
      <w:r w:rsidR="00E20D1B" w:rsidRPr="00534D25">
        <w:rPr>
          <w:rFonts w:ascii="Arial" w:hAnsi="Arial" w:cs="Arial"/>
          <w:sz w:val="22"/>
          <w:szCs w:val="22"/>
        </w:rPr>
        <w:t xml:space="preserve"> se desarrollarán dos</w:t>
      </w:r>
      <w:r w:rsidRPr="00534D25">
        <w:rPr>
          <w:rFonts w:ascii="Arial" w:hAnsi="Arial" w:cs="Arial"/>
          <w:sz w:val="22"/>
          <w:szCs w:val="22"/>
        </w:rPr>
        <w:t xml:space="preserve"> proceso</w:t>
      </w:r>
      <w:r w:rsidR="00E20D1B" w:rsidRPr="00534D25">
        <w:rPr>
          <w:rFonts w:ascii="Arial" w:hAnsi="Arial" w:cs="Arial"/>
          <w:sz w:val="22"/>
          <w:szCs w:val="22"/>
        </w:rPr>
        <w:t>s</w:t>
      </w:r>
      <w:r w:rsidRPr="00534D25">
        <w:rPr>
          <w:rFonts w:ascii="Arial" w:hAnsi="Arial" w:cs="Arial"/>
          <w:sz w:val="22"/>
          <w:szCs w:val="22"/>
        </w:rPr>
        <w:t xml:space="preserve"> electoral</w:t>
      </w:r>
      <w:r w:rsidR="00E20D1B" w:rsidRPr="00534D25">
        <w:rPr>
          <w:rFonts w:ascii="Arial" w:hAnsi="Arial" w:cs="Arial"/>
          <w:sz w:val="22"/>
          <w:szCs w:val="22"/>
        </w:rPr>
        <w:t>es</w:t>
      </w:r>
      <w:r w:rsidRPr="00534D25">
        <w:rPr>
          <w:rFonts w:ascii="Arial" w:hAnsi="Arial" w:cs="Arial"/>
          <w:sz w:val="22"/>
          <w:szCs w:val="22"/>
        </w:rPr>
        <w:t xml:space="preserve"> local</w:t>
      </w:r>
      <w:r w:rsidR="00E20D1B" w:rsidRPr="00534D25">
        <w:rPr>
          <w:rFonts w:ascii="Arial" w:hAnsi="Arial" w:cs="Arial"/>
          <w:sz w:val="22"/>
          <w:szCs w:val="22"/>
        </w:rPr>
        <w:t>es, como lo son el de para personas Juzgadoras del Poder Judicial del Estado de Tabasco y el ordinario local, este último</w:t>
      </w:r>
      <w:r w:rsidRPr="00534D25">
        <w:rPr>
          <w:rFonts w:ascii="Arial" w:hAnsi="Arial" w:cs="Arial"/>
          <w:sz w:val="22"/>
          <w:szCs w:val="22"/>
        </w:rPr>
        <w:t xml:space="preserve"> concurrente con el federal, lo que implica un incremento en la demanda de producción debido a la gran cantidad de documentación y material electoral que será requerida </w:t>
      </w:r>
      <w:r w:rsidR="00E20D1B" w:rsidRPr="00534D25">
        <w:rPr>
          <w:rFonts w:ascii="Arial" w:hAnsi="Arial" w:cs="Arial"/>
          <w:sz w:val="22"/>
          <w:szCs w:val="22"/>
        </w:rPr>
        <w:t>para ambos procesos.</w:t>
      </w:r>
    </w:p>
    <w:p w14:paraId="43C3C5DD" w14:textId="5BD14957" w:rsidR="00790DDB" w:rsidRPr="00534D25" w:rsidRDefault="00790DDB" w:rsidP="00534D25">
      <w:pPr>
        <w:pStyle w:val="Ttulo2"/>
        <w:numPr>
          <w:ilvl w:val="1"/>
          <w:numId w:val="7"/>
        </w:numPr>
        <w:rPr>
          <w:rFonts w:ascii="Arial" w:hAnsi="Arial" w:cs="Arial"/>
          <w:sz w:val="22"/>
          <w:szCs w:val="22"/>
        </w:rPr>
      </w:pPr>
      <w:r w:rsidRPr="00534D25">
        <w:rPr>
          <w:rFonts w:ascii="Arial" w:hAnsi="Arial" w:cs="Arial"/>
          <w:sz w:val="22"/>
          <w:szCs w:val="22"/>
        </w:rPr>
        <w:t>Remisión del anteproyecto de egresos al Ejecutivo Estatal</w:t>
      </w:r>
    </w:p>
    <w:p w14:paraId="488A9530" w14:textId="4DB04457" w:rsidR="00790DDB" w:rsidRPr="00534D25" w:rsidRDefault="00053B09" w:rsidP="00790DDB">
      <w:pPr>
        <w:rPr>
          <w:rFonts w:ascii="Arial" w:hAnsi="Arial" w:cs="Arial"/>
          <w:sz w:val="22"/>
          <w:szCs w:val="22"/>
        </w:rPr>
      </w:pPr>
      <w:r w:rsidRPr="00534D25">
        <w:rPr>
          <w:rFonts w:ascii="Arial" w:hAnsi="Arial" w:cs="Arial"/>
          <w:sz w:val="22"/>
          <w:szCs w:val="22"/>
        </w:rPr>
        <w:t>Una vez aprobado el Anteproyecto de P</w:t>
      </w:r>
      <w:r w:rsidR="001D777C" w:rsidRPr="00534D25">
        <w:rPr>
          <w:rFonts w:ascii="Arial" w:hAnsi="Arial" w:cs="Arial"/>
          <w:sz w:val="22"/>
          <w:szCs w:val="22"/>
        </w:rPr>
        <w:t xml:space="preserve">resupuesto de </w:t>
      </w:r>
      <w:r w:rsidRPr="00534D25">
        <w:rPr>
          <w:rFonts w:ascii="Arial" w:hAnsi="Arial" w:cs="Arial"/>
          <w:sz w:val="22"/>
          <w:szCs w:val="22"/>
        </w:rPr>
        <w:t>Egresos</w:t>
      </w:r>
      <w:r w:rsidR="00666060" w:rsidRPr="00534D25">
        <w:rPr>
          <w:rFonts w:ascii="Arial" w:hAnsi="Arial" w:cs="Arial"/>
          <w:sz w:val="22"/>
          <w:szCs w:val="22"/>
        </w:rPr>
        <w:t xml:space="preserve"> por</w:t>
      </w:r>
      <w:r w:rsidR="001D777C" w:rsidRPr="00534D25">
        <w:rPr>
          <w:rFonts w:ascii="Arial" w:hAnsi="Arial" w:cs="Arial"/>
          <w:sz w:val="22"/>
          <w:szCs w:val="22"/>
        </w:rPr>
        <w:t xml:space="preserve"> el Consejo Estatal, a través de su Presidencia, debe remitirlo al Ejecutivo Estatal, para su inclusión en el proyecto del Presupuesto General de Egresos del Estado, que será revisado y en su caso, aprobado por el H. Congreso del Estado</w:t>
      </w:r>
      <w:r w:rsidR="006827B0" w:rsidRPr="00534D25">
        <w:rPr>
          <w:rFonts w:ascii="Arial" w:hAnsi="Arial" w:cs="Arial"/>
          <w:sz w:val="22"/>
          <w:szCs w:val="22"/>
        </w:rPr>
        <w:t xml:space="preserve">. </w:t>
      </w:r>
      <w:r w:rsidRPr="00534D25">
        <w:rPr>
          <w:rFonts w:ascii="Arial" w:hAnsi="Arial" w:cs="Arial"/>
          <w:sz w:val="22"/>
          <w:szCs w:val="22"/>
        </w:rPr>
        <w:t xml:space="preserve">Además, </w:t>
      </w:r>
      <w:proofErr w:type="spellStart"/>
      <w:r w:rsidRPr="00534D25">
        <w:rPr>
          <w:rFonts w:ascii="Arial" w:hAnsi="Arial" w:cs="Arial"/>
          <w:sz w:val="22"/>
          <w:szCs w:val="22"/>
        </w:rPr>
        <w:t>a</w:t>
      </w:r>
      <w:proofErr w:type="spellEnd"/>
      <w:r w:rsidRPr="00534D25">
        <w:rPr>
          <w:rFonts w:ascii="Arial" w:hAnsi="Arial" w:cs="Arial"/>
          <w:sz w:val="22"/>
          <w:szCs w:val="22"/>
        </w:rPr>
        <w:t xml:space="preserve"> dicho Anteproyecto se le incluye</w:t>
      </w:r>
      <w:r w:rsidR="006827B0" w:rsidRPr="00534D25">
        <w:rPr>
          <w:rFonts w:ascii="Arial" w:hAnsi="Arial" w:cs="Arial"/>
          <w:sz w:val="22"/>
          <w:szCs w:val="22"/>
        </w:rPr>
        <w:t xml:space="preserve"> el </w:t>
      </w:r>
      <w:r w:rsidR="0090129D" w:rsidRPr="00534D25">
        <w:rPr>
          <w:rFonts w:ascii="Arial" w:hAnsi="Arial" w:cs="Arial"/>
          <w:sz w:val="22"/>
          <w:szCs w:val="22"/>
        </w:rPr>
        <w:t>T</w:t>
      </w:r>
      <w:r w:rsidR="006827B0" w:rsidRPr="00534D25">
        <w:rPr>
          <w:rFonts w:ascii="Arial" w:hAnsi="Arial" w:cs="Arial"/>
          <w:sz w:val="22"/>
          <w:szCs w:val="22"/>
        </w:rPr>
        <w:t xml:space="preserve">abulador de </w:t>
      </w:r>
      <w:r w:rsidR="0090129D" w:rsidRPr="00534D25">
        <w:rPr>
          <w:rFonts w:ascii="Arial" w:hAnsi="Arial" w:cs="Arial"/>
          <w:sz w:val="22"/>
          <w:szCs w:val="22"/>
        </w:rPr>
        <w:t>S</w:t>
      </w:r>
      <w:r w:rsidR="006827B0" w:rsidRPr="00534D25">
        <w:rPr>
          <w:rFonts w:ascii="Arial" w:hAnsi="Arial" w:cs="Arial"/>
          <w:sz w:val="22"/>
          <w:szCs w:val="22"/>
        </w:rPr>
        <w:t>ueldos, esto conforme a los artículos 14 y 15 de la Ley de Remuneraciones.</w:t>
      </w:r>
    </w:p>
    <w:p w14:paraId="078A2D7B" w14:textId="0E982F01" w:rsidR="00790DDB" w:rsidRPr="00534D25" w:rsidRDefault="001D777C" w:rsidP="00790DDB">
      <w:pPr>
        <w:rPr>
          <w:rFonts w:ascii="Arial" w:hAnsi="Arial" w:cs="Arial"/>
          <w:sz w:val="22"/>
          <w:szCs w:val="22"/>
        </w:rPr>
      </w:pPr>
      <w:r w:rsidRPr="00534D25">
        <w:rPr>
          <w:rFonts w:ascii="Arial" w:hAnsi="Arial" w:cs="Arial"/>
          <w:sz w:val="22"/>
          <w:szCs w:val="22"/>
        </w:rPr>
        <w:t xml:space="preserve">En </w:t>
      </w:r>
      <w:r w:rsidR="00053B09" w:rsidRPr="00534D25">
        <w:rPr>
          <w:rFonts w:ascii="Arial" w:hAnsi="Arial" w:cs="Arial"/>
          <w:sz w:val="22"/>
          <w:szCs w:val="22"/>
        </w:rPr>
        <w:t>ese tenor</w:t>
      </w:r>
      <w:r w:rsidR="00790DDB" w:rsidRPr="00534D25">
        <w:rPr>
          <w:rFonts w:ascii="Arial" w:hAnsi="Arial" w:cs="Arial"/>
          <w:sz w:val="22"/>
          <w:szCs w:val="22"/>
        </w:rPr>
        <w:t xml:space="preserve">, el artículo 28 de </w:t>
      </w:r>
      <w:r w:rsidRPr="00534D25">
        <w:rPr>
          <w:rFonts w:ascii="Arial" w:hAnsi="Arial" w:cs="Arial"/>
          <w:sz w:val="22"/>
          <w:szCs w:val="22"/>
        </w:rPr>
        <w:t>la Ley de Presupuesto señala que</w:t>
      </w:r>
      <w:r w:rsidR="00790DDB" w:rsidRPr="00534D25">
        <w:rPr>
          <w:rFonts w:ascii="Arial" w:hAnsi="Arial" w:cs="Arial"/>
          <w:sz w:val="22"/>
          <w:szCs w:val="22"/>
        </w:rPr>
        <w:t xml:space="preserve"> los órganos autónomos enviarán a la Secretaría de Finanzas sus proyectos de presupuesto, a efecto de integrarlos al proyecto de Presupuesto de Egresos, a más tardar 10 días naturales antes de la fecha de presentación de éste.</w:t>
      </w:r>
    </w:p>
    <w:p w14:paraId="1F9ED1A4" w14:textId="6E566EF7" w:rsidR="00534D25" w:rsidRDefault="00BD0BBD" w:rsidP="00790DDB">
      <w:pPr>
        <w:rPr>
          <w:rFonts w:ascii="Arial" w:hAnsi="Arial" w:cs="Arial"/>
          <w:color w:val="000000" w:themeColor="text1"/>
          <w:sz w:val="22"/>
          <w:szCs w:val="22"/>
        </w:rPr>
      </w:pPr>
      <w:r w:rsidRPr="00534D25">
        <w:rPr>
          <w:rFonts w:ascii="Arial" w:hAnsi="Arial" w:cs="Arial"/>
          <w:color w:val="000000" w:themeColor="text1"/>
          <w:sz w:val="22"/>
          <w:szCs w:val="22"/>
        </w:rPr>
        <w:t>Conforme a los antecedentes y las consideraciones antes señaladas, y en ejercicio de sus atribuciones este Consejo Estatal emite los siguientes puntos de</w:t>
      </w:r>
      <w:r w:rsidR="00861290" w:rsidRPr="00534D25">
        <w:rPr>
          <w:rFonts w:ascii="Arial" w:hAnsi="Arial" w:cs="Arial"/>
          <w:color w:val="000000" w:themeColor="text1"/>
          <w:sz w:val="22"/>
          <w:szCs w:val="22"/>
        </w:rPr>
        <w:t>:</w:t>
      </w:r>
      <w:r w:rsidRPr="00534D25">
        <w:rPr>
          <w:rFonts w:ascii="Arial" w:hAnsi="Arial" w:cs="Arial"/>
          <w:color w:val="000000" w:themeColor="text1"/>
          <w:sz w:val="22"/>
          <w:szCs w:val="22"/>
        </w:rPr>
        <w:t xml:space="preserve">    </w:t>
      </w:r>
    </w:p>
    <w:p w14:paraId="5738D8E1" w14:textId="6F1BDEB7" w:rsidR="00790DDB" w:rsidRDefault="00BD0BBD" w:rsidP="00790DDB">
      <w:pPr>
        <w:rPr>
          <w:rFonts w:ascii="Arial" w:hAnsi="Arial" w:cs="Arial"/>
          <w:color w:val="000000" w:themeColor="text1"/>
          <w:sz w:val="22"/>
          <w:szCs w:val="22"/>
        </w:rPr>
      </w:pPr>
      <w:r w:rsidRPr="00534D25">
        <w:rPr>
          <w:rFonts w:ascii="Arial" w:hAnsi="Arial" w:cs="Arial"/>
          <w:color w:val="000000" w:themeColor="text1"/>
          <w:sz w:val="22"/>
          <w:szCs w:val="22"/>
        </w:rPr>
        <w:t xml:space="preserve">                                                                                                </w:t>
      </w:r>
    </w:p>
    <w:p w14:paraId="1B3C0799" w14:textId="0B4615FC" w:rsidR="00534D25" w:rsidRDefault="00534D25" w:rsidP="00790DDB">
      <w:pPr>
        <w:rPr>
          <w:rFonts w:ascii="Arial" w:hAnsi="Arial" w:cs="Arial"/>
          <w:color w:val="000000" w:themeColor="text1"/>
          <w:sz w:val="22"/>
          <w:szCs w:val="22"/>
        </w:rPr>
      </w:pPr>
    </w:p>
    <w:p w14:paraId="1AC614F4" w14:textId="77777777" w:rsidR="00534D25" w:rsidRPr="00534D25" w:rsidRDefault="00534D25" w:rsidP="00790DDB">
      <w:pPr>
        <w:rPr>
          <w:rFonts w:ascii="Arial" w:hAnsi="Arial" w:cs="Arial"/>
          <w:color w:val="000000" w:themeColor="text1"/>
          <w:sz w:val="22"/>
          <w:szCs w:val="22"/>
        </w:rPr>
      </w:pPr>
    </w:p>
    <w:p w14:paraId="3AE52095" w14:textId="2016ABA8" w:rsidR="00790DDB" w:rsidRPr="00534D25" w:rsidRDefault="00534D25" w:rsidP="00BD0BBD">
      <w:pPr>
        <w:pStyle w:val="Ttulo1"/>
        <w:numPr>
          <w:ilvl w:val="0"/>
          <w:numId w:val="0"/>
        </w:numPr>
        <w:ind w:left="432"/>
        <w:rPr>
          <w:rFonts w:ascii="Arial" w:hAnsi="Arial" w:cs="Arial"/>
          <w:sz w:val="24"/>
          <w:szCs w:val="24"/>
        </w:rPr>
      </w:pPr>
      <w:r>
        <w:rPr>
          <w:rFonts w:ascii="Arial" w:hAnsi="Arial" w:cs="Arial"/>
          <w:sz w:val="24"/>
          <w:szCs w:val="24"/>
        </w:rPr>
        <w:lastRenderedPageBreak/>
        <w:t xml:space="preserve">3 </w:t>
      </w:r>
      <w:r w:rsidR="00790DDB" w:rsidRPr="00534D25">
        <w:rPr>
          <w:rFonts w:ascii="Arial" w:hAnsi="Arial" w:cs="Arial"/>
          <w:sz w:val="24"/>
          <w:szCs w:val="24"/>
        </w:rPr>
        <w:t>Acuerdo</w:t>
      </w:r>
    </w:p>
    <w:p w14:paraId="031FBCBD" w14:textId="3A3B2BF7" w:rsidR="00790DDB" w:rsidRPr="00534D25" w:rsidRDefault="00790DDB" w:rsidP="00790DDB">
      <w:pPr>
        <w:rPr>
          <w:rFonts w:ascii="Arial" w:hAnsi="Arial" w:cs="Arial"/>
          <w:sz w:val="22"/>
          <w:szCs w:val="22"/>
        </w:rPr>
      </w:pPr>
      <w:r w:rsidRPr="00534D25">
        <w:rPr>
          <w:rFonts w:ascii="Arial" w:hAnsi="Arial" w:cs="Arial"/>
          <w:b/>
          <w:sz w:val="22"/>
          <w:szCs w:val="22"/>
        </w:rPr>
        <w:t>Primero.</w:t>
      </w:r>
      <w:r w:rsidRPr="00534D25">
        <w:rPr>
          <w:rFonts w:ascii="Arial" w:hAnsi="Arial" w:cs="Arial"/>
          <w:sz w:val="22"/>
          <w:szCs w:val="22"/>
        </w:rPr>
        <w:t xml:space="preserve"> Se aprueba el Anteproyecto de Presupuesto de Egresos del Instituto Electoral y de Participación Ciudadana d</w:t>
      </w:r>
      <w:r w:rsidR="00AC2268" w:rsidRPr="00534D25">
        <w:rPr>
          <w:rFonts w:ascii="Arial" w:hAnsi="Arial" w:cs="Arial"/>
          <w:sz w:val="22"/>
          <w:szCs w:val="22"/>
        </w:rPr>
        <w:t>e Tabasco para el ejercicio 2026</w:t>
      </w:r>
      <w:r w:rsidR="0090129D" w:rsidRPr="00534D25">
        <w:rPr>
          <w:rFonts w:ascii="Arial" w:hAnsi="Arial" w:cs="Arial"/>
          <w:sz w:val="22"/>
          <w:szCs w:val="22"/>
        </w:rPr>
        <w:t xml:space="preserve"> que incluye el Tabulador de Sueldos y Salarios de los Servidores Públicos del Instituto Electoral y de Participación Ciudadana; por un monto total</w:t>
      </w:r>
      <w:r w:rsidRPr="00534D25">
        <w:rPr>
          <w:rFonts w:ascii="Arial" w:hAnsi="Arial" w:cs="Arial"/>
          <w:sz w:val="22"/>
          <w:szCs w:val="22"/>
        </w:rPr>
        <w:t xml:space="preserve"> de </w:t>
      </w:r>
      <w:r w:rsidRPr="00534D25">
        <w:rPr>
          <w:rFonts w:ascii="Arial" w:hAnsi="Arial" w:cs="Arial"/>
          <w:b/>
          <w:sz w:val="22"/>
          <w:szCs w:val="22"/>
        </w:rPr>
        <w:t>$</w:t>
      </w:r>
      <w:r w:rsidR="00EE1BC1" w:rsidRPr="00534D25">
        <w:rPr>
          <w:rFonts w:ascii="Arial" w:hAnsi="Arial" w:cs="Arial"/>
          <w:b/>
          <w:sz w:val="22"/>
          <w:szCs w:val="22"/>
        </w:rPr>
        <w:t>321,537,028</w:t>
      </w:r>
      <w:r w:rsidRPr="00534D25">
        <w:rPr>
          <w:rFonts w:ascii="Arial" w:hAnsi="Arial" w:cs="Arial"/>
          <w:b/>
          <w:sz w:val="22"/>
          <w:szCs w:val="22"/>
        </w:rPr>
        <w:t>.00 (</w:t>
      </w:r>
      <w:r w:rsidR="00EE1BC1" w:rsidRPr="00534D25">
        <w:rPr>
          <w:rFonts w:ascii="Arial" w:hAnsi="Arial" w:cs="Arial"/>
          <w:b/>
          <w:sz w:val="22"/>
          <w:szCs w:val="22"/>
        </w:rPr>
        <w:t>tre</w:t>
      </w:r>
      <w:r w:rsidR="00B03E11" w:rsidRPr="00534D25">
        <w:rPr>
          <w:rFonts w:ascii="Arial" w:hAnsi="Arial" w:cs="Arial"/>
          <w:b/>
          <w:sz w:val="22"/>
          <w:szCs w:val="22"/>
        </w:rPr>
        <w:t>s</w:t>
      </w:r>
      <w:r w:rsidR="00EE1BC1" w:rsidRPr="00534D25">
        <w:rPr>
          <w:rFonts w:ascii="Arial" w:hAnsi="Arial" w:cs="Arial"/>
          <w:b/>
          <w:sz w:val="22"/>
          <w:szCs w:val="22"/>
        </w:rPr>
        <w:t>cientos veintiún millones quinientos treinta y siete mil veintiocho pesos</w:t>
      </w:r>
      <w:r w:rsidRPr="00534D25">
        <w:rPr>
          <w:rFonts w:ascii="Arial" w:hAnsi="Arial" w:cs="Arial"/>
          <w:b/>
          <w:sz w:val="22"/>
          <w:szCs w:val="22"/>
        </w:rPr>
        <w:t xml:space="preserve"> 00/100 moneda nacional),</w:t>
      </w:r>
      <w:r w:rsidRPr="00534D25">
        <w:rPr>
          <w:rFonts w:ascii="Arial" w:hAnsi="Arial" w:cs="Arial"/>
          <w:sz w:val="22"/>
          <w:szCs w:val="22"/>
        </w:rPr>
        <w:t xml:space="preserve"> mismo que se integra por los siguientes rubros:</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02"/>
        <w:gridCol w:w="2974"/>
        <w:gridCol w:w="1912"/>
        <w:gridCol w:w="1515"/>
        <w:gridCol w:w="1418"/>
      </w:tblGrid>
      <w:tr w:rsidR="00C300F4" w:rsidRPr="00C300F4" w14:paraId="031B3799" w14:textId="074DA6CD" w:rsidTr="005E7FA8">
        <w:tc>
          <w:tcPr>
            <w:tcW w:w="1118" w:type="dxa"/>
            <w:vMerge w:val="restart"/>
            <w:shd w:val="clear" w:color="auto" w:fill="993366"/>
            <w:vAlign w:val="center"/>
          </w:tcPr>
          <w:p w14:paraId="73985282" w14:textId="77777777"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Capítulo</w:t>
            </w:r>
          </w:p>
        </w:tc>
        <w:tc>
          <w:tcPr>
            <w:tcW w:w="3073" w:type="dxa"/>
            <w:vMerge w:val="restart"/>
            <w:shd w:val="clear" w:color="auto" w:fill="993366"/>
            <w:vAlign w:val="center"/>
          </w:tcPr>
          <w:p w14:paraId="35A239BE" w14:textId="77777777"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Descripción</w:t>
            </w:r>
          </w:p>
        </w:tc>
        <w:tc>
          <w:tcPr>
            <w:tcW w:w="3470" w:type="dxa"/>
            <w:gridSpan w:val="2"/>
            <w:shd w:val="clear" w:color="auto" w:fill="993366"/>
            <w:vAlign w:val="center"/>
          </w:tcPr>
          <w:p w14:paraId="7A2F1262" w14:textId="7B326B28"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Gasto</w:t>
            </w:r>
          </w:p>
        </w:tc>
        <w:tc>
          <w:tcPr>
            <w:tcW w:w="1167" w:type="dxa"/>
            <w:vMerge w:val="restart"/>
            <w:shd w:val="clear" w:color="auto" w:fill="993366"/>
          </w:tcPr>
          <w:p w14:paraId="4904C723" w14:textId="37532184"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Total</w:t>
            </w:r>
          </w:p>
        </w:tc>
      </w:tr>
      <w:tr w:rsidR="00C300F4" w:rsidRPr="00C300F4" w14:paraId="45143AA3" w14:textId="77777777" w:rsidTr="005E7FA8">
        <w:tc>
          <w:tcPr>
            <w:tcW w:w="1118" w:type="dxa"/>
            <w:vMerge/>
            <w:shd w:val="clear" w:color="auto" w:fill="993366"/>
            <w:vAlign w:val="center"/>
          </w:tcPr>
          <w:p w14:paraId="54C2EFF9" w14:textId="77777777" w:rsidR="005E7FA8" w:rsidRPr="00C300F4" w:rsidRDefault="005E7FA8" w:rsidP="001D3D48">
            <w:pPr>
              <w:spacing w:before="40" w:after="40"/>
              <w:jc w:val="center"/>
              <w:rPr>
                <w:rFonts w:ascii="Arial" w:hAnsi="Arial" w:cs="Arial"/>
                <w:b/>
                <w:sz w:val="16"/>
                <w:szCs w:val="16"/>
              </w:rPr>
            </w:pPr>
          </w:p>
        </w:tc>
        <w:tc>
          <w:tcPr>
            <w:tcW w:w="3073" w:type="dxa"/>
            <w:vMerge/>
            <w:shd w:val="clear" w:color="auto" w:fill="993366"/>
            <w:vAlign w:val="center"/>
          </w:tcPr>
          <w:p w14:paraId="557CFC05" w14:textId="77777777" w:rsidR="005E7FA8" w:rsidRPr="00C300F4" w:rsidRDefault="005E7FA8" w:rsidP="001D3D48">
            <w:pPr>
              <w:spacing w:before="40" w:after="40"/>
              <w:jc w:val="center"/>
              <w:rPr>
                <w:rFonts w:ascii="Arial" w:hAnsi="Arial" w:cs="Arial"/>
                <w:b/>
                <w:sz w:val="16"/>
                <w:szCs w:val="16"/>
              </w:rPr>
            </w:pPr>
          </w:p>
        </w:tc>
        <w:tc>
          <w:tcPr>
            <w:tcW w:w="1943" w:type="dxa"/>
            <w:shd w:val="clear" w:color="auto" w:fill="993366"/>
            <w:vAlign w:val="center"/>
          </w:tcPr>
          <w:p w14:paraId="2CBDEBE6" w14:textId="77777777"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Ordinario</w:t>
            </w:r>
          </w:p>
        </w:tc>
        <w:tc>
          <w:tcPr>
            <w:tcW w:w="1527" w:type="dxa"/>
            <w:shd w:val="clear" w:color="auto" w:fill="993366"/>
            <w:vAlign w:val="center"/>
          </w:tcPr>
          <w:p w14:paraId="36DD407B" w14:textId="655F448D" w:rsidR="005E7FA8" w:rsidRPr="00C300F4" w:rsidRDefault="005E7FA8" w:rsidP="001D3D48">
            <w:pPr>
              <w:spacing w:before="40" w:after="40"/>
              <w:jc w:val="center"/>
              <w:rPr>
                <w:rFonts w:ascii="Arial" w:hAnsi="Arial" w:cs="Arial"/>
                <w:b/>
                <w:color w:val="FFFFFF" w:themeColor="background1"/>
                <w:sz w:val="16"/>
                <w:szCs w:val="16"/>
              </w:rPr>
            </w:pPr>
            <w:r w:rsidRPr="00C300F4">
              <w:rPr>
                <w:rFonts w:ascii="Arial" w:hAnsi="Arial" w:cs="Arial"/>
                <w:b/>
                <w:color w:val="FFFFFF" w:themeColor="background1"/>
                <w:sz w:val="16"/>
                <w:szCs w:val="16"/>
              </w:rPr>
              <w:t>Electoral</w:t>
            </w:r>
          </w:p>
        </w:tc>
        <w:tc>
          <w:tcPr>
            <w:tcW w:w="1167" w:type="dxa"/>
            <w:vMerge/>
            <w:shd w:val="clear" w:color="auto" w:fill="993366"/>
          </w:tcPr>
          <w:p w14:paraId="60FF8167" w14:textId="77777777" w:rsidR="005E7FA8" w:rsidRPr="00C300F4" w:rsidRDefault="005E7FA8" w:rsidP="001D3D48">
            <w:pPr>
              <w:spacing w:before="40" w:after="40"/>
              <w:jc w:val="center"/>
              <w:rPr>
                <w:rFonts w:ascii="Arial" w:hAnsi="Arial" w:cs="Arial"/>
                <w:b/>
                <w:sz w:val="16"/>
                <w:szCs w:val="16"/>
              </w:rPr>
            </w:pPr>
          </w:p>
        </w:tc>
      </w:tr>
      <w:tr w:rsidR="00C300F4" w:rsidRPr="00C300F4" w14:paraId="50AACC77" w14:textId="57585A30" w:rsidTr="005E7FA8">
        <w:tc>
          <w:tcPr>
            <w:tcW w:w="1118" w:type="dxa"/>
            <w:vMerge w:val="restart"/>
            <w:vAlign w:val="center"/>
          </w:tcPr>
          <w:p w14:paraId="4630A38D" w14:textId="77777777" w:rsidR="00EE1BC1" w:rsidRPr="00C300F4" w:rsidRDefault="00EE1BC1" w:rsidP="001D3D48">
            <w:pPr>
              <w:spacing w:before="40" w:after="40"/>
              <w:jc w:val="center"/>
              <w:rPr>
                <w:rFonts w:ascii="Arial" w:hAnsi="Arial" w:cs="Arial"/>
                <w:b/>
                <w:sz w:val="16"/>
                <w:szCs w:val="16"/>
              </w:rPr>
            </w:pPr>
            <w:r w:rsidRPr="00C300F4">
              <w:rPr>
                <w:rFonts w:ascii="Arial" w:hAnsi="Arial" w:cs="Arial"/>
                <w:b/>
                <w:sz w:val="16"/>
                <w:szCs w:val="16"/>
              </w:rPr>
              <w:t>1000</w:t>
            </w:r>
          </w:p>
        </w:tc>
        <w:tc>
          <w:tcPr>
            <w:tcW w:w="3073" w:type="dxa"/>
            <w:vAlign w:val="center"/>
          </w:tcPr>
          <w:p w14:paraId="52FF3031" w14:textId="77777777" w:rsidR="00EE1BC1" w:rsidRPr="00C300F4" w:rsidRDefault="00EE1BC1" w:rsidP="001D3D48">
            <w:pPr>
              <w:spacing w:before="40" w:after="40"/>
              <w:rPr>
                <w:rFonts w:ascii="Arial" w:hAnsi="Arial" w:cs="Arial"/>
                <w:b/>
                <w:sz w:val="16"/>
                <w:szCs w:val="16"/>
              </w:rPr>
            </w:pPr>
            <w:r w:rsidRPr="00C300F4">
              <w:rPr>
                <w:rFonts w:ascii="Arial" w:hAnsi="Arial" w:cs="Arial"/>
                <w:b/>
                <w:sz w:val="16"/>
                <w:szCs w:val="16"/>
              </w:rPr>
              <w:t>Servicios personales</w:t>
            </w:r>
          </w:p>
        </w:tc>
        <w:tc>
          <w:tcPr>
            <w:tcW w:w="1943" w:type="dxa"/>
          </w:tcPr>
          <w:p w14:paraId="22E89BB9" w14:textId="32A8888B"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$103,844,380</w:t>
            </w:r>
            <w:r w:rsidR="00EE1BC1" w:rsidRPr="00C300F4">
              <w:rPr>
                <w:rFonts w:ascii="Arial" w:hAnsi="Arial" w:cs="Arial"/>
                <w:b/>
                <w:sz w:val="16"/>
                <w:szCs w:val="16"/>
              </w:rPr>
              <w:t xml:space="preserve">.00 </w:t>
            </w:r>
          </w:p>
        </w:tc>
        <w:tc>
          <w:tcPr>
            <w:tcW w:w="1527" w:type="dxa"/>
          </w:tcPr>
          <w:p w14:paraId="2F08B346" w14:textId="6D1F795C"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$48,974,315.00</w:t>
            </w:r>
          </w:p>
        </w:tc>
        <w:tc>
          <w:tcPr>
            <w:tcW w:w="1167" w:type="dxa"/>
          </w:tcPr>
          <w:p w14:paraId="7388C06C" w14:textId="4CFF3D76"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$152,818,695.00</w:t>
            </w:r>
          </w:p>
        </w:tc>
      </w:tr>
      <w:tr w:rsidR="00C300F4" w:rsidRPr="00C300F4" w14:paraId="2F57643A" w14:textId="604AD908" w:rsidTr="005E7FA8">
        <w:tc>
          <w:tcPr>
            <w:tcW w:w="1118" w:type="dxa"/>
            <w:vMerge/>
            <w:vAlign w:val="center"/>
          </w:tcPr>
          <w:p w14:paraId="4372DD47" w14:textId="77777777" w:rsidR="00EE1BC1" w:rsidRPr="00C300F4" w:rsidRDefault="00EE1BC1" w:rsidP="001D3D48">
            <w:pPr>
              <w:spacing w:before="40" w:after="40"/>
              <w:jc w:val="center"/>
              <w:rPr>
                <w:rFonts w:ascii="Arial" w:hAnsi="Arial" w:cs="Arial"/>
                <w:b/>
                <w:sz w:val="16"/>
                <w:szCs w:val="16"/>
              </w:rPr>
            </w:pPr>
          </w:p>
        </w:tc>
        <w:tc>
          <w:tcPr>
            <w:tcW w:w="3073" w:type="dxa"/>
            <w:vAlign w:val="center"/>
          </w:tcPr>
          <w:p w14:paraId="289FC3C9" w14:textId="5F7BAB40" w:rsidR="00EE1BC1" w:rsidRPr="00C300F4" w:rsidRDefault="005E7FA8" w:rsidP="001D3D48">
            <w:pPr>
              <w:spacing w:before="40" w:after="40"/>
              <w:rPr>
                <w:rFonts w:ascii="Arial" w:hAnsi="Arial" w:cs="Arial"/>
                <w:b/>
                <w:sz w:val="16"/>
                <w:szCs w:val="16"/>
              </w:rPr>
            </w:pPr>
            <w:r w:rsidRPr="00C300F4">
              <w:rPr>
                <w:rFonts w:ascii="Arial" w:hAnsi="Arial" w:cs="Arial"/>
                <w:b/>
                <w:sz w:val="16"/>
                <w:szCs w:val="16"/>
              </w:rPr>
              <w:t>Aportaciones al ISSET</w:t>
            </w:r>
          </w:p>
        </w:tc>
        <w:tc>
          <w:tcPr>
            <w:tcW w:w="1943" w:type="dxa"/>
          </w:tcPr>
          <w:p w14:paraId="1426CB71" w14:textId="7EEB04C4"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 xml:space="preserve"> $8,361,147</w:t>
            </w:r>
            <w:r w:rsidR="00EE1BC1" w:rsidRPr="00C300F4">
              <w:rPr>
                <w:rFonts w:ascii="Arial" w:hAnsi="Arial" w:cs="Arial"/>
                <w:b/>
                <w:sz w:val="16"/>
                <w:szCs w:val="16"/>
              </w:rPr>
              <w:t xml:space="preserve">.00 </w:t>
            </w:r>
          </w:p>
        </w:tc>
        <w:tc>
          <w:tcPr>
            <w:tcW w:w="1527" w:type="dxa"/>
          </w:tcPr>
          <w:p w14:paraId="4F915915" w14:textId="155973A3"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$2</w:t>
            </w:r>
            <w:r w:rsidR="000003F4" w:rsidRPr="00C300F4">
              <w:rPr>
                <w:rFonts w:ascii="Arial" w:hAnsi="Arial" w:cs="Arial"/>
                <w:b/>
                <w:sz w:val="16"/>
                <w:szCs w:val="16"/>
              </w:rPr>
              <w:t>,</w:t>
            </w:r>
            <w:r w:rsidRPr="00C300F4">
              <w:rPr>
                <w:rFonts w:ascii="Arial" w:hAnsi="Arial" w:cs="Arial"/>
                <w:b/>
                <w:sz w:val="16"/>
                <w:szCs w:val="16"/>
              </w:rPr>
              <w:t>648,823.00</w:t>
            </w:r>
          </w:p>
        </w:tc>
        <w:tc>
          <w:tcPr>
            <w:tcW w:w="1167" w:type="dxa"/>
          </w:tcPr>
          <w:p w14:paraId="3274F407" w14:textId="69AAE5BC"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$11,009,970.00</w:t>
            </w:r>
          </w:p>
        </w:tc>
      </w:tr>
      <w:tr w:rsidR="00C300F4" w:rsidRPr="00C300F4" w14:paraId="79E68831" w14:textId="4BC28E81" w:rsidTr="005E7FA8">
        <w:tc>
          <w:tcPr>
            <w:tcW w:w="1118" w:type="dxa"/>
            <w:vAlign w:val="center"/>
          </w:tcPr>
          <w:p w14:paraId="46ACC50F" w14:textId="77777777" w:rsidR="00EE1BC1" w:rsidRPr="00C300F4" w:rsidRDefault="00EE1BC1" w:rsidP="001D3D48">
            <w:pPr>
              <w:spacing w:before="40" w:after="40"/>
              <w:jc w:val="center"/>
              <w:rPr>
                <w:rFonts w:ascii="Arial" w:hAnsi="Arial" w:cs="Arial"/>
                <w:b/>
                <w:sz w:val="16"/>
                <w:szCs w:val="16"/>
              </w:rPr>
            </w:pPr>
            <w:r w:rsidRPr="00C300F4">
              <w:rPr>
                <w:rFonts w:ascii="Arial" w:hAnsi="Arial" w:cs="Arial"/>
                <w:b/>
                <w:sz w:val="16"/>
                <w:szCs w:val="16"/>
              </w:rPr>
              <w:t>2000</w:t>
            </w:r>
          </w:p>
        </w:tc>
        <w:tc>
          <w:tcPr>
            <w:tcW w:w="3073" w:type="dxa"/>
            <w:vAlign w:val="center"/>
          </w:tcPr>
          <w:p w14:paraId="6D10AEEE" w14:textId="77777777" w:rsidR="00EE1BC1" w:rsidRPr="00C300F4" w:rsidRDefault="00EE1BC1" w:rsidP="001D3D48">
            <w:pPr>
              <w:spacing w:before="40" w:after="40"/>
              <w:rPr>
                <w:rFonts w:ascii="Arial" w:hAnsi="Arial" w:cs="Arial"/>
                <w:b/>
                <w:sz w:val="16"/>
                <w:szCs w:val="16"/>
              </w:rPr>
            </w:pPr>
            <w:r w:rsidRPr="00C300F4">
              <w:rPr>
                <w:rFonts w:ascii="Arial" w:hAnsi="Arial" w:cs="Arial"/>
                <w:b/>
                <w:sz w:val="16"/>
                <w:szCs w:val="16"/>
              </w:rPr>
              <w:t>Materiales y suministros</w:t>
            </w:r>
          </w:p>
        </w:tc>
        <w:tc>
          <w:tcPr>
            <w:tcW w:w="1943" w:type="dxa"/>
          </w:tcPr>
          <w:p w14:paraId="3413E28A" w14:textId="727DE974"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 xml:space="preserve"> $6,392,532</w:t>
            </w:r>
            <w:r w:rsidR="00EE1BC1" w:rsidRPr="00C300F4">
              <w:rPr>
                <w:rFonts w:ascii="Arial" w:hAnsi="Arial" w:cs="Arial"/>
                <w:b/>
                <w:sz w:val="16"/>
                <w:szCs w:val="16"/>
              </w:rPr>
              <w:t xml:space="preserve">.00 </w:t>
            </w:r>
          </w:p>
        </w:tc>
        <w:tc>
          <w:tcPr>
            <w:tcW w:w="1527" w:type="dxa"/>
          </w:tcPr>
          <w:p w14:paraId="01FAAA79" w14:textId="3D23FA6C"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w:t>
            </w:r>
            <w:r w:rsidR="000003F4" w:rsidRPr="00C300F4">
              <w:rPr>
                <w:rFonts w:ascii="Arial" w:hAnsi="Arial" w:cs="Arial"/>
                <w:b/>
                <w:sz w:val="16"/>
                <w:szCs w:val="16"/>
              </w:rPr>
              <w:t>7,698,077</w:t>
            </w:r>
          </w:p>
        </w:tc>
        <w:tc>
          <w:tcPr>
            <w:tcW w:w="1167" w:type="dxa"/>
          </w:tcPr>
          <w:p w14:paraId="01E1BC2A" w14:textId="1E9AB72C"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$14,090,609.00</w:t>
            </w:r>
          </w:p>
        </w:tc>
      </w:tr>
      <w:tr w:rsidR="00C300F4" w:rsidRPr="00C300F4" w14:paraId="78D526D4" w14:textId="4BFC4DCE" w:rsidTr="005E7FA8">
        <w:tc>
          <w:tcPr>
            <w:tcW w:w="1118" w:type="dxa"/>
            <w:vMerge w:val="restart"/>
            <w:vAlign w:val="center"/>
          </w:tcPr>
          <w:p w14:paraId="1C03CB9F" w14:textId="77777777" w:rsidR="00EE1BC1" w:rsidRPr="00C300F4" w:rsidRDefault="00EE1BC1" w:rsidP="001D3D48">
            <w:pPr>
              <w:spacing w:before="40" w:after="40"/>
              <w:jc w:val="center"/>
              <w:rPr>
                <w:rFonts w:ascii="Arial" w:hAnsi="Arial" w:cs="Arial"/>
                <w:b/>
                <w:sz w:val="16"/>
                <w:szCs w:val="16"/>
              </w:rPr>
            </w:pPr>
            <w:r w:rsidRPr="00C300F4">
              <w:rPr>
                <w:rFonts w:ascii="Arial" w:hAnsi="Arial" w:cs="Arial"/>
                <w:b/>
                <w:sz w:val="16"/>
                <w:szCs w:val="16"/>
              </w:rPr>
              <w:t>3000</w:t>
            </w:r>
          </w:p>
        </w:tc>
        <w:tc>
          <w:tcPr>
            <w:tcW w:w="3073" w:type="dxa"/>
            <w:vAlign w:val="center"/>
          </w:tcPr>
          <w:p w14:paraId="58A74423" w14:textId="77777777" w:rsidR="00EE1BC1" w:rsidRPr="00C300F4" w:rsidRDefault="00EE1BC1" w:rsidP="001D3D48">
            <w:pPr>
              <w:spacing w:before="40" w:after="40"/>
              <w:rPr>
                <w:rFonts w:ascii="Arial" w:hAnsi="Arial" w:cs="Arial"/>
                <w:b/>
                <w:sz w:val="16"/>
                <w:szCs w:val="16"/>
              </w:rPr>
            </w:pPr>
            <w:r w:rsidRPr="00C300F4">
              <w:rPr>
                <w:rFonts w:ascii="Arial" w:hAnsi="Arial" w:cs="Arial"/>
                <w:b/>
                <w:sz w:val="16"/>
                <w:szCs w:val="16"/>
              </w:rPr>
              <w:t>Servicios generales</w:t>
            </w:r>
          </w:p>
        </w:tc>
        <w:tc>
          <w:tcPr>
            <w:tcW w:w="1943" w:type="dxa"/>
          </w:tcPr>
          <w:p w14:paraId="23EDE775" w14:textId="29E6014B" w:rsidR="00EE1BC1" w:rsidRPr="00C300F4" w:rsidRDefault="00EE1BC1" w:rsidP="005E7FA8">
            <w:pPr>
              <w:spacing w:before="40" w:after="40"/>
              <w:jc w:val="right"/>
              <w:rPr>
                <w:rFonts w:ascii="Arial" w:hAnsi="Arial" w:cs="Arial"/>
                <w:b/>
                <w:sz w:val="16"/>
                <w:szCs w:val="16"/>
              </w:rPr>
            </w:pPr>
            <w:r w:rsidRPr="00C300F4">
              <w:rPr>
                <w:rFonts w:ascii="Arial" w:hAnsi="Arial" w:cs="Arial"/>
                <w:b/>
                <w:sz w:val="16"/>
                <w:szCs w:val="16"/>
              </w:rPr>
              <w:t xml:space="preserve"> $</w:t>
            </w:r>
            <w:r w:rsidR="005E7FA8" w:rsidRPr="00C300F4">
              <w:rPr>
                <w:rFonts w:ascii="Arial" w:hAnsi="Arial" w:cs="Arial"/>
                <w:b/>
                <w:sz w:val="16"/>
                <w:szCs w:val="16"/>
              </w:rPr>
              <w:t>28,125,433</w:t>
            </w:r>
            <w:r w:rsidRPr="00C300F4">
              <w:rPr>
                <w:rFonts w:ascii="Arial" w:hAnsi="Arial" w:cs="Arial"/>
                <w:b/>
                <w:sz w:val="16"/>
                <w:szCs w:val="16"/>
              </w:rPr>
              <w:t xml:space="preserve">.00 </w:t>
            </w:r>
          </w:p>
        </w:tc>
        <w:tc>
          <w:tcPr>
            <w:tcW w:w="1527" w:type="dxa"/>
          </w:tcPr>
          <w:p w14:paraId="7AE19EC6" w14:textId="4DA8748B"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$19,026,618.00</w:t>
            </w:r>
          </w:p>
        </w:tc>
        <w:tc>
          <w:tcPr>
            <w:tcW w:w="1167" w:type="dxa"/>
          </w:tcPr>
          <w:p w14:paraId="2941BAAC" w14:textId="1B159DBF"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$47,152,051.00</w:t>
            </w:r>
          </w:p>
        </w:tc>
      </w:tr>
      <w:tr w:rsidR="00C300F4" w:rsidRPr="00C300F4" w14:paraId="60A66FE0" w14:textId="59A31301" w:rsidTr="005E7FA8">
        <w:tc>
          <w:tcPr>
            <w:tcW w:w="1118" w:type="dxa"/>
            <w:vMerge/>
            <w:vAlign w:val="center"/>
          </w:tcPr>
          <w:p w14:paraId="243F7D1E" w14:textId="77777777" w:rsidR="00EE1BC1" w:rsidRPr="00C300F4" w:rsidRDefault="00EE1BC1" w:rsidP="001D3D48">
            <w:pPr>
              <w:spacing w:before="40" w:after="40"/>
              <w:jc w:val="center"/>
              <w:rPr>
                <w:rFonts w:ascii="Arial" w:hAnsi="Arial" w:cs="Arial"/>
                <w:b/>
                <w:sz w:val="16"/>
                <w:szCs w:val="16"/>
              </w:rPr>
            </w:pPr>
          </w:p>
        </w:tc>
        <w:tc>
          <w:tcPr>
            <w:tcW w:w="3073" w:type="dxa"/>
            <w:vAlign w:val="center"/>
          </w:tcPr>
          <w:p w14:paraId="32AFA32B" w14:textId="77777777" w:rsidR="00EE1BC1" w:rsidRPr="00C300F4" w:rsidRDefault="00EE1BC1" w:rsidP="001D3D48">
            <w:pPr>
              <w:spacing w:before="40" w:after="40"/>
              <w:rPr>
                <w:rFonts w:ascii="Arial" w:hAnsi="Arial" w:cs="Arial"/>
                <w:b/>
                <w:sz w:val="16"/>
                <w:szCs w:val="16"/>
              </w:rPr>
            </w:pPr>
            <w:r w:rsidRPr="00C300F4">
              <w:rPr>
                <w:rFonts w:ascii="Arial" w:hAnsi="Arial" w:cs="Arial"/>
                <w:b/>
                <w:sz w:val="16"/>
                <w:szCs w:val="16"/>
              </w:rPr>
              <w:t>Impuesto Sobre Nómina</w:t>
            </w:r>
          </w:p>
        </w:tc>
        <w:tc>
          <w:tcPr>
            <w:tcW w:w="1943" w:type="dxa"/>
          </w:tcPr>
          <w:p w14:paraId="1713761A" w14:textId="26156526" w:rsidR="00EE1BC1" w:rsidRPr="00C300F4" w:rsidRDefault="005E7FA8" w:rsidP="001D3D48">
            <w:pPr>
              <w:spacing w:before="40" w:after="40"/>
              <w:jc w:val="right"/>
              <w:rPr>
                <w:rFonts w:ascii="Arial" w:hAnsi="Arial" w:cs="Arial"/>
                <w:b/>
                <w:sz w:val="16"/>
                <w:szCs w:val="16"/>
              </w:rPr>
            </w:pPr>
            <w:r w:rsidRPr="00C300F4">
              <w:rPr>
                <w:rFonts w:ascii="Arial" w:hAnsi="Arial" w:cs="Arial"/>
                <w:b/>
                <w:sz w:val="16"/>
                <w:szCs w:val="16"/>
              </w:rPr>
              <w:t xml:space="preserve"> $3,115,332</w:t>
            </w:r>
            <w:r w:rsidR="00EE1BC1" w:rsidRPr="00C300F4">
              <w:rPr>
                <w:rFonts w:ascii="Arial" w:hAnsi="Arial" w:cs="Arial"/>
                <w:b/>
                <w:sz w:val="16"/>
                <w:szCs w:val="16"/>
              </w:rPr>
              <w:t xml:space="preserve">.00 </w:t>
            </w:r>
          </w:p>
        </w:tc>
        <w:tc>
          <w:tcPr>
            <w:tcW w:w="1527" w:type="dxa"/>
          </w:tcPr>
          <w:p w14:paraId="3C21CC77" w14:textId="4181B7C4"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$1,458,730</w:t>
            </w:r>
          </w:p>
        </w:tc>
        <w:tc>
          <w:tcPr>
            <w:tcW w:w="1167" w:type="dxa"/>
          </w:tcPr>
          <w:p w14:paraId="601CE1E1" w14:textId="205E038F" w:rsidR="00EE1BC1"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$4,574,062.00</w:t>
            </w:r>
          </w:p>
        </w:tc>
      </w:tr>
      <w:tr w:rsidR="00C300F4" w:rsidRPr="00C300F4" w14:paraId="068824A2" w14:textId="4F1270BE" w:rsidTr="005E7FA8">
        <w:trPr>
          <w:trHeight w:val="143"/>
        </w:trPr>
        <w:tc>
          <w:tcPr>
            <w:tcW w:w="1118" w:type="dxa"/>
            <w:vMerge w:val="restart"/>
            <w:vAlign w:val="center"/>
          </w:tcPr>
          <w:p w14:paraId="6C1ED98F" w14:textId="77777777" w:rsidR="005E7FA8" w:rsidRPr="00C300F4" w:rsidRDefault="005E7FA8" w:rsidP="001D3D48">
            <w:pPr>
              <w:spacing w:before="40" w:after="40"/>
              <w:jc w:val="center"/>
              <w:rPr>
                <w:rFonts w:ascii="Arial" w:hAnsi="Arial" w:cs="Arial"/>
                <w:b/>
                <w:sz w:val="16"/>
                <w:szCs w:val="16"/>
              </w:rPr>
            </w:pPr>
            <w:r w:rsidRPr="00C300F4">
              <w:rPr>
                <w:rFonts w:ascii="Arial" w:hAnsi="Arial" w:cs="Arial"/>
                <w:b/>
                <w:sz w:val="16"/>
                <w:szCs w:val="16"/>
              </w:rPr>
              <w:t>4000</w:t>
            </w:r>
          </w:p>
        </w:tc>
        <w:tc>
          <w:tcPr>
            <w:tcW w:w="3073" w:type="dxa"/>
            <w:vAlign w:val="center"/>
          </w:tcPr>
          <w:p w14:paraId="768D4672" w14:textId="232045A6" w:rsidR="005E7FA8" w:rsidRPr="00C300F4" w:rsidRDefault="005E7FA8" w:rsidP="001D3D48">
            <w:pPr>
              <w:spacing w:before="40" w:after="40"/>
              <w:rPr>
                <w:rFonts w:ascii="Arial" w:hAnsi="Arial" w:cs="Arial"/>
                <w:b/>
                <w:sz w:val="16"/>
                <w:szCs w:val="16"/>
              </w:rPr>
            </w:pPr>
            <w:r w:rsidRPr="00C300F4">
              <w:rPr>
                <w:rFonts w:ascii="Arial" w:hAnsi="Arial" w:cs="Arial"/>
                <w:b/>
                <w:sz w:val="16"/>
                <w:szCs w:val="16"/>
              </w:rPr>
              <w:t>Financiamiento a partidos políticos</w:t>
            </w:r>
          </w:p>
        </w:tc>
        <w:tc>
          <w:tcPr>
            <w:tcW w:w="1943" w:type="dxa"/>
          </w:tcPr>
          <w:p w14:paraId="24D47B3A" w14:textId="22BC2A06" w:rsidR="005E7FA8" w:rsidRPr="00C300F4" w:rsidRDefault="005E7FA8" w:rsidP="005E7FA8">
            <w:pPr>
              <w:spacing w:before="40" w:after="40"/>
              <w:jc w:val="right"/>
              <w:rPr>
                <w:rFonts w:ascii="Arial" w:hAnsi="Arial" w:cs="Arial"/>
                <w:b/>
                <w:sz w:val="16"/>
                <w:szCs w:val="16"/>
              </w:rPr>
            </w:pPr>
            <w:r w:rsidRPr="00C300F4">
              <w:rPr>
                <w:rFonts w:ascii="Arial" w:hAnsi="Arial" w:cs="Arial"/>
                <w:b/>
                <w:sz w:val="16"/>
                <w:szCs w:val="16"/>
              </w:rPr>
              <w:t xml:space="preserve"> $77,246,134.00 </w:t>
            </w:r>
          </w:p>
        </w:tc>
        <w:tc>
          <w:tcPr>
            <w:tcW w:w="1527" w:type="dxa"/>
          </w:tcPr>
          <w:p w14:paraId="6242D87A" w14:textId="369B348F" w:rsidR="005E7FA8"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w:t>
            </w:r>
          </w:p>
        </w:tc>
        <w:tc>
          <w:tcPr>
            <w:tcW w:w="1167" w:type="dxa"/>
          </w:tcPr>
          <w:p w14:paraId="117C1A78" w14:textId="346FC03A" w:rsidR="005E7FA8"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$77,246,134.00</w:t>
            </w:r>
          </w:p>
        </w:tc>
      </w:tr>
      <w:tr w:rsidR="00C300F4" w:rsidRPr="00C300F4" w14:paraId="58A9E4C8" w14:textId="77777777" w:rsidTr="005E7FA8">
        <w:trPr>
          <w:trHeight w:val="142"/>
        </w:trPr>
        <w:tc>
          <w:tcPr>
            <w:tcW w:w="1118" w:type="dxa"/>
            <w:vMerge/>
            <w:vAlign w:val="center"/>
          </w:tcPr>
          <w:p w14:paraId="7722DB24" w14:textId="77777777" w:rsidR="005E7FA8" w:rsidRPr="00C300F4" w:rsidRDefault="005E7FA8" w:rsidP="001D3D48">
            <w:pPr>
              <w:spacing w:before="40" w:after="40"/>
              <w:jc w:val="center"/>
              <w:rPr>
                <w:rFonts w:ascii="Arial" w:hAnsi="Arial" w:cs="Arial"/>
                <w:b/>
                <w:sz w:val="16"/>
                <w:szCs w:val="16"/>
              </w:rPr>
            </w:pPr>
          </w:p>
        </w:tc>
        <w:tc>
          <w:tcPr>
            <w:tcW w:w="3073" w:type="dxa"/>
            <w:vAlign w:val="center"/>
          </w:tcPr>
          <w:p w14:paraId="0F3DECCA" w14:textId="2ECC15A4" w:rsidR="005E7FA8" w:rsidRPr="00C300F4" w:rsidRDefault="005E7FA8" w:rsidP="001D3D48">
            <w:pPr>
              <w:spacing w:before="40" w:after="40"/>
              <w:rPr>
                <w:rFonts w:ascii="Arial" w:hAnsi="Arial" w:cs="Arial"/>
                <w:b/>
                <w:sz w:val="16"/>
                <w:szCs w:val="16"/>
              </w:rPr>
            </w:pPr>
            <w:r w:rsidRPr="00C300F4">
              <w:rPr>
                <w:rFonts w:ascii="Arial" w:hAnsi="Arial" w:cs="Arial"/>
                <w:b/>
                <w:sz w:val="16"/>
                <w:szCs w:val="16"/>
              </w:rPr>
              <w:t>Dietas a consejeros Electorales Distritales</w:t>
            </w:r>
          </w:p>
        </w:tc>
        <w:tc>
          <w:tcPr>
            <w:tcW w:w="1943" w:type="dxa"/>
          </w:tcPr>
          <w:p w14:paraId="55B1CCD6" w14:textId="4ADF3064"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w:t>
            </w:r>
          </w:p>
        </w:tc>
        <w:tc>
          <w:tcPr>
            <w:tcW w:w="1527" w:type="dxa"/>
          </w:tcPr>
          <w:p w14:paraId="210C0436" w14:textId="39AB30DA" w:rsidR="005E7FA8"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$1,057,457.00</w:t>
            </w:r>
          </w:p>
        </w:tc>
        <w:tc>
          <w:tcPr>
            <w:tcW w:w="1167" w:type="dxa"/>
          </w:tcPr>
          <w:p w14:paraId="650A569E" w14:textId="686937ED" w:rsidR="005E7FA8" w:rsidRPr="00C300F4" w:rsidRDefault="000003F4" w:rsidP="001D3D48">
            <w:pPr>
              <w:spacing w:before="40" w:after="40"/>
              <w:jc w:val="right"/>
              <w:rPr>
                <w:rFonts w:ascii="Arial" w:hAnsi="Arial" w:cs="Arial"/>
                <w:b/>
                <w:sz w:val="16"/>
                <w:szCs w:val="16"/>
              </w:rPr>
            </w:pPr>
            <w:r w:rsidRPr="00C300F4">
              <w:rPr>
                <w:rFonts w:ascii="Arial" w:hAnsi="Arial" w:cs="Arial"/>
                <w:b/>
                <w:sz w:val="16"/>
                <w:szCs w:val="16"/>
              </w:rPr>
              <w:t>$1,057,457.00</w:t>
            </w:r>
          </w:p>
        </w:tc>
      </w:tr>
      <w:tr w:rsidR="00C300F4" w:rsidRPr="00C300F4" w14:paraId="7409681F" w14:textId="61102138" w:rsidTr="004600FC">
        <w:tc>
          <w:tcPr>
            <w:tcW w:w="1118" w:type="dxa"/>
            <w:tcBorders>
              <w:bottom w:val="single" w:sz="4" w:space="0" w:color="A6A6A6" w:themeColor="background1" w:themeShade="A6"/>
            </w:tcBorders>
            <w:vAlign w:val="center"/>
          </w:tcPr>
          <w:p w14:paraId="2FF2160C" w14:textId="77777777" w:rsidR="005E7FA8" w:rsidRPr="00C300F4" w:rsidRDefault="005E7FA8" w:rsidP="005E7FA8">
            <w:pPr>
              <w:spacing w:before="40" w:after="40"/>
              <w:jc w:val="center"/>
              <w:rPr>
                <w:rFonts w:ascii="Arial" w:hAnsi="Arial" w:cs="Arial"/>
                <w:b/>
                <w:sz w:val="16"/>
                <w:szCs w:val="16"/>
              </w:rPr>
            </w:pPr>
            <w:r w:rsidRPr="00C300F4">
              <w:rPr>
                <w:rFonts w:ascii="Arial" w:hAnsi="Arial" w:cs="Arial"/>
                <w:b/>
                <w:sz w:val="16"/>
                <w:szCs w:val="16"/>
              </w:rPr>
              <w:t>5000</w:t>
            </w:r>
          </w:p>
        </w:tc>
        <w:tc>
          <w:tcPr>
            <w:tcW w:w="3073" w:type="dxa"/>
            <w:vAlign w:val="center"/>
          </w:tcPr>
          <w:p w14:paraId="754490DD" w14:textId="7F134B38" w:rsidR="005E7FA8" w:rsidRPr="00C300F4" w:rsidRDefault="005E7FA8" w:rsidP="005E7FA8">
            <w:pPr>
              <w:spacing w:before="40" w:after="40"/>
              <w:rPr>
                <w:rFonts w:ascii="Arial" w:hAnsi="Arial" w:cs="Arial"/>
                <w:b/>
                <w:sz w:val="16"/>
                <w:szCs w:val="16"/>
              </w:rPr>
            </w:pPr>
            <w:r w:rsidRPr="00C300F4">
              <w:rPr>
                <w:rFonts w:ascii="Arial" w:hAnsi="Arial" w:cs="Arial"/>
                <w:b/>
                <w:sz w:val="16"/>
                <w:szCs w:val="16"/>
              </w:rPr>
              <w:t>Bienes muebles e inmuebles</w:t>
            </w:r>
          </w:p>
        </w:tc>
        <w:tc>
          <w:tcPr>
            <w:tcW w:w="1943" w:type="dxa"/>
            <w:tcBorders>
              <w:bottom w:val="single" w:sz="4" w:space="0" w:color="A6A6A6" w:themeColor="background1" w:themeShade="A6"/>
            </w:tcBorders>
          </w:tcPr>
          <w:p w14:paraId="62766B90" w14:textId="369E5E55" w:rsidR="005E7FA8" w:rsidRPr="00C300F4" w:rsidRDefault="005E7FA8" w:rsidP="000003F4">
            <w:pPr>
              <w:spacing w:before="40" w:after="40"/>
              <w:jc w:val="right"/>
              <w:rPr>
                <w:rFonts w:ascii="Arial" w:hAnsi="Arial" w:cs="Arial"/>
                <w:b/>
                <w:sz w:val="16"/>
                <w:szCs w:val="16"/>
              </w:rPr>
            </w:pPr>
            <w:r w:rsidRPr="00C300F4">
              <w:rPr>
                <w:rFonts w:ascii="Arial" w:hAnsi="Arial" w:cs="Arial"/>
                <w:b/>
                <w:sz w:val="16"/>
                <w:szCs w:val="16"/>
              </w:rPr>
              <w:t xml:space="preserve"> $</w:t>
            </w:r>
            <w:r w:rsidR="000003F4" w:rsidRPr="00C300F4">
              <w:rPr>
                <w:rFonts w:ascii="Arial" w:hAnsi="Arial" w:cs="Arial"/>
                <w:b/>
                <w:sz w:val="16"/>
                <w:szCs w:val="16"/>
              </w:rPr>
              <w:t>9,219,692</w:t>
            </w:r>
            <w:r w:rsidRPr="00C300F4">
              <w:rPr>
                <w:rFonts w:ascii="Arial" w:hAnsi="Arial" w:cs="Arial"/>
                <w:b/>
                <w:sz w:val="16"/>
                <w:szCs w:val="16"/>
              </w:rPr>
              <w:t xml:space="preserve">.00 </w:t>
            </w:r>
          </w:p>
        </w:tc>
        <w:tc>
          <w:tcPr>
            <w:tcW w:w="1527" w:type="dxa"/>
            <w:tcBorders>
              <w:bottom w:val="single" w:sz="4" w:space="0" w:color="A6A6A6" w:themeColor="background1" w:themeShade="A6"/>
            </w:tcBorders>
          </w:tcPr>
          <w:p w14:paraId="3CCF23A7" w14:textId="586C86CF"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$3,718,358.00</w:t>
            </w:r>
          </w:p>
        </w:tc>
        <w:tc>
          <w:tcPr>
            <w:tcW w:w="1167" w:type="dxa"/>
            <w:tcBorders>
              <w:bottom w:val="single" w:sz="4" w:space="0" w:color="A6A6A6" w:themeColor="background1" w:themeShade="A6"/>
            </w:tcBorders>
          </w:tcPr>
          <w:p w14:paraId="42D740F4" w14:textId="6C204E7D"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$12,938,050.00</w:t>
            </w:r>
          </w:p>
        </w:tc>
      </w:tr>
      <w:tr w:rsidR="00C300F4" w:rsidRPr="00C300F4" w14:paraId="2912AD29" w14:textId="56E3A1C9" w:rsidTr="004600FC">
        <w:tc>
          <w:tcPr>
            <w:tcW w:w="1118"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C7449" w14:textId="298BF16C" w:rsidR="005E7FA8" w:rsidRPr="005E7FA8" w:rsidRDefault="005E7FA8" w:rsidP="005E7FA8">
            <w:pPr>
              <w:spacing w:before="40" w:after="40"/>
              <w:jc w:val="center"/>
              <w:rPr>
                <w:rFonts w:ascii="Arial" w:hAnsi="Arial" w:cs="Arial"/>
                <w:b/>
                <w:sz w:val="16"/>
                <w:szCs w:val="16"/>
              </w:rPr>
            </w:pPr>
            <w:r>
              <w:rPr>
                <w:rFonts w:ascii="Arial" w:hAnsi="Arial" w:cs="Arial"/>
                <w:b/>
                <w:sz w:val="16"/>
                <w:szCs w:val="16"/>
              </w:rPr>
              <w:t>8</w:t>
            </w:r>
            <w:r w:rsidRPr="005E7FA8">
              <w:rPr>
                <w:rFonts w:ascii="Arial" w:hAnsi="Arial" w:cs="Arial"/>
                <w:b/>
                <w:sz w:val="16"/>
                <w:szCs w:val="16"/>
              </w:rPr>
              <w:t>000</w:t>
            </w:r>
          </w:p>
        </w:tc>
        <w:tc>
          <w:tcPr>
            <w:tcW w:w="3073" w:type="dxa"/>
            <w:tcBorders>
              <w:bottom w:val="single" w:sz="4" w:space="0" w:color="A6A6A6" w:themeColor="background1" w:themeShade="A6"/>
            </w:tcBorders>
            <w:vAlign w:val="center"/>
          </w:tcPr>
          <w:p w14:paraId="3535D449" w14:textId="7114D819" w:rsidR="005E7FA8" w:rsidRPr="005E7FA8" w:rsidRDefault="005E7FA8" w:rsidP="005E7FA8">
            <w:pPr>
              <w:spacing w:before="40" w:after="40"/>
              <w:rPr>
                <w:rFonts w:ascii="Arial" w:hAnsi="Arial" w:cs="Arial"/>
                <w:b/>
                <w:sz w:val="16"/>
                <w:szCs w:val="16"/>
              </w:rPr>
            </w:pPr>
            <w:r>
              <w:rPr>
                <w:rFonts w:ascii="Arial" w:hAnsi="Arial" w:cs="Arial"/>
                <w:b/>
                <w:sz w:val="16"/>
                <w:szCs w:val="16"/>
              </w:rPr>
              <w:t>Participaciones y Aportaciones</w:t>
            </w:r>
          </w:p>
        </w:tc>
        <w:tc>
          <w:tcPr>
            <w:tcW w:w="194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D1DBE19" w14:textId="6272DB6C"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 xml:space="preserve"> $500</w:t>
            </w:r>
            <w:r w:rsidR="005E7FA8" w:rsidRPr="00C300F4">
              <w:rPr>
                <w:rFonts w:ascii="Arial" w:hAnsi="Arial" w:cs="Arial"/>
                <w:b/>
                <w:sz w:val="16"/>
                <w:szCs w:val="16"/>
              </w:rPr>
              <w:t xml:space="preserve">,000.00 </w:t>
            </w:r>
          </w:p>
        </w:tc>
        <w:tc>
          <w:tcPr>
            <w:tcW w:w="152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122E1B" w14:textId="2ADB34DC"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$150,000.00</w:t>
            </w:r>
          </w:p>
        </w:tc>
        <w:tc>
          <w:tcPr>
            <w:tcW w:w="11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5C2915B" w14:textId="5FF82759"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$650,000.00</w:t>
            </w:r>
          </w:p>
        </w:tc>
      </w:tr>
      <w:tr w:rsidR="00C300F4" w:rsidRPr="00C300F4" w14:paraId="1D20A6A1" w14:textId="444F3B22" w:rsidTr="004600FC">
        <w:tc>
          <w:tcPr>
            <w:tcW w:w="4191" w:type="dxa"/>
            <w:gridSpan w:val="2"/>
            <w:tcBorders>
              <w:top w:val="single" w:sz="4" w:space="0" w:color="A6A6A6" w:themeColor="background1" w:themeShade="A6"/>
              <w:left w:val="nil"/>
              <w:bottom w:val="nil"/>
              <w:right w:val="single" w:sz="4" w:space="0" w:color="A6A6A6" w:themeColor="background1" w:themeShade="A6"/>
            </w:tcBorders>
            <w:vAlign w:val="center"/>
          </w:tcPr>
          <w:p w14:paraId="4C89BCE9" w14:textId="453CBB91" w:rsidR="005E7FA8" w:rsidRPr="005E7FA8" w:rsidRDefault="005E7FA8" w:rsidP="005E7FA8">
            <w:pPr>
              <w:spacing w:before="40" w:after="40"/>
              <w:jc w:val="right"/>
              <w:rPr>
                <w:rFonts w:ascii="Arial" w:hAnsi="Arial" w:cs="Arial"/>
                <w:b/>
                <w:sz w:val="16"/>
                <w:szCs w:val="16"/>
              </w:rPr>
            </w:pPr>
            <w:r w:rsidRPr="005E7FA8">
              <w:rPr>
                <w:rFonts w:ascii="Arial" w:hAnsi="Arial" w:cs="Arial"/>
                <w:b/>
                <w:sz w:val="16"/>
                <w:szCs w:val="16"/>
              </w:rPr>
              <w:t>Tota</w:t>
            </w:r>
            <w:r>
              <w:rPr>
                <w:rFonts w:ascii="Arial" w:hAnsi="Arial" w:cs="Arial"/>
                <w:b/>
                <w:sz w:val="16"/>
                <w:szCs w:val="16"/>
              </w:rPr>
              <w:t>l Presupuesto Consolidado</w:t>
            </w:r>
          </w:p>
        </w:tc>
        <w:tc>
          <w:tcPr>
            <w:tcW w:w="19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10744" w14:textId="55753831" w:rsidR="005E7FA8" w:rsidRPr="00C300F4" w:rsidRDefault="005E7FA8" w:rsidP="005E7FA8">
            <w:pPr>
              <w:spacing w:before="40" w:after="40"/>
              <w:jc w:val="right"/>
              <w:rPr>
                <w:rFonts w:ascii="Arial" w:hAnsi="Arial" w:cs="Arial"/>
                <w:b/>
                <w:sz w:val="16"/>
                <w:szCs w:val="16"/>
              </w:rPr>
            </w:pPr>
            <w:r w:rsidRPr="00C300F4">
              <w:rPr>
                <w:rFonts w:ascii="Arial" w:hAnsi="Arial" w:cs="Arial"/>
                <w:b/>
                <w:sz w:val="16"/>
                <w:szCs w:val="16"/>
              </w:rPr>
              <w:t>$236,804,650.00</w:t>
            </w:r>
          </w:p>
        </w:tc>
        <w:tc>
          <w:tcPr>
            <w:tcW w:w="152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65D7726" w14:textId="1203B6AB"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$84,732,378.00</w:t>
            </w:r>
          </w:p>
        </w:tc>
        <w:tc>
          <w:tcPr>
            <w:tcW w:w="11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9C508F" w14:textId="134909D2" w:rsidR="005E7FA8" w:rsidRPr="00C300F4" w:rsidRDefault="000003F4" w:rsidP="005E7FA8">
            <w:pPr>
              <w:spacing w:before="40" w:after="40"/>
              <w:jc w:val="right"/>
              <w:rPr>
                <w:rFonts w:ascii="Arial" w:hAnsi="Arial" w:cs="Arial"/>
                <w:b/>
                <w:sz w:val="16"/>
                <w:szCs w:val="16"/>
              </w:rPr>
            </w:pPr>
            <w:r w:rsidRPr="00C300F4">
              <w:rPr>
                <w:rFonts w:ascii="Arial" w:hAnsi="Arial" w:cs="Arial"/>
                <w:b/>
                <w:sz w:val="16"/>
                <w:szCs w:val="16"/>
              </w:rPr>
              <w:t>$321,537,028.00</w:t>
            </w:r>
          </w:p>
        </w:tc>
      </w:tr>
    </w:tbl>
    <w:p w14:paraId="08A529AF" w14:textId="77777777" w:rsidR="00790DDB" w:rsidRPr="00534D25" w:rsidRDefault="00790DDB" w:rsidP="00790DDB">
      <w:pPr>
        <w:rPr>
          <w:rFonts w:ascii="Arial" w:hAnsi="Arial" w:cs="Arial"/>
          <w:sz w:val="22"/>
          <w:szCs w:val="22"/>
        </w:rPr>
      </w:pPr>
      <w:r w:rsidRPr="00534D25">
        <w:rPr>
          <w:rFonts w:ascii="Arial" w:hAnsi="Arial" w:cs="Arial"/>
          <w:b/>
          <w:sz w:val="22"/>
          <w:szCs w:val="22"/>
        </w:rPr>
        <w:t>Segundo.</w:t>
      </w:r>
      <w:r w:rsidRPr="00534D25">
        <w:rPr>
          <w:rFonts w:ascii="Arial" w:hAnsi="Arial" w:cs="Arial"/>
          <w:sz w:val="22"/>
          <w:szCs w:val="22"/>
        </w:rPr>
        <w:t xml:space="preserve"> De acuerdo con los artículos 9, apartado C, fracción II de la Constitución Local y 115, numeral 1, fracción XXXII de la Ley Electoral y de Partidos Políticos del Estado de Tabasco, remítase una copia certificada del presente acuerdo al titular del Poder Ejecutivo, para su inclusión en el Proyecto General de Egresos del Estado. Asimismo, al Poder Legislativo del Estado de Tabasco, para los mismos efectos.</w:t>
      </w:r>
    </w:p>
    <w:p w14:paraId="433CE515" w14:textId="77777777" w:rsidR="00790DDB" w:rsidRPr="00534D25" w:rsidRDefault="00790DDB" w:rsidP="00790DDB">
      <w:pPr>
        <w:rPr>
          <w:rFonts w:ascii="Arial" w:hAnsi="Arial" w:cs="Arial"/>
          <w:sz w:val="22"/>
          <w:szCs w:val="22"/>
        </w:rPr>
      </w:pPr>
      <w:r w:rsidRPr="00534D25">
        <w:rPr>
          <w:rFonts w:ascii="Arial" w:hAnsi="Arial" w:cs="Arial"/>
          <w:b/>
          <w:sz w:val="22"/>
          <w:szCs w:val="22"/>
        </w:rPr>
        <w:t xml:space="preserve">Tercero. </w:t>
      </w:r>
      <w:r w:rsidRPr="00534D25">
        <w:rPr>
          <w:rFonts w:ascii="Arial" w:hAnsi="Arial" w:cs="Arial"/>
          <w:sz w:val="22"/>
          <w:szCs w:val="22"/>
        </w:rPr>
        <w:t>Una vez que la Legislatura local, apruebe el presupuesto de egresos de este Instituto, el órgano electoral podrá realizar los ajustes y las adecuaciones presupuestarias, previa justificación para ello.</w:t>
      </w:r>
    </w:p>
    <w:p w14:paraId="122D2D8D" w14:textId="77777777" w:rsidR="00790DDB" w:rsidRPr="00534D25" w:rsidRDefault="00790DDB" w:rsidP="00790DDB">
      <w:pPr>
        <w:rPr>
          <w:rFonts w:ascii="Arial" w:hAnsi="Arial" w:cs="Arial"/>
          <w:sz w:val="22"/>
          <w:szCs w:val="22"/>
        </w:rPr>
      </w:pPr>
      <w:r w:rsidRPr="00534D25">
        <w:rPr>
          <w:rFonts w:ascii="Arial" w:hAnsi="Arial" w:cs="Arial"/>
          <w:b/>
          <w:sz w:val="22"/>
          <w:szCs w:val="22"/>
        </w:rPr>
        <w:t>Cuarto.</w:t>
      </w:r>
      <w:r w:rsidRPr="00534D25">
        <w:rPr>
          <w:rFonts w:ascii="Arial" w:hAnsi="Arial" w:cs="Arial"/>
          <w:sz w:val="22"/>
          <w:szCs w:val="22"/>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A39224F" w14:textId="77777777" w:rsidR="00790DDB" w:rsidRPr="00534D25" w:rsidRDefault="00790DDB" w:rsidP="00790DDB">
      <w:pPr>
        <w:rPr>
          <w:rFonts w:ascii="Arial" w:hAnsi="Arial" w:cs="Arial"/>
          <w:sz w:val="22"/>
          <w:szCs w:val="22"/>
        </w:rPr>
      </w:pPr>
      <w:r w:rsidRPr="00534D25">
        <w:rPr>
          <w:rFonts w:ascii="Arial" w:hAnsi="Arial" w:cs="Arial"/>
          <w:b/>
          <w:sz w:val="22"/>
          <w:szCs w:val="22"/>
        </w:rPr>
        <w:lastRenderedPageBreak/>
        <w:t>Quinto.</w:t>
      </w:r>
      <w:r w:rsidRPr="00534D25">
        <w:rPr>
          <w:rFonts w:ascii="Arial" w:hAnsi="Arial" w:cs="Arial"/>
          <w:sz w:val="22"/>
          <w:szCs w:val="22"/>
        </w:rPr>
        <w:t xml:space="preserve"> Publíquese en el Periódico Oficial del Estado, y en la página de internet del Instituto, de conformidad con lo dispuesto en el artículo 114 de la Ley Electoral y de Partidos Políticos del Estado de Tabasco.</w:t>
      </w:r>
    </w:p>
    <w:p w14:paraId="2CE6115C" w14:textId="2F4586C0" w:rsidR="00790DDB" w:rsidRPr="00534D25" w:rsidRDefault="00790DDB" w:rsidP="00790DDB">
      <w:pPr>
        <w:rPr>
          <w:rFonts w:ascii="Arial" w:hAnsi="Arial" w:cs="Arial"/>
          <w:sz w:val="22"/>
          <w:szCs w:val="22"/>
        </w:rPr>
      </w:pPr>
      <w:r w:rsidRPr="00534D25">
        <w:rPr>
          <w:rFonts w:ascii="Arial" w:hAnsi="Arial" w:cs="Arial"/>
          <w:sz w:val="22"/>
          <w:szCs w:val="22"/>
        </w:rPr>
        <w:t xml:space="preserve">El presente acuerdo fue </w:t>
      </w:r>
      <w:r w:rsidR="00534D25">
        <w:rPr>
          <w:rFonts w:ascii="Arial" w:hAnsi="Arial" w:cs="Arial"/>
          <w:sz w:val="22"/>
          <w:szCs w:val="22"/>
        </w:rPr>
        <w:t>aprobado</w:t>
      </w:r>
      <w:r w:rsidRPr="00534D25">
        <w:rPr>
          <w:rFonts w:ascii="Arial" w:hAnsi="Arial" w:cs="Arial"/>
          <w:sz w:val="22"/>
          <w:szCs w:val="22"/>
        </w:rPr>
        <w:t xml:space="preserve"> en sesión </w:t>
      </w:r>
      <w:r w:rsidR="00534D25">
        <w:rPr>
          <w:rFonts w:ascii="Arial" w:hAnsi="Arial" w:cs="Arial"/>
          <w:sz w:val="22"/>
          <w:szCs w:val="22"/>
        </w:rPr>
        <w:t>extraordinaria</w:t>
      </w:r>
      <w:r w:rsidRPr="00534D25">
        <w:rPr>
          <w:rFonts w:ascii="Arial" w:hAnsi="Arial" w:cs="Arial"/>
          <w:sz w:val="22"/>
          <w:szCs w:val="22"/>
        </w:rPr>
        <w:t xml:space="preserve"> efectuada el </w:t>
      </w:r>
      <w:r w:rsidR="00534D25">
        <w:rPr>
          <w:rFonts w:ascii="Arial" w:hAnsi="Arial" w:cs="Arial"/>
          <w:sz w:val="22"/>
          <w:szCs w:val="22"/>
        </w:rPr>
        <w:t>día ocho de octubre</w:t>
      </w:r>
      <w:r w:rsidRPr="00534D25">
        <w:rPr>
          <w:rFonts w:ascii="Arial" w:hAnsi="Arial" w:cs="Arial"/>
          <w:sz w:val="22"/>
          <w:szCs w:val="22"/>
        </w:rPr>
        <w:t xml:space="preserve"> </w:t>
      </w:r>
      <w:r w:rsidR="00C45DEC" w:rsidRPr="00534D25">
        <w:rPr>
          <w:rFonts w:ascii="Arial" w:hAnsi="Arial" w:cs="Arial"/>
          <w:sz w:val="22"/>
          <w:szCs w:val="22"/>
        </w:rPr>
        <w:t>del año dos mil veinticinco</w:t>
      </w:r>
      <w:r w:rsidRPr="00534D25">
        <w:rPr>
          <w:rFonts w:ascii="Arial" w:hAnsi="Arial" w:cs="Arial"/>
          <w:sz w:val="22"/>
          <w:szCs w:val="22"/>
        </w:rPr>
        <w:t>, por votación</w:t>
      </w:r>
      <w:r w:rsidR="00534D25">
        <w:rPr>
          <w:rFonts w:ascii="Arial" w:hAnsi="Arial" w:cs="Arial"/>
          <w:sz w:val="22"/>
          <w:szCs w:val="22"/>
        </w:rPr>
        <w:t xml:space="preserve"> unánime</w:t>
      </w:r>
      <w:r w:rsidRPr="00534D25">
        <w:rPr>
          <w:rFonts w:ascii="Arial" w:hAnsi="Arial" w:cs="Arial"/>
          <w:sz w:val="22"/>
          <w:szCs w:val="22"/>
        </w:rPr>
        <w:t xml:space="preserve"> de las y los Consejeros Electorales del Consejo Estatal del Instituto Electoral y de Participación Ciudadana de Tabasco: </w:t>
      </w:r>
      <w:bookmarkStart w:id="3" w:name="_GoBack"/>
      <w:bookmarkEnd w:id="3"/>
      <w:r w:rsidRPr="00534D25">
        <w:rPr>
          <w:rFonts w:ascii="Arial" w:hAnsi="Arial" w:cs="Arial"/>
          <w:sz w:val="22"/>
          <w:szCs w:val="22"/>
        </w:rPr>
        <w:t xml:space="preserve">Lic. Hernán González Sala, Lic. Vladimir Hernández Venegas, Licda. Ángela Guadalupe Araujo Segura, Licda. Monserrat Martínez </w:t>
      </w:r>
      <w:proofErr w:type="spellStart"/>
      <w:r w:rsidRPr="00534D25">
        <w:rPr>
          <w:rFonts w:ascii="Arial" w:hAnsi="Arial" w:cs="Arial"/>
          <w:sz w:val="22"/>
          <w:szCs w:val="22"/>
        </w:rPr>
        <w:t>Beaurregard</w:t>
      </w:r>
      <w:proofErr w:type="spellEnd"/>
      <w:r w:rsidRPr="00534D25">
        <w:rPr>
          <w:rFonts w:ascii="Arial" w:hAnsi="Arial" w:cs="Arial"/>
          <w:sz w:val="22"/>
          <w:szCs w:val="22"/>
        </w:rPr>
        <w:t>, Mtra. Ruth Lizette Toledo Peral y la Consejera Presidenta, Mtra. Elizabeth Nava Gutiérrez.</w:t>
      </w:r>
    </w:p>
    <w:p w14:paraId="1134B60A" w14:textId="2970043E" w:rsidR="00790DDB" w:rsidRDefault="00790DDB" w:rsidP="00790DDB">
      <w:pPr>
        <w:rPr>
          <w:rFonts w:ascii="Arial" w:hAnsi="Arial" w:cs="Arial"/>
          <w:sz w:val="22"/>
          <w:szCs w:val="22"/>
        </w:rPr>
      </w:pPr>
    </w:p>
    <w:p w14:paraId="495F74EC" w14:textId="77777777" w:rsidR="00534D25" w:rsidRPr="00534D25" w:rsidRDefault="00534D25" w:rsidP="00790DDB">
      <w:pPr>
        <w:rPr>
          <w:rFonts w:ascii="Arial" w:hAnsi="Arial" w:cs="Arial"/>
          <w:sz w:val="22"/>
          <w:szCs w:val="22"/>
        </w:rPr>
      </w:pPr>
    </w:p>
    <w:p w14:paraId="7757BA16" w14:textId="77777777" w:rsidR="00E533FE" w:rsidRPr="00534D25" w:rsidRDefault="00E533FE" w:rsidP="00790DDB">
      <w:pPr>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90DDB" w:rsidRPr="00534D25" w14:paraId="13A218BB" w14:textId="77777777" w:rsidTr="001D3D48">
        <w:tc>
          <w:tcPr>
            <w:tcW w:w="4395" w:type="dxa"/>
          </w:tcPr>
          <w:p w14:paraId="2E385947" w14:textId="77777777" w:rsidR="00790DDB" w:rsidRPr="00534D25" w:rsidRDefault="00790DDB" w:rsidP="001D3D48">
            <w:pPr>
              <w:widowControl w:val="0"/>
              <w:spacing w:before="0" w:after="0"/>
              <w:jc w:val="center"/>
              <w:rPr>
                <w:rFonts w:ascii="Arial" w:hAnsi="Arial" w:cs="Arial"/>
                <w:b/>
                <w:spacing w:val="-10"/>
                <w:sz w:val="22"/>
                <w:szCs w:val="22"/>
              </w:rPr>
            </w:pPr>
            <w:r w:rsidRPr="00534D25">
              <w:rPr>
                <w:rFonts w:ascii="Arial" w:hAnsi="Arial" w:cs="Arial"/>
                <w:b/>
                <w:spacing w:val="-10"/>
                <w:sz w:val="22"/>
                <w:szCs w:val="22"/>
              </w:rPr>
              <w:t>MTRA. ELIZABETH NAVA GUTIÉRREZ</w:t>
            </w:r>
          </w:p>
          <w:p w14:paraId="42C5C2BF" w14:textId="77777777" w:rsidR="00790DDB" w:rsidRPr="00534D25" w:rsidRDefault="00790DDB" w:rsidP="001D3D48">
            <w:pPr>
              <w:widowControl w:val="0"/>
              <w:spacing w:before="0" w:after="0"/>
              <w:jc w:val="center"/>
              <w:rPr>
                <w:rFonts w:ascii="Arial" w:hAnsi="Arial" w:cs="Arial"/>
                <w:b/>
                <w:sz w:val="22"/>
                <w:szCs w:val="22"/>
              </w:rPr>
            </w:pPr>
            <w:r w:rsidRPr="00534D25">
              <w:rPr>
                <w:rFonts w:ascii="Arial" w:hAnsi="Arial" w:cs="Arial"/>
                <w:b/>
                <w:spacing w:val="-10"/>
                <w:sz w:val="22"/>
                <w:szCs w:val="22"/>
              </w:rPr>
              <w:t>CONSEJERA PRESIDENTA</w:t>
            </w:r>
          </w:p>
        </w:tc>
        <w:tc>
          <w:tcPr>
            <w:tcW w:w="278" w:type="dxa"/>
          </w:tcPr>
          <w:p w14:paraId="37CCFDF1" w14:textId="77777777" w:rsidR="00790DDB" w:rsidRPr="00534D25" w:rsidRDefault="00790DDB" w:rsidP="001D3D48">
            <w:pPr>
              <w:widowControl w:val="0"/>
              <w:spacing w:before="0" w:after="0"/>
              <w:rPr>
                <w:rFonts w:ascii="Arial" w:hAnsi="Arial" w:cs="Arial"/>
                <w:b/>
                <w:sz w:val="22"/>
                <w:szCs w:val="22"/>
              </w:rPr>
            </w:pPr>
          </w:p>
        </w:tc>
        <w:tc>
          <w:tcPr>
            <w:tcW w:w="4400" w:type="dxa"/>
          </w:tcPr>
          <w:p w14:paraId="4E36D73F" w14:textId="77777777" w:rsidR="00790DDB" w:rsidRPr="00534D25" w:rsidRDefault="00790DDB" w:rsidP="001D3D48">
            <w:pPr>
              <w:widowControl w:val="0"/>
              <w:spacing w:before="0" w:after="0"/>
              <w:jc w:val="center"/>
              <w:rPr>
                <w:rFonts w:ascii="Arial" w:hAnsi="Arial" w:cs="Arial"/>
                <w:b/>
                <w:spacing w:val="-10"/>
                <w:sz w:val="22"/>
                <w:szCs w:val="22"/>
              </w:rPr>
            </w:pPr>
            <w:r w:rsidRPr="00534D25">
              <w:rPr>
                <w:rFonts w:ascii="Arial" w:hAnsi="Arial" w:cs="Arial"/>
                <w:b/>
                <w:spacing w:val="-10"/>
                <w:sz w:val="22"/>
                <w:szCs w:val="22"/>
              </w:rPr>
              <w:t>LIC. JORGE ALBERTO ZAVALA FRÍAS</w:t>
            </w:r>
          </w:p>
          <w:p w14:paraId="28EC7DC8" w14:textId="77777777" w:rsidR="00790DDB" w:rsidRPr="00534D25" w:rsidRDefault="00790DDB" w:rsidP="001D3D48">
            <w:pPr>
              <w:widowControl w:val="0"/>
              <w:spacing w:before="0" w:after="0"/>
              <w:jc w:val="center"/>
              <w:rPr>
                <w:rFonts w:ascii="Arial" w:hAnsi="Arial" w:cs="Arial"/>
                <w:b/>
                <w:sz w:val="22"/>
                <w:szCs w:val="22"/>
              </w:rPr>
            </w:pPr>
            <w:r w:rsidRPr="00534D25">
              <w:rPr>
                <w:rFonts w:ascii="Arial" w:hAnsi="Arial" w:cs="Arial"/>
                <w:b/>
                <w:spacing w:val="-10"/>
                <w:sz w:val="22"/>
                <w:szCs w:val="22"/>
              </w:rPr>
              <w:t>SECRETARIO DEL CONSEJO</w:t>
            </w:r>
          </w:p>
        </w:tc>
      </w:tr>
    </w:tbl>
    <w:p w14:paraId="4C9B84D1" w14:textId="77777777" w:rsidR="00790DDB" w:rsidRPr="00534D25" w:rsidRDefault="00790DDB" w:rsidP="00790DDB">
      <w:pPr>
        <w:rPr>
          <w:rFonts w:ascii="Arial" w:hAnsi="Arial" w:cs="Arial"/>
          <w:sz w:val="22"/>
          <w:szCs w:val="22"/>
        </w:rPr>
      </w:pPr>
    </w:p>
    <w:p w14:paraId="05431953" w14:textId="77777777" w:rsidR="000A47C6" w:rsidRPr="00534D25" w:rsidRDefault="000A47C6">
      <w:pPr>
        <w:rPr>
          <w:rFonts w:ascii="Arial" w:hAnsi="Arial" w:cs="Arial"/>
          <w:sz w:val="22"/>
          <w:szCs w:val="22"/>
        </w:rPr>
      </w:pPr>
    </w:p>
    <w:sectPr w:rsidR="000A47C6" w:rsidRPr="00534D25" w:rsidSect="00534D25">
      <w:headerReference w:type="default" r:id="rId7"/>
      <w:footerReference w:type="default" r:id="rId8"/>
      <w:pgSz w:w="12240" w:h="15840" w:code="1"/>
      <w:pgMar w:top="1418"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6C76" w14:textId="77777777" w:rsidR="00CB16FF" w:rsidRDefault="00CB16FF" w:rsidP="00790DDB">
      <w:pPr>
        <w:spacing w:before="0" w:after="0" w:line="240" w:lineRule="auto"/>
      </w:pPr>
      <w:r>
        <w:separator/>
      </w:r>
    </w:p>
  </w:endnote>
  <w:endnote w:type="continuationSeparator" w:id="0">
    <w:p w14:paraId="20EAA415" w14:textId="77777777" w:rsidR="00CB16FF" w:rsidRDefault="00CB16FF" w:rsidP="00790D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216899294"/>
      <w:docPartObj>
        <w:docPartGallery w:val="Page Numbers (Top of Page)"/>
        <w:docPartUnique/>
      </w:docPartObj>
    </w:sdtPr>
    <w:sdtEndPr/>
    <w:sdtContent>
      <w:p w14:paraId="68CC713D" w14:textId="4B9BBE12" w:rsidR="00421C7E" w:rsidRPr="00534D25" w:rsidRDefault="00421C7E" w:rsidP="001D3D48">
        <w:pPr>
          <w:pStyle w:val="Piedepgina"/>
          <w:jc w:val="right"/>
          <w:rPr>
            <w:rFonts w:ascii="Arial" w:hAnsi="Arial" w:cs="Arial"/>
            <w:color w:val="993366"/>
            <w:sz w:val="24"/>
            <w:szCs w:val="24"/>
          </w:rPr>
        </w:pPr>
        <w:r w:rsidRPr="00534D25">
          <w:rPr>
            <w:rFonts w:ascii="Arial" w:hAnsi="Arial" w:cs="Arial"/>
            <w:b/>
            <w:bCs/>
            <w:color w:val="993366"/>
            <w:sz w:val="24"/>
            <w:szCs w:val="24"/>
          </w:rPr>
          <w:t xml:space="preserve">Página </w:t>
        </w:r>
        <w:r w:rsidRPr="00534D25">
          <w:rPr>
            <w:rFonts w:ascii="Arial" w:hAnsi="Arial" w:cs="Arial"/>
            <w:b/>
            <w:bCs/>
            <w:color w:val="993366"/>
            <w:sz w:val="24"/>
            <w:szCs w:val="24"/>
          </w:rPr>
          <w:fldChar w:fldCharType="begin"/>
        </w:r>
        <w:r w:rsidRPr="00534D25">
          <w:rPr>
            <w:rFonts w:ascii="Arial" w:hAnsi="Arial" w:cs="Arial"/>
            <w:b/>
            <w:bCs/>
            <w:color w:val="993366"/>
            <w:sz w:val="24"/>
            <w:szCs w:val="24"/>
          </w:rPr>
          <w:instrText>PAGE</w:instrText>
        </w:r>
        <w:r w:rsidRPr="00534D25">
          <w:rPr>
            <w:rFonts w:ascii="Arial" w:hAnsi="Arial" w:cs="Arial"/>
            <w:b/>
            <w:bCs/>
            <w:color w:val="993366"/>
            <w:sz w:val="24"/>
            <w:szCs w:val="24"/>
          </w:rPr>
          <w:fldChar w:fldCharType="separate"/>
        </w:r>
        <w:r w:rsidR="008860D2">
          <w:rPr>
            <w:rFonts w:ascii="Arial" w:hAnsi="Arial" w:cs="Arial"/>
            <w:b/>
            <w:bCs/>
            <w:noProof/>
            <w:color w:val="993366"/>
            <w:sz w:val="24"/>
            <w:szCs w:val="24"/>
          </w:rPr>
          <w:t>9</w:t>
        </w:r>
        <w:r w:rsidRPr="00534D25">
          <w:rPr>
            <w:rFonts w:ascii="Arial" w:hAnsi="Arial" w:cs="Arial"/>
            <w:b/>
            <w:bCs/>
            <w:color w:val="993366"/>
            <w:sz w:val="24"/>
            <w:szCs w:val="24"/>
          </w:rPr>
          <w:fldChar w:fldCharType="end"/>
        </w:r>
        <w:r w:rsidRPr="00534D25">
          <w:rPr>
            <w:rFonts w:ascii="Arial" w:hAnsi="Arial" w:cs="Arial"/>
            <w:b/>
            <w:bCs/>
            <w:color w:val="993366"/>
            <w:sz w:val="24"/>
            <w:szCs w:val="24"/>
          </w:rPr>
          <w:t xml:space="preserve"> | </w:t>
        </w:r>
        <w:r w:rsidRPr="00534D25">
          <w:rPr>
            <w:rFonts w:ascii="Arial" w:hAnsi="Arial" w:cs="Arial"/>
            <w:b/>
            <w:bCs/>
            <w:color w:val="993366"/>
            <w:sz w:val="24"/>
            <w:szCs w:val="24"/>
          </w:rPr>
          <w:fldChar w:fldCharType="begin"/>
        </w:r>
        <w:r w:rsidRPr="00534D25">
          <w:rPr>
            <w:rFonts w:ascii="Arial" w:hAnsi="Arial" w:cs="Arial"/>
            <w:b/>
            <w:bCs/>
            <w:color w:val="993366"/>
            <w:sz w:val="24"/>
            <w:szCs w:val="24"/>
          </w:rPr>
          <w:instrText>NUMPAGES</w:instrText>
        </w:r>
        <w:r w:rsidRPr="00534D25">
          <w:rPr>
            <w:rFonts w:ascii="Arial" w:hAnsi="Arial" w:cs="Arial"/>
            <w:b/>
            <w:bCs/>
            <w:color w:val="993366"/>
            <w:sz w:val="24"/>
            <w:szCs w:val="24"/>
          </w:rPr>
          <w:fldChar w:fldCharType="separate"/>
        </w:r>
        <w:r w:rsidR="008860D2">
          <w:rPr>
            <w:rFonts w:ascii="Arial" w:hAnsi="Arial" w:cs="Arial"/>
            <w:b/>
            <w:bCs/>
            <w:noProof/>
            <w:color w:val="993366"/>
            <w:sz w:val="24"/>
            <w:szCs w:val="24"/>
          </w:rPr>
          <w:t>10</w:t>
        </w:r>
        <w:r w:rsidRPr="00534D25">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845BB" w14:textId="77777777" w:rsidR="00CB16FF" w:rsidRDefault="00CB16FF" w:rsidP="00790DDB">
      <w:pPr>
        <w:spacing w:before="0" w:after="0" w:line="240" w:lineRule="auto"/>
      </w:pPr>
      <w:r>
        <w:separator/>
      </w:r>
    </w:p>
  </w:footnote>
  <w:footnote w:type="continuationSeparator" w:id="0">
    <w:p w14:paraId="57F7BB1B" w14:textId="77777777" w:rsidR="00CB16FF" w:rsidRDefault="00CB16FF" w:rsidP="00790D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21C7E" w:rsidRPr="00063338" w14:paraId="043C8E3C" w14:textId="77777777" w:rsidTr="001D3D48">
      <w:tc>
        <w:tcPr>
          <w:tcW w:w="1418" w:type="dxa"/>
        </w:tcPr>
        <w:p w14:paraId="4B10D604" w14:textId="77777777" w:rsidR="00421C7E" w:rsidRPr="00063338" w:rsidRDefault="00421C7E" w:rsidP="001D3D48">
          <w:pPr>
            <w:pStyle w:val="Encabezado"/>
            <w:ind w:left="-170"/>
            <w:jc w:val="left"/>
          </w:pPr>
          <w:r>
            <w:rPr>
              <w:b/>
              <w:noProof/>
              <w:sz w:val="32"/>
              <w:lang w:eastAsia="es-MX"/>
            </w:rPr>
            <w:drawing>
              <wp:inline distT="0" distB="0" distL="0" distR="0" wp14:anchorId="2FD4439E" wp14:editId="7D32C475">
                <wp:extent cx="1014331" cy="1199403"/>
                <wp:effectExtent l="0" t="0" r="0" b="1270"/>
                <wp:docPr id="9" name="Imagen 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FEF3EA1" w14:textId="77777777" w:rsidR="00421C7E" w:rsidRPr="00391E45" w:rsidRDefault="00421C7E" w:rsidP="001D3D48">
          <w:pPr>
            <w:pStyle w:val="Encabezado"/>
            <w:spacing w:before="720"/>
            <w:jc w:val="center"/>
            <w:rPr>
              <w:rFonts w:ascii="Arial" w:hAnsi="Arial" w:cs="Arial"/>
              <w:b/>
              <w:bCs/>
              <w:sz w:val="25"/>
              <w:szCs w:val="25"/>
            </w:rPr>
          </w:pPr>
          <w:r w:rsidRPr="00391E45">
            <w:rPr>
              <w:rFonts w:ascii="Arial" w:hAnsi="Arial" w:cs="Arial"/>
              <w:b/>
              <w:bCs/>
              <w:sz w:val="25"/>
              <w:szCs w:val="25"/>
            </w:rPr>
            <w:t>INSTITUTO ELECTORAL Y DE PARTICIPACIÓN CIUDADANA DE TABASCO</w:t>
          </w:r>
        </w:p>
        <w:p w14:paraId="784284E5" w14:textId="77777777" w:rsidR="00421C7E" w:rsidRPr="00063338" w:rsidRDefault="00421C7E" w:rsidP="001D3D48">
          <w:pPr>
            <w:pStyle w:val="Encabezado"/>
            <w:jc w:val="center"/>
          </w:pPr>
          <w:r w:rsidRPr="00391E45">
            <w:rPr>
              <w:rFonts w:ascii="Arial" w:hAnsi="Arial" w:cs="Arial"/>
              <w:sz w:val="26"/>
              <w:szCs w:val="26"/>
            </w:rPr>
            <w:t>CONSEJO ESTATAL</w:t>
          </w:r>
        </w:p>
      </w:tc>
      <w:tc>
        <w:tcPr>
          <w:tcW w:w="1701" w:type="dxa"/>
        </w:tcPr>
        <w:p w14:paraId="2AF1404D" w14:textId="77777777" w:rsidR="00421C7E" w:rsidRPr="00063338" w:rsidRDefault="00421C7E" w:rsidP="001D3D48">
          <w:pPr>
            <w:pStyle w:val="Encabezado"/>
            <w:spacing w:before="480"/>
          </w:pPr>
          <w:r>
            <w:rPr>
              <w:noProof/>
              <w:lang w:eastAsia="es-MX"/>
            </w:rPr>
            <w:drawing>
              <wp:inline distT="0" distB="0" distL="0" distR="0" wp14:anchorId="1FA7C853" wp14:editId="02BCC989">
                <wp:extent cx="942975" cy="774065"/>
                <wp:effectExtent l="0" t="0" r="9525" b="6985"/>
                <wp:docPr id="10" name="Imagen 1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2229597B" w14:textId="77777777" w:rsidR="00421C7E" w:rsidRDefault="00421C7E">
    <w:pPr>
      <w:pStyle w:val="Encabezado"/>
    </w:pPr>
  </w:p>
  <w:p w14:paraId="275A9AAD" w14:textId="5AE5F267" w:rsidR="00421C7E" w:rsidRPr="00534D25" w:rsidRDefault="00421C7E" w:rsidP="00661E0C">
    <w:pPr>
      <w:pStyle w:val="Encabezado"/>
      <w:jc w:val="right"/>
      <w:rPr>
        <w:rFonts w:ascii="Arial" w:hAnsi="Arial" w:cs="Arial"/>
        <w:b/>
        <w:bCs/>
        <w:sz w:val="24"/>
        <w:szCs w:val="24"/>
      </w:rPr>
    </w:pPr>
    <w:r w:rsidRPr="00534D25">
      <w:rPr>
        <w:rFonts w:ascii="Arial" w:hAnsi="Arial" w:cs="Arial"/>
        <w:b/>
        <w:bCs/>
        <w:sz w:val="24"/>
        <w:szCs w:val="24"/>
      </w:rPr>
      <w:t>CE/2025/</w:t>
    </w:r>
    <w:r w:rsidR="00534D25" w:rsidRPr="00534D25">
      <w:rPr>
        <w:rFonts w:ascii="Arial" w:hAnsi="Arial" w:cs="Arial"/>
        <w:b/>
        <w:bCs/>
        <w:sz w:val="24"/>
        <w:szCs w:val="24"/>
      </w:rPr>
      <w:t>086</w:t>
    </w:r>
  </w:p>
  <w:p w14:paraId="3BB61BF9" w14:textId="77777777" w:rsidR="00AE24E9" w:rsidRPr="00391E45" w:rsidRDefault="00AE24E9" w:rsidP="00661E0C">
    <w:pPr>
      <w:pStyle w:val="Encabezado"/>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EAF"/>
    <w:multiLevelType w:val="multilevel"/>
    <w:tmpl w:val="65108E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B684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372E23CA"/>
    <w:multiLevelType w:val="hybridMultilevel"/>
    <w:tmpl w:val="4BB6F2CC"/>
    <w:lvl w:ilvl="0" w:tplc="080A000F">
      <w:start w:val="1"/>
      <w:numFmt w:val="decimal"/>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3" w15:restartNumberingAfterBreak="0">
    <w:nsid w:val="3D715E9C"/>
    <w:multiLevelType w:val="hybridMultilevel"/>
    <w:tmpl w:val="B7FCE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E31FCD"/>
    <w:multiLevelType w:val="multilevel"/>
    <w:tmpl w:val="0878442C"/>
    <w:lvl w:ilvl="0">
      <w:start w:val="1"/>
      <w:numFmt w:val="decimal"/>
      <w:lvlText w:val="%1"/>
      <w:lvlJc w:val="left"/>
      <w:pPr>
        <w:ind w:left="792"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5" w15:restartNumberingAfterBreak="0">
    <w:nsid w:val="69343629"/>
    <w:multiLevelType w:val="hybridMultilevel"/>
    <w:tmpl w:val="A33A60D8"/>
    <w:lvl w:ilvl="0" w:tplc="080A0013">
      <w:start w:val="1"/>
      <w:numFmt w:val="upperRoman"/>
      <w:lvlText w:val="%1."/>
      <w:lvlJc w:val="right"/>
      <w:pPr>
        <w:ind w:left="1296" w:hanging="360"/>
      </w:p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6" w15:restartNumberingAfterBreak="0">
    <w:nsid w:val="6A754E5D"/>
    <w:multiLevelType w:val="multilevel"/>
    <w:tmpl w:val="1396CB26"/>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DB"/>
    <w:rsid w:val="000003F4"/>
    <w:rsid w:val="000127E0"/>
    <w:rsid w:val="000223F6"/>
    <w:rsid w:val="00053B09"/>
    <w:rsid w:val="00080089"/>
    <w:rsid w:val="000804F3"/>
    <w:rsid w:val="000A47C6"/>
    <w:rsid w:val="000E7EB2"/>
    <w:rsid w:val="001144F3"/>
    <w:rsid w:val="00155EF4"/>
    <w:rsid w:val="00181DBD"/>
    <w:rsid w:val="00194A03"/>
    <w:rsid w:val="001D2A76"/>
    <w:rsid w:val="001D3D48"/>
    <w:rsid w:val="001D5FB4"/>
    <w:rsid w:val="001D777C"/>
    <w:rsid w:val="00265D45"/>
    <w:rsid w:val="002814E2"/>
    <w:rsid w:val="002B1E35"/>
    <w:rsid w:val="002B53D4"/>
    <w:rsid w:val="00391E45"/>
    <w:rsid w:val="003D78C3"/>
    <w:rsid w:val="00402B53"/>
    <w:rsid w:val="00421C7E"/>
    <w:rsid w:val="004C68F8"/>
    <w:rsid w:val="004F0C00"/>
    <w:rsid w:val="00534D25"/>
    <w:rsid w:val="005A4205"/>
    <w:rsid w:val="005E29F4"/>
    <w:rsid w:val="005E77EC"/>
    <w:rsid w:val="005E7FA8"/>
    <w:rsid w:val="00602BC2"/>
    <w:rsid w:val="006075DE"/>
    <w:rsid w:val="00661E0C"/>
    <w:rsid w:val="00666060"/>
    <w:rsid w:val="006827B0"/>
    <w:rsid w:val="007023CB"/>
    <w:rsid w:val="00723132"/>
    <w:rsid w:val="00743475"/>
    <w:rsid w:val="00772937"/>
    <w:rsid w:val="0078220A"/>
    <w:rsid w:val="00790DDB"/>
    <w:rsid w:val="007F5EA6"/>
    <w:rsid w:val="00861290"/>
    <w:rsid w:val="00880BD5"/>
    <w:rsid w:val="008860D2"/>
    <w:rsid w:val="008D315E"/>
    <w:rsid w:val="008D3E6E"/>
    <w:rsid w:val="0090129D"/>
    <w:rsid w:val="00963B4F"/>
    <w:rsid w:val="009F1079"/>
    <w:rsid w:val="009F1788"/>
    <w:rsid w:val="00A41E4A"/>
    <w:rsid w:val="00A61204"/>
    <w:rsid w:val="00AB74E9"/>
    <w:rsid w:val="00AC2268"/>
    <w:rsid w:val="00AE24E9"/>
    <w:rsid w:val="00B03E11"/>
    <w:rsid w:val="00B92BE5"/>
    <w:rsid w:val="00B96942"/>
    <w:rsid w:val="00BA0FD8"/>
    <w:rsid w:val="00BD0BBD"/>
    <w:rsid w:val="00C300F4"/>
    <w:rsid w:val="00C45DEC"/>
    <w:rsid w:val="00C60C17"/>
    <w:rsid w:val="00C644CA"/>
    <w:rsid w:val="00C82096"/>
    <w:rsid w:val="00C975C9"/>
    <w:rsid w:val="00CB16FF"/>
    <w:rsid w:val="00CF6B7C"/>
    <w:rsid w:val="00D277BC"/>
    <w:rsid w:val="00DA2258"/>
    <w:rsid w:val="00E12753"/>
    <w:rsid w:val="00E20D1B"/>
    <w:rsid w:val="00E533FE"/>
    <w:rsid w:val="00E56280"/>
    <w:rsid w:val="00E84589"/>
    <w:rsid w:val="00EC12A6"/>
    <w:rsid w:val="00ED604E"/>
    <w:rsid w:val="00EE1BC1"/>
    <w:rsid w:val="00EF246B"/>
    <w:rsid w:val="00EF622F"/>
    <w:rsid w:val="00F45DC1"/>
    <w:rsid w:val="00F80FBA"/>
    <w:rsid w:val="00FC3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3E1A"/>
  <w15:chartTrackingRefBased/>
  <w15:docId w15:val="{1AF857C2-B674-40CE-A565-9B9A0F9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DB"/>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790DDB"/>
    <w:pPr>
      <w:numPr>
        <w:numId w:val="1"/>
      </w:numPr>
      <w:spacing w:before="600"/>
      <w:jc w:val="center"/>
      <w:outlineLvl w:val="0"/>
    </w:pPr>
    <w:rPr>
      <w:b/>
      <w:sz w:val="28"/>
    </w:rPr>
  </w:style>
  <w:style w:type="paragraph" w:styleId="Ttulo2">
    <w:name w:val="heading 2"/>
    <w:basedOn w:val="Normal"/>
    <w:next w:val="Normal"/>
    <w:link w:val="Ttulo2Car"/>
    <w:uiPriority w:val="9"/>
    <w:unhideWhenUsed/>
    <w:qFormat/>
    <w:rsid w:val="00790DDB"/>
    <w:pPr>
      <w:numPr>
        <w:ilvl w:val="1"/>
        <w:numId w:val="1"/>
      </w:numPr>
      <w:spacing w:before="480"/>
      <w:outlineLvl w:val="1"/>
    </w:pPr>
    <w:rPr>
      <w:b/>
      <w:sz w:val="24"/>
    </w:rPr>
  </w:style>
  <w:style w:type="paragraph" w:styleId="Ttulo3">
    <w:name w:val="heading 3"/>
    <w:basedOn w:val="Normal"/>
    <w:next w:val="Normal"/>
    <w:link w:val="Ttulo3Car"/>
    <w:uiPriority w:val="9"/>
    <w:semiHidden/>
    <w:unhideWhenUsed/>
    <w:qFormat/>
    <w:rsid w:val="00790DD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90DD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90D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90D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90D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90D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90D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DDB"/>
    <w:rPr>
      <w:rFonts w:ascii="Exo" w:hAnsi="Exo"/>
      <w:b/>
      <w:sz w:val="28"/>
      <w:szCs w:val="23"/>
    </w:rPr>
  </w:style>
  <w:style w:type="character" w:customStyle="1" w:styleId="Ttulo2Car">
    <w:name w:val="Título 2 Car"/>
    <w:basedOn w:val="Fuentedeprrafopredeter"/>
    <w:link w:val="Ttulo2"/>
    <w:uiPriority w:val="9"/>
    <w:rsid w:val="00790DDB"/>
    <w:rPr>
      <w:rFonts w:ascii="Exo" w:hAnsi="Exo"/>
      <w:b/>
      <w:sz w:val="24"/>
      <w:szCs w:val="23"/>
    </w:rPr>
  </w:style>
  <w:style w:type="character" w:customStyle="1" w:styleId="Ttulo3Car">
    <w:name w:val="Título 3 Car"/>
    <w:basedOn w:val="Fuentedeprrafopredeter"/>
    <w:link w:val="Ttulo3"/>
    <w:uiPriority w:val="9"/>
    <w:semiHidden/>
    <w:rsid w:val="00790DD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790DDB"/>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790DDB"/>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790DDB"/>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790DDB"/>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790D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90DDB"/>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79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0DD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90DDB"/>
    <w:rPr>
      <w:rFonts w:ascii="Exo" w:hAnsi="Exo"/>
      <w:sz w:val="23"/>
      <w:szCs w:val="23"/>
    </w:rPr>
  </w:style>
  <w:style w:type="paragraph" w:styleId="Piedepgina">
    <w:name w:val="footer"/>
    <w:basedOn w:val="Normal"/>
    <w:link w:val="PiedepginaCar"/>
    <w:uiPriority w:val="99"/>
    <w:unhideWhenUsed/>
    <w:rsid w:val="00790DD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90DDB"/>
    <w:rPr>
      <w:rFonts w:ascii="Exo" w:hAnsi="Exo"/>
      <w:sz w:val="23"/>
      <w:szCs w:val="23"/>
    </w:rPr>
  </w:style>
  <w:style w:type="paragraph" w:styleId="Textonotapie">
    <w:name w:val="footnote text"/>
    <w:basedOn w:val="Normal"/>
    <w:link w:val="TextonotapieCar"/>
    <w:uiPriority w:val="99"/>
    <w:semiHidden/>
    <w:unhideWhenUsed/>
    <w:rsid w:val="00790DDB"/>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90DDB"/>
    <w:rPr>
      <w:rFonts w:ascii="Exo" w:hAnsi="Exo"/>
      <w:sz w:val="20"/>
      <w:szCs w:val="20"/>
    </w:rPr>
  </w:style>
  <w:style w:type="character" w:styleId="Refdenotaalpie">
    <w:name w:val="footnote reference"/>
    <w:basedOn w:val="Fuentedeprrafopredeter"/>
    <w:uiPriority w:val="99"/>
    <w:semiHidden/>
    <w:unhideWhenUsed/>
    <w:rsid w:val="00790DDB"/>
    <w:rPr>
      <w:vertAlign w:val="superscript"/>
    </w:rPr>
  </w:style>
  <w:style w:type="paragraph" w:styleId="Textodeglobo">
    <w:name w:val="Balloon Text"/>
    <w:basedOn w:val="Normal"/>
    <w:link w:val="TextodegloboCar"/>
    <w:uiPriority w:val="99"/>
    <w:semiHidden/>
    <w:unhideWhenUsed/>
    <w:rsid w:val="00534D2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4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10</Pages>
  <Words>3105</Words>
  <Characters>17082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14</cp:revision>
  <cp:lastPrinted>2025-10-08T18:49:00Z</cp:lastPrinted>
  <dcterms:created xsi:type="dcterms:W3CDTF">2025-10-01T22:46:00Z</dcterms:created>
  <dcterms:modified xsi:type="dcterms:W3CDTF">2025-10-08T18:51:00Z</dcterms:modified>
</cp:coreProperties>
</file>