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2B4B3" w14:textId="32669038" w:rsidR="00D110DB" w:rsidRPr="001206E5" w:rsidRDefault="001206E5" w:rsidP="00D110DB">
      <w:pPr>
        <w:pStyle w:val="Ttulo"/>
        <w:rPr>
          <w:color w:val="000000" w:themeColor="text1"/>
        </w:rPr>
      </w:pPr>
      <w:r w:rsidRPr="003A4CD7">
        <w:rPr>
          <w:color w:val="000000" w:themeColor="text1"/>
          <w:sz w:val="24"/>
          <w:szCs w:val="24"/>
        </w:rPr>
        <w:t>ACUERDO QUE EMITE EL CONSEJO ESTATAL DEL INSTITUTO ELECTORAL Y DE PARTICIPACIÓN CIUDADANA DE TABASCO, A PROPUESTA DE LA COMISIÓN PERMANENTE DE SEGUIMIENTO AL SERVICIO PROFESIONAL ELECTORAL NACIONAL CON CARÁCTER ADMINISTRATIVA, MEDIANTE EL CUAL APRUEBA EL PROGRAMA A MEDIANO PLAZO DEL SERVICIO PROFESIONAL ELECTORAL NACIONAL</w:t>
      </w:r>
      <w:r w:rsidRPr="001206E5">
        <w:rPr>
          <w:color w:val="000000" w:themeColor="text1"/>
        </w:rPr>
        <w:t xml:space="preserve"> CORRESPONDIENTE AL CICLO TRIANUAL 2025-2028</w:t>
      </w:r>
      <w:r w:rsidR="005B257D">
        <w:rPr>
          <w:color w:val="000000" w:themeColor="text1"/>
        </w:rPr>
        <w:t xml:space="preserve"> DEL PROPIO INSTITUTO</w:t>
      </w:r>
    </w:p>
    <w:p w14:paraId="28AAFAD7" w14:textId="77777777" w:rsidR="00D110DB" w:rsidRPr="003A4CD7" w:rsidRDefault="00D110DB" w:rsidP="00D110DB">
      <w:pPr>
        <w:ind w:left="0"/>
        <w:rPr>
          <w:color w:val="000000" w:themeColor="text1"/>
          <w:sz w:val="22"/>
          <w:szCs w:val="22"/>
        </w:rPr>
      </w:pPr>
      <w:r w:rsidRPr="003A4CD7">
        <w:rPr>
          <w:color w:val="000000" w:themeColor="text1"/>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257"/>
        <w:gridCol w:w="4091"/>
      </w:tblGrid>
      <w:tr w:rsidR="00C84B25" w:rsidRPr="00EB2C48" w14:paraId="4C07E453" w14:textId="77777777" w:rsidTr="00C84B25">
        <w:trPr>
          <w:trHeight w:val="624"/>
          <w:jc w:val="center"/>
        </w:trPr>
        <w:tc>
          <w:tcPr>
            <w:tcW w:w="2216" w:type="pct"/>
            <w:vAlign w:val="center"/>
          </w:tcPr>
          <w:p w14:paraId="4265CC58"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Comisión de Seguimiento:</w:t>
            </w:r>
          </w:p>
        </w:tc>
        <w:tc>
          <w:tcPr>
            <w:tcW w:w="2784" w:type="pct"/>
            <w:vAlign w:val="center"/>
          </w:tcPr>
          <w:p w14:paraId="565D1553"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Comisión de Seguimiento al Servicio Profesional Electoral Nacional con carácter administrativa.</w:t>
            </w:r>
          </w:p>
        </w:tc>
      </w:tr>
      <w:tr w:rsidR="00C84B25" w:rsidRPr="00EB2C48" w14:paraId="73BD6083" w14:textId="77777777" w:rsidTr="00C84B25">
        <w:trPr>
          <w:trHeight w:val="624"/>
          <w:jc w:val="center"/>
        </w:trPr>
        <w:tc>
          <w:tcPr>
            <w:tcW w:w="2216" w:type="pct"/>
            <w:vAlign w:val="center"/>
          </w:tcPr>
          <w:p w14:paraId="65CF0F74"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Consejo Estatal:</w:t>
            </w:r>
          </w:p>
        </w:tc>
        <w:tc>
          <w:tcPr>
            <w:tcW w:w="2784" w:type="pct"/>
            <w:vAlign w:val="center"/>
          </w:tcPr>
          <w:p w14:paraId="5390C409"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Consejo Estatal del Instituto Electoral y de Participación Ciudadana de Tabasco.</w:t>
            </w:r>
          </w:p>
        </w:tc>
      </w:tr>
      <w:tr w:rsidR="00C84B25" w:rsidRPr="00EB2C48" w14:paraId="3B4C4D0C" w14:textId="77777777" w:rsidTr="00C84B25">
        <w:trPr>
          <w:trHeight w:val="624"/>
          <w:jc w:val="center"/>
        </w:trPr>
        <w:tc>
          <w:tcPr>
            <w:tcW w:w="2216" w:type="pct"/>
            <w:vAlign w:val="center"/>
          </w:tcPr>
          <w:p w14:paraId="432C7A39"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Constitución Federal:</w:t>
            </w:r>
          </w:p>
        </w:tc>
        <w:tc>
          <w:tcPr>
            <w:tcW w:w="2784" w:type="pct"/>
            <w:vAlign w:val="center"/>
          </w:tcPr>
          <w:p w14:paraId="1C59C7A2"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Constitución Política de los Estados Unidos Mexicanos.</w:t>
            </w:r>
          </w:p>
        </w:tc>
      </w:tr>
      <w:tr w:rsidR="00C84B25" w:rsidRPr="00EB2C48" w14:paraId="7CC47B1F" w14:textId="77777777" w:rsidTr="00C84B25">
        <w:trPr>
          <w:trHeight w:val="624"/>
          <w:jc w:val="center"/>
        </w:trPr>
        <w:tc>
          <w:tcPr>
            <w:tcW w:w="2216" w:type="pct"/>
            <w:vAlign w:val="center"/>
          </w:tcPr>
          <w:p w14:paraId="79348BDD"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Constitución Local:</w:t>
            </w:r>
          </w:p>
        </w:tc>
        <w:tc>
          <w:tcPr>
            <w:tcW w:w="2784" w:type="pct"/>
            <w:vAlign w:val="center"/>
          </w:tcPr>
          <w:p w14:paraId="6FE69A90"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Constitución Política del Estado Libre y Soberano de Tabasco.</w:t>
            </w:r>
          </w:p>
        </w:tc>
      </w:tr>
      <w:tr w:rsidR="00C84B25" w:rsidRPr="00EB2C48" w14:paraId="56E0A71E" w14:textId="77777777" w:rsidTr="00C84B25">
        <w:trPr>
          <w:trHeight w:val="624"/>
          <w:jc w:val="center"/>
        </w:trPr>
        <w:tc>
          <w:tcPr>
            <w:tcW w:w="2216" w:type="pct"/>
            <w:vAlign w:val="center"/>
          </w:tcPr>
          <w:p w14:paraId="18B45B5C"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DESPEN:</w:t>
            </w:r>
          </w:p>
        </w:tc>
        <w:tc>
          <w:tcPr>
            <w:tcW w:w="2784" w:type="pct"/>
            <w:vAlign w:val="center"/>
          </w:tcPr>
          <w:p w14:paraId="5A219F14"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Dirección Ejecutiva del Servicio Profesional Electoral Nacional.</w:t>
            </w:r>
          </w:p>
        </w:tc>
      </w:tr>
      <w:tr w:rsidR="00C84B25" w:rsidRPr="00EB2C48" w14:paraId="55986DEF" w14:textId="77777777" w:rsidTr="00C84B25">
        <w:trPr>
          <w:trHeight w:val="624"/>
          <w:jc w:val="center"/>
        </w:trPr>
        <w:tc>
          <w:tcPr>
            <w:tcW w:w="2216" w:type="pct"/>
            <w:vAlign w:val="center"/>
          </w:tcPr>
          <w:p w14:paraId="03781679" w14:textId="77777777" w:rsidR="00C84B25" w:rsidRPr="003A4CD7" w:rsidRDefault="00C84B25" w:rsidP="00C84B25">
            <w:pPr>
              <w:spacing w:before="60" w:after="60"/>
              <w:ind w:left="0"/>
              <w:jc w:val="right"/>
              <w:rPr>
                <w:b/>
                <w:bCs/>
                <w:color w:val="000000" w:themeColor="text1"/>
                <w:sz w:val="20"/>
                <w:szCs w:val="20"/>
              </w:rPr>
            </w:pPr>
            <w:r w:rsidRPr="003A4CD7">
              <w:rPr>
                <w:b/>
                <w:color w:val="000000" w:themeColor="text1"/>
                <w:sz w:val="20"/>
                <w:szCs w:val="20"/>
              </w:rPr>
              <w:t>Estatuto:</w:t>
            </w:r>
          </w:p>
        </w:tc>
        <w:tc>
          <w:tcPr>
            <w:tcW w:w="2784" w:type="pct"/>
            <w:vAlign w:val="center"/>
          </w:tcPr>
          <w:p w14:paraId="3102DB00" w14:textId="2D25F6E2"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Estatuto el Servicio Profesional Electoral Nacional y de la Rama Administrativa aprobado por el Instituto Nacional Electoral</w:t>
            </w:r>
            <w:r w:rsidR="005B257D" w:rsidRPr="003A4CD7">
              <w:rPr>
                <w:color w:val="000000" w:themeColor="text1"/>
                <w:sz w:val="20"/>
                <w:szCs w:val="20"/>
              </w:rPr>
              <w:t>.</w:t>
            </w:r>
          </w:p>
        </w:tc>
      </w:tr>
      <w:tr w:rsidR="00C84B25" w:rsidRPr="00EB2C48" w14:paraId="71898D96" w14:textId="77777777" w:rsidTr="00C84B25">
        <w:trPr>
          <w:trHeight w:val="624"/>
          <w:jc w:val="center"/>
        </w:trPr>
        <w:tc>
          <w:tcPr>
            <w:tcW w:w="2216" w:type="pct"/>
            <w:vAlign w:val="center"/>
          </w:tcPr>
          <w:p w14:paraId="53BE48FB"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INE:</w:t>
            </w:r>
          </w:p>
        </w:tc>
        <w:tc>
          <w:tcPr>
            <w:tcW w:w="2784" w:type="pct"/>
            <w:vAlign w:val="center"/>
          </w:tcPr>
          <w:p w14:paraId="4602B93F"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Instituto Nacional Electoral.</w:t>
            </w:r>
          </w:p>
        </w:tc>
      </w:tr>
      <w:tr w:rsidR="00C84B25" w:rsidRPr="00EB2C48" w14:paraId="5A1CDF9D" w14:textId="77777777" w:rsidTr="00C84B25">
        <w:trPr>
          <w:trHeight w:val="624"/>
          <w:jc w:val="center"/>
        </w:trPr>
        <w:tc>
          <w:tcPr>
            <w:tcW w:w="2216" w:type="pct"/>
            <w:vAlign w:val="center"/>
          </w:tcPr>
          <w:p w14:paraId="45099C51"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Instituto:</w:t>
            </w:r>
          </w:p>
        </w:tc>
        <w:tc>
          <w:tcPr>
            <w:tcW w:w="2784" w:type="pct"/>
          </w:tcPr>
          <w:p w14:paraId="1CBEADC3"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Instituto Electoral y de Participación Ciudadana de Tabasco.</w:t>
            </w:r>
          </w:p>
        </w:tc>
      </w:tr>
      <w:tr w:rsidR="00C84B25" w:rsidRPr="00EB2C48" w14:paraId="0649555B" w14:textId="77777777" w:rsidTr="00C84B25">
        <w:trPr>
          <w:trHeight w:val="624"/>
          <w:jc w:val="center"/>
        </w:trPr>
        <w:tc>
          <w:tcPr>
            <w:tcW w:w="2216" w:type="pct"/>
            <w:vAlign w:val="center"/>
          </w:tcPr>
          <w:p w14:paraId="20BB78B5"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Ley Electoral:</w:t>
            </w:r>
          </w:p>
        </w:tc>
        <w:tc>
          <w:tcPr>
            <w:tcW w:w="2784" w:type="pct"/>
            <w:vAlign w:val="center"/>
          </w:tcPr>
          <w:p w14:paraId="53127618"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Ley Electoral y de Partidos Políticos del Estado de Tabasco.</w:t>
            </w:r>
          </w:p>
        </w:tc>
      </w:tr>
      <w:tr w:rsidR="00C84B25" w:rsidRPr="00EB2C48" w14:paraId="297C935F" w14:textId="77777777" w:rsidTr="00C84B25">
        <w:trPr>
          <w:trHeight w:val="624"/>
          <w:jc w:val="center"/>
        </w:trPr>
        <w:tc>
          <w:tcPr>
            <w:tcW w:w="2216" w:type="pct"/>
            <w:vAlign w:val="center"/>
          </w:tcPr>
          <w:p w14:paraId="465C4758"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Ley General:</w:t>
            </w:r>
          </w:p>
        </w:tc>
        <w:tc>
          <w:tcPr>
            <w:tcW w:w="2784" w:type="pct"/>
            <w:vAlign w:val="center"/>
          </w:tcPr>
          <w:p w14:paraId="5D29D927"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Ley General de Instituciones y Procedimientos Electorales.</w:t>
            </w:r>
          </w:p>
        </w:tc>
      </w:tr>
      <w:tr w:rsidR="00C84B25" w:rsidRPr="00EB2C48" w14:paraId="6DEB2018" w14:textId="77777777" w:rsidTr="00C84B25">
        <w:trPr>
          <w:trHeight w:val="624"/>
          <w:jc w:val="center"/>
        </w:trPr>
        <w:tc>
          <w:tcPr>
            <w:tcW w:w="2216" w:type="pct"/>
            <w:vAlign w:val="center"/>
          </w:tcPr>
          <w:p w14:paraId="2B2E7410"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Lineamientos:</w:t>
            </w:r>
          </w:p>
        </w:tc>
        <w:tc>
          <w:tcPr>
            <w:tcW w:w="2784" w:type="pct"/>
            <w:vAlign w:val="center"/>
          </w:tcPr>
          <w:p w14:paraId="30274768"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Lineamientos para la Planeación y Evaluación del Servicio Profesional Electoral Nacional.</w:t>
            </w:r>
          </w:p>
        </w:tc>
      </w:tr>
      <w:tr w:rsidR="00C84B25" w:rsidRPr="00EB2C48" w14:paraId="7717B100" w14:textId="77777777" w:rsidTr="00C84B25">
        <w:trPr>
          <w:trHeight w:val="624"/>
          <w:jc w:val="center"/>
        </w:trPr>
        <w:tc>
          <w:tcPr>
            <w:tcW w:w="2216" w:type="pct"/>
            <w:vAlign w:val="center"/>
          </w:tcPr>
          <w:p w14:paraId="703B2536" w14:textId="13DF039F"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 xml:space="preserve">Organismo(s) </w:t>
            </w:r>
            <w:r w:rsidR="003227A5" w:rsidRPr="003A4CD7">
              <w:rPr>
                <w:b/>
                <w:bCs/>
                <w:color w:val="000000" w:themeColor="text1"/>
                <w:sz w:val="20"/>
                <w:szCs w:val="20"/>
              </w:rPr>
              <w:t>E</w:t>
            </w:r>
            <w:r w:rsidRPr="003A4CD7">
              <w:rPr>
                <w:b/>
                <w:bCs/>
                <w:color w:val="000000" w:themeColor="text1"/>
                <w:sz w:val="20"/>
                <w:szCs w:val="20"/>
              </w:rPr>
              <w:t>lectoral(es):</w:t>
            </w:r>
          </w:p>
        </w:tc>
        <w:tc>
          <w:tcPr>
            <w:tcW w:w="2784" w:type="pct"/>
            <w:vAlign w:val="center"/>
          </w:tcPr>
          <w:p w14:paraId="280F896C"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 xml:space="preserve">Organismo(s) público(s) local(es) electoral(es). </w:t>
            </w:r>
          </w:p>
        </w:tc>
      </w:tr>
      <w:tr w:rsidR="007E6924" w:rsidRPr="00EB2C48" w14:paraId="5ED0FA53" w14:textId="77777777" w:rsidTr="00C84B25">
        <w:trPr>
          <w:trHeight w:val="624"/>
          <w:jc w:val="center"/>
        </w:trPr>
        <w:tc>
          <w:tcPr>
            <w:tcW w:w="2216" w:type="pct"/>
            <w:vAlign w:val="center"/>
          </w:tcPr>
          <w:p w14:paraId="1F8CE1AD" w14:textId="0042F0B2" w:rsidR="007E6924" w:rsidRPr="003A4CD7" w:rsidRDefault="007E6924" w:rsidP="00C84B25">
            <w:pPr>
              <w:spacing w:before="60" w:after="60"/>
              <w:ind w:left="0"/>
              <w:jc w:val="right"/>
              <w:rPr>
                <w:b/>
                <w:bCs/>
                <w:color w:val="000000" w:themeColor="text1"/>
                <w:sz w:val="20"/>
                <w:szCs w:val="20"/>
              </w:rPr>
            </w:pPr>
            <w:r w:rsidRPr="003A4CD7">
              <w:rPr>
                <w:b/>
                <w:bCs/>
                <w:color w:val="000000" w:themeColor="text1"/>
                <w:sz w:val="20"/>
                <w:szCs w:val="20"/>
              </w:rPr>
              <w:lastRenderedPageBreak/>
              <w:t>Programa a Mediano Plazo:</w:t>
            </w:r>
          </w:p>
        </w:tc>
        <w:tc>
          <w:tcPr>
            <w:tcW w:w="2784" w:type="pct"/>
            <w:vAlign w:val="center"/>
          </w:tcPr>
          <w:p w14:paraId="7ABA796B" w14:textId="1AD095E7" w:rsidR="007E6924" w:rsidRPr="003A4CD7" w:rsidRDefault="007E6924" w:rsidP="00C84B25">
            <w:pPr>
              <w:spacing w:before="60" w:after="60"/>
              <w:ind w:left="0"/>
              <w:rPr>
                <w:color w:val="000000" w:themeColor="text1"/>
                <w:sz w:val="20"/>
                <w:szCs w:val="20"/>
              </w:rPr>
            </w:pPr>
            <w:r w:rsidRPr="003A4CD7">
              <w:rPr>
                <w:sz w:val="20"/>
                <w:szCs w:val="20"/>
              </w:rPr>
              <w:t>Programa a Mediano Plazo del Servicio Profesional Electoral Nacional 2025-2028 del Instituto Electoral y de Participación Ciudadana de Tabasco.</w:t>
            </w:r>
          </w:p>
        </w:tc>
      </w:tr>
      <w:tr w:rsidR="00C84B25" w:rsidRPr="00EB2C48" w14:paraId="00A84B0B" w14:textId="77777777" w:rsidTr="00C84B25">
        <w:trPr>
          <w:trHeight w:val="624"/>
          <w:jc w:val="center"/>
        </w:trPr>
        <w:tc>
          <w:tcPr>
            <w:tcW w:w="2216" w:type="pct"/>
            <w:vAlign w:val="center"/>
          </w:tcPr>
          <w:p w14:paraId="62EE32C0" w14:textId="77777777" w:rsidR="00C84B25" w:rsidRPr="003A4CD7" w:rsidRDefault="00B02CEB" w:rsidP="00C84B25">
            <w:pPr>
              <w:spacing w:before="60" w:after="60"/>
              <w:ind w:left="0"/>
              <w:jc w:val="right"/>
              <w:rPr>
                <w:b/>
                <w:bCs/>
                <w:color w:val="000000" w:themeColor="text1"/>
                <w:sz w:val="20"/>
                <w:szCs w:val="20"/>
              </w:rPr>
            </w:pPr>
            <w:r w:rsidRPr="003A4CD7">
              <w:rPr>
                <w:b/>
                <w:bCs/>
                <w:color w:val="000000" w:themeColor="text1"/>
                <w:sz w:val="20"/>
                <w:szCs w:val="20"/>
              </w:rPr>
              <w:t>Servicio Profesional</w:t>
            </w:r>
            <w:r w:rsidR="00C84B25" w:rsidRPr="003A4CD7">
              <w:rPr>
                <w:b/>
                <w:bCs/>
                <w:color w:val="000000" w:themeColor="text1"/>
                <w:sz w:val="20"/>
                <w:szCs w:val="20"/>
              </w:rPr>
              <w:t>:</w:t>
            </w:r>
          </w:p>
        </w:tc>
        <w:tc>
          <w:tcPr>
            <w:tcW w:w="2784" w:type="pct"/>
            <w:vAlign w:val="center"/>
          </w:tcPr>
          <w:p w14:paraId="671DE35D"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Servicio Profesional Electoral Nacional.</w:t>
            </w:r>
          </w:p>
        </w:tc>
      </w:tr>
      <w:tr w:rsidR="00C84B25" w:rsidRPr="00EB2C48" w14:paraId="5A43165F" w14:textId="77777777" w:rsidTr="00C84B25">
        <w:trPr>
          <w:trHeight w:val="624"/>
          <w:jc w:val="center"/>
        </w:trPr>
        <w:tc>
          <w:tcPr>
            <w:tcW w:w="2216" w:type="pct"/>
            <w:vAlign w:val="center"/>
          </w:tcPr>
          <w:p w14:paraId="535399D2" w14:textId="77777777" w:rsidR="00C84B25" w:rsidRPr="003A4CD7" w:rsidRDefault="00C84B25" w:rsidP="00C84B25">
            <w:pPr>
              <w:spacing w:before="60" w:after="60"/>
              <w:ind w:left="0"/>
              <w:jc w:val="right"/>
              <w:rPr>
                <w:b/>
                <w:bCs/>
                <w:color w:val="000000" w:themeColor="text1"/>
                <w:sz w:val="20"/>
                <w:szCs w:val="20"/>
              </w:rPr>
            </w:pPr>
            <w:r w:rsidRPr="003A4CD7">
              <w:rPr>
                <w:b/>
                <w:bCs/>
                <w:color w:val="000000" w:themeColor="text1"/>
                <w:sz w:val="20"/>
                <w:szCs w:val="20"/>
              </w:rPr>
              <w:t>Secretaría Ejecutiva:</w:t>
            </w:r>
          </w:p>
        </w:tc>
        <w:tc>
          <w:tcPr>
            <w:tcW w:w="2784" w:type="pct"/>
            <w:vAlign w:val="center"/>
          </w:tcPr>
          <w:p w14:paraId="4940E94D" w14:textId="77777777" w:rsidR="00C84B25" w:rsidRPr="003A4CD7" w:rsidRDefault="00C84B25" w:rsidP="00C84B25">
            <w:pPr>
              <w:spacing w:before="60" w:after="60"/>
              <w:ind w:left="0"/>
              <w:rPr>
                <w:color w:val="000000" w:themeColor="text1"/>
                <w:sz w:val="20"/>
                <w:szCs w:val="20"/>
              </w:rPr>
            </w:pPr>
            <w:r w:rsidRPr="003A4CD7">
              <w:rPr>
                <w:color w:val="000000" w:themeColor="text1"/>
                <w:sz w:val="20"/>
                <w:szCs w:val="20"/>
              </w:rPr>
              <w:t>Secretaría Ejecutiva del Instituto Electoral y de Participación Ciudadana de Tabasco.</w:t>
            </w:r>
          </w:p>
        </w:tc>
      </w:tr>
    </w:tbl>
    <w:p w14:paraId="5ABE2DD3" w14:textId="77777777" w:rsidR="00D110DB" w:rsidRPr="004B52B6" w:rsidRDefault="00D110DB" w:rsidP="00D110DB">
      <w:pPr>
        <w:rPr>
          <w:color w:val="FF0000"/>
        </w:rPr>
      </w:pPr>
    </w:p>
    <w:p w14:paraId="4CF0E665" w14:textId="2F834B1C" w:rsidR="00D110DB" w:rsidRPr="003A4CD7" w:rsidRDefault="00D110DB" w:rsidP="003A4CD7">
      <w:pPr>
        <w:pStyle w:val="Ttulo1"/>
        <w:numPr>
          <w:ilvl w:val="0"/>
          <w:numId w:val="6"/>
        </w:numPr>
        <w:rPr>
          <w:rFonts w:ascii="Arial" w:hAnsi="Arial"/>
          <w:spacing w:val="30"/>
          <w:sz w:val="24"/>
          <w:szCs w:val="24"/>
        </w:rPr>
      </w:pPr>
      <w:r w:rsidRPr="003A4CD7">
        <w:rPr>
          <w:rFonts w:ascii="Arial" w:hAnsi="Arial"/>
          <w:spacing w:val="30"/>
          <w:sz w:val="24"/>
          <w:szCs w:val="24"/>
        </w:rPr>
        <w:t>Antecedentes</w:t>
      </w:r>
    </w:p>
    <w:p w14:paraId="50C39C5D" w14:textId="5E70C32A" w:rsidR="00D110DB" w:rsidRPr="003A4CD7" w:rsidRDefault="003A4CD7" w:rsidP="003A4CD7">
      <w:pPr>
        <w:pStyle w:val="Ttulo2"/>
        <w:numPr>
          <w:ilvl w:val="0"/>
          <w:numId w:val="0"/>
        </w:numPr>
        <w:spacing w:before="480" w:after="240"/>
        <w:rPr>
          <w:sz w:val="22"/>
          <w:szCs w:val="22"/>
        </w:rPr>
      </w:pPr>
      <w:r>
        <w:rPr>
          <w:sz w:val="22"/>
          <w:szCs w:val="22"/>
        </w:rPr>
        <w:t xml:space="preserve">1.1 </w:t>
      </w:r>
      <w:r w:rsidR="00D110DB" w:rsidRPr="003A4CD7">
        <w:rPr>
          <w:sz w:val="22"/>
          <w:szCs w:val="22"/>
        </w:rPr>
        <w:t xml:space="preserve">Fines del Instituto </w:t>
      </w:r>
    </w:p>
    <w:p w14:paraId="7B52764C" w14:textId="77777777" w:rsidR="00D110DB" w:rsidRPr="003A4CD7" w:rsidRDefault="00D110DB" w:rsidP="00D110DB">
      <w:pPr>
        <w:ind w:left="0"/>
        <w:rPr>
          <w:sz w:val="22"/>
          <w:szCs w:val="22"/>
        </w:rPr>
      </w:pPr>
      <w:bookmarkStart w:id="0" w:name="_Hlk207009561"/>
      <w:r w:rsidRPr="003A4CD7">
        <w:rPr>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5912BA3" w14:textId="77777777" w:rsidR="00D110DB" w:rsidRPr="003A4CD7" w:rsidRDefault="00D110DB" w:rsidP="00D110DB">
      <w:pPr>
        <w:ind w:left="0"/>
        <w:rPr>
          <w:sz w:val="22"/>
          <w:szCs w:val="22"/>
        </w:rPr>
      </w:pPr>
      <w:r w:rsidRPr="003A4CD7">
        <w:rPr>
          <w:sz w:val="22"/>
          <w:szCs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4D43C097" w14:textId="7A144416" w:rsidR="00D110DB" w:rsidRDefault="00D110DB" w:rsidP="00D110DB">
      <w:pPr>
        <w:ind w:left="0"/>
        <w:rPr>
          <w:sz w:val="22"/>
          <w:szCs w:val="22"/>
        </w:rPr>
      </w:pPr>
      <w:r w:rsidRPr="003A4CD7">
        <w:rPr>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bookmarkEnd w:id="0"/>
    </w:p>
    <w:p w14:paraId="7684F554" w14:textId="77777777" w:rsidR="00015C15" w:rsidRPr="003A4CD7" w:rsidRDefault="00015C15" w:rsidP="00D110DB">
      <w:pPr>
        <w:ind w:left="0"/>
        <w:rPr>
          <w:sz w:val="22"/>
          <w:szCs w:val="22"/>
        </w:rPr>
      </w:pPr>
    </w:p>
    <w:p w14:paraId="3B40396C" w14:textId="161DBCA7" w:rsidR="00D110DB" w:rsidRPr="003A4CD7" w:rsidRDefault="00D110DB" w:rsidP="008B147D">
      <w:pPr>
        <w:pStyle w:val="Ttulo2"/>
        <w:numPr>
          <w:ilvl w:val="1"/>
          <w:numId w:val="6"/>
        </w:numPr>
        <w:tabs>
          <w:tab w:val="left" w:pos="426"/>
        </w:tabs>
        <w:spacing w:before="480" w:after="240"/>
        <w:ind w:left="284" w:hanging="284"/>
        <w:rPr>
          <w:sz w:val="22"/>
          <w:szCs w:val="22"/>
        </w:rPr>
      </w:pPr>
      <w:r w:rsidRPr="003A4CD7">
        <w:rPr>
          <w:sz w:val="22"/>
          <w:szCs w:val="22"/>
        </w:rPr>
        <w:lastRenderedPageBreak/>
        <w:t>Integración del órgano superior de dirección</w:t>
      </w:r>
    </w:p>
    <w:p w14:paraId="29E7B289" w14:textId="77777777" w:rsidR="00D110DB" w:rsidRPr="003A4CD7" w:rsidRDefault="00D110DB" w:rsidP="00D110DB">
      <w:pPr>
        <w:ind w:left="0"/>
        <w:rPr>
          <w:sz w:val="22"/>
          <w:szCs w:val="22"/>
        </w:rPr>
      </w:pPr>
      <w:bookmarkStart w:id="1" w:name="_Hlk207009591"/>
      <w:r w:rsidRPr="003A4CD7">
        <w:rPr>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8B9047E" w14:textId="77777777" w:rsidR="00D110DB" w:rsidRPr="003A4CD7" w:rsidRDefault="00D110DB" w:rsidP="00D110DB">
      <w:pPr>
        <w:ind w:left="0"/>
        <w:rPr>
          <w:sz w:val="22"/>
          <w:szCs w:val="22"/>
        </w:rPr>
      </w:pPr>
      <w:r w:rsidRPr="003A4CD7">
        <w:rPr>
          <w:sz w:val="22"/>
          <w:szCs w:val="22"/>
        </w:rPr>
        <w:t>Dicho órgano electoral, de conformidad con los artículos 99 numeral 1</w:t>
      </w:r>
      <w:r w:rsidRPr="003A4CD7">
        <w:rPr>
          <w:color w:val="FF0000"/>
          <w:sz w:val="22"/>
          <w:szCs w:val="22"/>
        </w:rPr>
        <w:t xml:space="preserve"> </w:t>
      </w:r>
      <w:r w:rsidRPr="003A4CD7">
        <w:rPr>
          <w:sz w:val="22"/>
          <w:szCs w:val="22"/>
        </w:rPr>
        <w:t>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bookmarkEnd w:id="1"/>
    <w:p w14:paraId="2CEE1DA2" w14:textId="287A39C4" w:rsidR="006C70CE" w:rsidRPr="003A4CD7" w:rsidRDefault="006C70CE" w:rsidP="003A4CD7">
      <w:pPr>
        <w:pStyle w:val="Ttulo2"/>
        <w:numPr>
          <w:ilvl w:val="1"/>
          <w:numId w:val="6"/>
        </w:numPr>
        <w:spacing w:before="480" w:after="240"/>
        <w:ind w:left="426"/>
        <w:rPr>
          <w:sz w:val="22"/>
          <w:szCs w:val="22"/>
        </w:rPr>
      </w:pPr>
      <w:r w:rsidRPr="003A4CD7">
        <w:rPr>
          <w:sz w:val="22"/>
          <w:szCs w:val="22"/>
        </w:rPr>
        <w:t>Aprobación del Estatuto</w:t>
      </w:r>
    </w:p>
    <w:p w14:paraId="45F38ABF" w14:textId="77777777" w:rsidR="006C70CE" w:rsidRPr="003A4CD7" w:rsidRDefault="006C70CE" w:rsidP="006C70CE">
      <w:pPr>
        <w:ind w:left="0"/>
        <w:rPr>
          <w:sz w:val="22"/>
          <w:szCs w:val="22"/>
        </w:rPr>
      </w:pPr>
      <w:r w:rsidRPr="003A4CD7">
        <w:rPr>
          <w:sz w:val="22"/>
          <w:szCs w:val="22"/>
        </w:rPr>
        <w:t>El 08 de julio del año 2020, el Consejo General del INE, mediante acuerdo INE/CG162/2020 emitió un nuevo Estatuto, abrogando el publicado en fecha quince de enero de dos mil dieciséis.</w:t>
      </w:r>
    </w:p>
    <w:p w14:paraId="2B1E9263" w14:textId="319FCC8E" w:rsidR="00D110DB" w:rsidRPr="003A4CD7" w:rsidRDefault="00EB2C48" w:rsidP="008B147D">
      <w:pPr>
        <w:pStyle w:val="Ttulo2"/>
        <w:numPr>
          <w:ilvl w:val="1"/>
          <w:numId w:val="6"/>
        </w:numPr>
        <w:spacing w:before="480" w:after="240"/>
        <w:ind w:left="426" w:hanging="426"/>
        <w:rPr>
          <w:sz w:val="22"/>
          <w:szCs w:val="22"/>
        </w:rPr>
      </w:pPr>
      <w:r w:rsidRPr="003A4CD7">
        <w:rPr>
          <w:sz w:val="22"/>
          <w:szCs w:val="22"/>
        </w:rPr>
        <w:t>Lineamientos</w:t>
      </w:r>
    </w:p>
    <w:p w14:paraId="4EE2A101" w14:textId="74B3B7B0" w:rsidR="00D110DB" w:rsidRPr="003A4CD7" w:rsidRDefault="00EB2C48" w:rsidP="00D110DB">
      <w:pPr>
        <w:ind w:left="0"/>
        <w:rPr>
          <w:color w:val="FF0000"/>
          <w:sz w:val="22"/>
          <w:szCs w:val="22"/>
        </w:rPr>
      </w:pPr>
      <w:r w:rsidRPr="003A4CD7">
        <w:rPr>
          <w:sz w:val="22"/>
          <w:szCs w:val="22"/>
        </w:rPr>
        <w:t>El 2</w:t>
      </w:r>
      <w:r w:rsidR="006C70CE" w:rsidRPr="003A4CD7">
        <w:rPr>
          <w:sz w:val="22"/>
          <w:szCs w:val="22"/>
        </w:rPr>
        <w:t>1 de enero del 2021</w:t>
      </w:r>
      <w:r w:rsidRPr="003A4CD7">
        <w:rPr>
          <w:sz w:val="22"/>
          <w:szCs w:val="22"/>
        </w:rPr>
        <w:t>, mediante acuerdo INE/JGE11/2021, la Junta General Ejecutiva del INE aprobó los Lineamientos para la Planeación y Evaluación</w:t>
      </w:r>
      <w:r w:rsidR="006C70CE" w:rsidRPr="003A4CD7">
        <w:rPr>
          <w:sz w:val="22"/>
          <w:szCs w:val="22"/>
        </w:rPr>
        <w:t xml:space="preserve"> del Servicio Profesional Electoral Nacional</w:t>
      </w:r>
      <w:r w:rsidRPr="003A4CD7">
        <w:rPr>
          <w:sz w:val="22"/>
          <w:szCs w:val="22"/>
        </w:rPr>
        <w:t xml:space="preserve">, cuyo </w:t>
      </w:r>
      <w:r w:rsidR="007409B1" w:rsidRPr="003A4CD7">
        <w:rPr>
          <w:sz w:val="22"/>
          <w:szCs w:val="22"/>
        </w:rPr>
        <w:t xml:space="preserve">objeto </w:t>
      </w:r>
      <w:r w:rsidR="005B257D" w:rsidRPr="003A4CD7">
        <w:rPr>
          <w:sz w:val="22"/>
          <w:szCs w:val="22"/>
        </w:rPr>
        <w:t xml:space="preserve">es </w:t>
      </w:r>
      <w:r w:rsidR="007409B1" w:rsidRPr="003A4CD7">
        <w:rPr>
          <w:sz w:val="22"/>
          <w:szCs w:val="22"/>
        </w:rPr>
        <w:t>regular la planeación y la evaluación del Servicio Profesional, conforme a los fines del Instituto, los de los Organismos Electorales y a lo establecido en el Estatuto</w:t>
      </w:r>
      <w:r w:rsidR="00D110DB" w:rsidRPr="003A4CD7">
        <w:rPr>
          <w:sz w:val="22"/>
          <w:szCs w:val="22"/>
        </w:rPr>
        <w:t>.</w:t>
      </w:r>
    </w:p>
    <w:p w14:paraId="0AE21983" w14:textId="6F62E67D" w:rsidR="006C70CE" w:rsidRPr="003A4CD7" w:rsidRDefault="006C70CE" w:rsidP="003A4CD7">
      <w:pPr>
        <w:pStyle w:val="Ttulo2"/>
        <w:numPr>
          <w:ilvl w:val="1"/>
          <w:numId w:val="6"/>
        </w:numPr>
        <w:spacing w:before="480" w:after="240"/>
        <w:ind w:left="284"/>
        <w:rPr>
          <w:sz w:val="22"/>
          <w:szCs w:val="22"/>
        </w:rPr>
      </w:pPr>
      <w:r w:rsidRPr="003A4CD7">
        <w:rPr>
          <w:sz w:val="22"/>
          <w:szCs w:val="22"/>
        </w:rPr>
        <w:t>Aprobación del Programa Anual de Trabajo</w:t>
      </w:r>
    </w:p>
    <w:p w14:paraId="1EF96ABE" w14:textId="77777777" w:rsidR="006C70CE" w:rsidRPr="003A4CD7" w:rsidRDefault="006C70CE" w:rsidP="006C70CE">
      <w:pPr>
        <w:ind w:left="0"/>
        <w:rPr>
          <w:sz w:val="22"/>
          <w:szCs w:val="22"/>
        </w:rPr>
      </w:pPr>
      <w:r w:rsidRPr="003A4CD7">
        <w:rPr>
          <w:sz w:val="22"/>
          <w:szCs w:val="22"/>
        </w:rPr>
        <w:t>El 15 de febrero de dos mil veinticinco, mediante acuerdo INE/JGE21/2025, la Junta General Ejecutiva del INE aprobó el Programa Anual de Trabajo del Servicio Profesional Electoral Nacional correspondiente al ejercicio 2025.</w:t>
      </w:r>
    </w:p>
    <w:p w14:paraId="3F3C76D3" w14:textId="1B236924" w:rsidR="00D575B1" w:rsidRPr="003A4CD7" w:rsidRDefault="00D575B1" w:rsidP="008B147D">
      <w:pPr>
        <w:pStyle w:val="Ttulo2"/>
        <w:numPr>
          <w:ilvl w:val="1"/>
          <w:numId w:val="6"/>
        </w:numPr>
        <w:tabs>
          <w:tab w:val="left" w:pos="142"/>
        </w:tabs>
        <w:spacing w:before="480" w:after="240"/>
        <w:rPr>
          <w:sz w:val="22"/>
          <w:szCs w:val="22"/>
        </w:rPr>
      </w:pPr>
      <w:r w:rsidRPr="003A4CD7">
        <w:rPr>
          <w:sz w:val="22"/>
          <w:szCs w:val="22"/>
        </w:rPr>
        <w:t>Aprobación del Plan Trianual</w:t>
      </w:r>
    </w:p>
    <w:p w14:paraId="53166BB9" w14:textId="08CFE97A" w:rsidR="00D575B1" w:rsidRPr="003A4CD7" w:rsidRDefault="00D575B1" w:rsidP="00D575B1">
      <w:pPr>
        <w:ind w:left="0"/>
        <w:rPr>
          <w:sz w:val="22"/>
          <w:szCs w:val="22"/>
        </w:rPr>
      </w:pPr>
      <w:r w:rsidRPr="003A4CD7">
        <w:rPr>
          <w:sz w:val="22"/>
          <w:szCs w:val="22"/>
        </w:rPr>
        <w:t>El 23 de julio de 2025, la Junta General Ejecutiva del INE, mediante acuerdo INE/JGE151/2025 aprobó el Plan Trianual del Servicio Profesional correspondiente al período del 01 de septiembre de 2025 al 31 agosto de 2028.</w:t>
      </w:r>
    </w:p>
    <w:p w14:paraId="675A45EA" w14:textId="51820D7D" w:rsidR="00D575B1" w:rsidRPr="003A4CD7" w:rsidRDefault="00D575B1" w:rsidP="008B147D">
      <w:pPr>
        <w:pStyle w:val="Ttulo2"/>
        <w:numPr>
          <w:ilvl w:val="1"/>
          <w:numId w:val="6"/>
        </w:numPr>
        <w:spacing w:before="480" w:after="240"/>
        <w:ind w:left="284"/>
        <w:rPr>
          <w:sz w:val="22"/>
          <w:szCs w:val="22"/>
        </w:rPr>
      </w:pPr>
      <w:r w:rsidRPr="003A4CD7">
        <w:rPr>
          <w:sz w:val="22"/>
          <w:szCs w:val="22"/>
        </w:rPr>
        <w:lastRenderedPageBreak/>
        <w:t>Notificación</w:t>
      </w:r>
      <w:r w:rsidR="00C84B25" w:rsidRPr="003A4CD7">
        <w:rPr>
          <w:sz w:val="22"/>
          <w:szCs w:val="22"/>
        </w:rPr>
        <w:t xml:space="preserve"> del Plan Trianual</w:t>
      </w:r>
    </w:p>
    <w:p w14:paraId="1601FACC" w14:textId="7CCB5758" w:rsidR="00D575B1" w:rsidRPr="003A4CD7" w:rsidRDefault="00D575B1" w:rsidP="00D575B1">
      <w:pPr>
        <w:ind w:left="0"/>
        <w:rPr>
          <w:sz w:val="22"/>
          <w:szCs w:val="22"/>
        </w:rPr>
      </w:pPr>
      <w:r w:rsidRPr="003A4CD7">
        <w:rPr>
          <w:sz w:val="22"/>
          <w:szCs w:val="22"/>
        </w:rPr>
        <w:t>El día 11 de agosto de 2025, vía correo electrónico institucional, se recibió a través del Sistema de Vinculación con los Organismos Públicos Locales Electorales (SIVOPLE) con folio TAB/2025/1934/00308, la circular INE/ED/DESPEN/001/2025, suscrita por el encargado de despacho de la DESPEN, por el que hace del conocimiento el Plan Trianual del Servicio Profesional a las personas Titulares de los Órganos de Enlace de los Organismos Electorales, asimismo, remite el formato para el desarrollo del Programa de mediano plazo.</w:t>
      </w:r>
    </w:p>
    <w:p w14:paraId="219B67C2" w14:textId="34147D32" w:rsidR="00D110DB" w:rsidRPr="003A4CD7" w:rsidRDefault="00C84B25" w:rsidP="008B147D">
      <w:pPr>
        <w:pStyle w:val="Ttulo2"/>
        <w:numPr>
          <w:ilvl w:val="1"/>
          <w:numId w:val="6"/>
        </w:numPr>
        <w:spacing w:before="480" w:after="240"/>
        <w:ind w:left="284"/>
        <w:rPr>
          <w:sz w:val="22"/>
          <w:szCs w:val="22"/>
        </w:rPr>
      </w:pPr>
      <w:r w:rsidRPr="003A4CD7">
        <w:rPr>
          <w:sz w:val="22"/>
          <w:szCs w:val="22"/>
        </w:rPr>
        <w:t>Aprobación de la Comisión de Seguimiento</w:t>
      </w:r>
    </w:p>
    <w:p w14:paraId="61E84FE5" w14:textId="29FDD895" w:rsidR="00D110DB" w:rsidRPr="003A4CD7" w:rsidRDefault="00C84B25" w:rsidP="00D110DB">
      <w:pPr>
        <w:ind w:left="0"/>
        <w:rPr>
          <w:sz w:val="22"/>
          <w:szCs w:val="22"/>
        </w:rPr>
      </w:pPr>
      <w:r w:rsidRPr="003A4CD7">
        <w:rPr>
          <w:sz w:val="22"/>
          <w:szCs w:val="22"/>
        </w:rPr>
        <w:t xml:space="preserve">El </w:t>
      </w:r>
      <w:r w:rsidR="00300684" w:rsidRPr="003A4CD7">
        <w:rPr>
          <w:sz w:val="22"/>
          <w:szCs w:val="22"/>
        </w:rPr>
        <w:t>23</w:t>
      </w:r>
      <w:r w:rsidRPr="003A4CD7">
        <w:rPr>
          <w:sz w:val="22"/>
          <w:szCs w:val="22"/>
        </w:rPr>
        <w:t xml:space="preserve"> de septiembre de 2025, la Comisión de Seguimiento aprobó</w:t>
      </w:r>
      <w:r w:rsidR="00CF73D3" w:rsidRPr="003A4CD7">
        <w:rPr>
          <w:sz w:val="22"/>
          <w:szCs w:val="22"/>
        </w:rPr>
        <w:t xml:space="preserve"> el Programa a Mediano Plazo del Servicio Profesional</w:t>
      </w:r>
      <w:r w:rsidR="0083116A" w:rsidRPr="003A4CD7">
        <w:rPr>
          <w:sz w:val="22"/>
          <w:szCs w:val="22"/>
        </w:rPr>
        <w:t xml:space="preserve"> Electoral </w:t>
      </w:r>
      <w:r w:rsidR="005B257D" w:rsidRPr="003A4CD7">
        <w:rPr>
          <w:sz w:val="22"/>
          <w:szCs w:val="22"/>
        </w:rPr>
        <w:t>N</w:t>
      </w:r>
      <w:r w:rsidR="0083116A" w:rsidRPr="003A4CD7">
        <w:rPr>
          <w:sz w:val="22"/>
          <w:szCs w:val="22"/>
        </w:rPr>
        <w:t>acional 2025-2028 del propio Instituto</w:t>
      </w:r>
      <w:r w:rsidR="00D110DB" w:rsidRPr="003A4CD7">
        <w:rPr>
          <w:sz w:val="22"/>
          <w:szCs w:val="22"/>
        </w:rPr>
        <w:t>.</w:t>
      </w:r>
    </w:p>
    <w:p w14:paraId="284DFCE7" w14:textId="77777777" w:rsidR="00D110DB" w:rsidRPr="003A4CD7" w:rsidRDefault="00D110DB" w:rsidP="00D110DB">
      <w:pPr>
        <w:ind w:left="0"/>
        <w:rPr>
          <w:color w:val="FF0000"/>
          <w:sz w:val="22"/>
          <w:szCs w:val="22"/>
        </w:rPr>
      </w:pPr>
    </w:p>
    <w:p w14:paraId="52EBF54C" w14:textId="00880551" w:rsidR="00D110DB" w:rsidRPr="003A4CD7" w:rsidRDefault="00D110DB" w:rsidP="008B147D">
      <w:pPr>
        <w:pStyle w:val="Ttulo1"/>
        <w:numPr>
          <w:ilvl w:val="0"/>
          <w:numId w:val="6"/>
        </w:numPr>
        <w:rPr>
          <w:color w:val="000000" w:themeColor="text1"/>
          <w:sz w:val="24"/>
          <w:szCs w:val="24"/>
        </w:rPr>
      </w:pPr>
      <w:r w:rsidRPr="003A4CD7">
        <w:rPr>
          <w:color w:val="000000" w:themeColor="text1"/>
          <w:sz w:val="24"/>
          <w:szCs w:val="24"/>
        </w:rPr>
        <w:t>Considerando</w:t>
      </w:r>
    </w:p>
    <w:p w14:paraId="412E341C" w14:textId="6F17C47F" w:rsidR="00D110DB" w:rsidRPr="00015C15" w:rsidRDefault="00015C15" w:rsidP="00015C15">
      <w:pPr>
        <w:ind w:left="0"/>
        <w:rPr>
          <w:b/>
          <w:color w:val="000000" w:themeColor="text1"/>
          <w:sz w:val="22"/>
          <w:szCs w:val="22"/>
        </w:rPr>
      </w:pPr>
      <w:r>
        <w:rPr>
          <w:b/>
          <w:color w:val="000000" w:themeColor="text1"/>
          <w:sz w:val="22"/>
          <w:szCs w:val="22"/>
        </w:rPr>
        <w:t xml:space="preserve">2.1 </w:t>
      </w:r>
      <w:r w:rsidR="00D110DB" w:rsidRPr="00015C15">
        <w:rPr>
          <w:b/>
          <w:color w:val="000000" w:themeColor="text1"/>
          <w:sz w:val="22"/>
          <w:szCs w:val="22"/>
        </w:rPr>
        <w:t>Competencia</w:t>
      </w:r>
    </w:p>
    <w:p w14:paraId="2491E54C" w14:textId="3300A4EE" w:rsidR="00B02CEB" w:rsidRPr="003A4CD7" w:rsidRDefault="00B02CEB" w:rsidP="00B02CEB">
      <w:pPr>
        <w:ind w:left="0"/>
        <w:rPr>
          <w:sz w:val="22"/>
          <w:szCs w:val="22"/>
        </w:rPr>
      </w:pPr>
      <w:r w:rsidRPr="003A4CD7">
        <w:rPr>
          <w:sz w:val="22"/>
          <w:szCs w:val="22"/>
        </w:rPr>
        <w:t>Los artículos 1 y 4 de la Ley General prevén que dich</w:t>
      </w:r>
      <w:r w:rsidR="003227A5" w:rsidRPr="003A4CD7">
        <w:rPr>
          <w:sz w:val="22"/>
          <w:szCs w:val="22"/>
        </w:rPr>
        <w:t>a</w:t>
      </w:r>
      <w:r w:rsidRPr="003A4CD7">
        <w:rPr>
          <w:sz w:val="22"/>
          <w:szCs w:val="22"/>
        </w:rPr>
        <w:t xml:space="preserve"> </w:t>
      </w:r>
      <w:r w:rsidR="003227A5" w:rsidRPr="003A4CD7">
        <w:rPr>
          <w:sz w:val="22"/>
          <w:szCs w:val="22"/>
        </w:rPr>
        <w:t>norma</w:t>
      </w:r>
      <w:r w:rsidRPr="003A4CD7">
        <w:rPr>
          <w:sz w:val="22"/>
          <w:szCs w:val="22"/>
        </w:rPr>
        <w:t xml:space="preserve"> es de orden público y de observancia general en el territorio nacional; además, tiene por objeto, entre otros, establecer la distribución de competencias entre la Federación y las entidades federativas, así como la relación entre el INE y los </w:t>
      </w:r>
      <w:r w:rsidR="003227A5" w:rsidRPr="003A4CD7">
        <w:rPr>
          <w:sz w:val="22"/>
          <w:szCs w:val="22"/>
        </w:rPr>
        <w:t>O</w:t>
      </w:r>
      <w:r w:rsidRPr="003A4CD7">
        <w:rPr>
          <w:sz w:val="22"/>
          <w:szCs w:val="22"/>
        </w:rPr>
        <w:t xml:space="preserve">rganismos </w:t>
      </w:r>
      <w:r w:rsidR="003227A5" w:rsidRPr="003A4CD7">
        <w:rPr>
          <w:sz w:val="22"/>
          <w:szCs w:val="22"/>
        </w:rPr>
        <w:t>E</w:t>
      </w:r>
      <w:r w:rsidRPr="003A4CD7">
        <w:rPr>
          <w:sz w:val="22"/>
          <w:szCs w:val="22"/>
        </w:rPr>
        <w:t>lectorales.</w:t>
      </w:r>
    </w:p>
    <w:p w14:paraId="0C166742" w14:textId="77777777" w:rsidR="00B02CEB" w:rsidRPr="003A4CD7" w:rsidRDefault="00B02CEB" w:rsidP="00B02CEB">
      <w:pPr>
        <w:ind w:left="0"/>
        <w:rPr>
          <w:sz w:val="22"/>
          <w:szCs w:val="22"/>
        </w:rPr>
      </w:pPr>
      <w:r w:rsidRPr="003A4CD7">
        <w:rPr>
          <w:sz w:val="22"/>
          <w:szCs w:val="22"/>
        </w:rPr>
        <w:t>A su vez, el artículo 104, numeral 1, inciso a) de la Ley General prevé que corresponde a los organismos electorales la aplicación de las disposiciones generales, reglas, lineamientos, criterios y formatos que determine el INE, en ejercicio de las facultades que le confiere la Constitución Federal y dicha Ley.</w:t>
      </w:r>
    </w:p>
    <w:p w14:paraId="52840FDD" w14:textId="77777777" w:rsidR="00B02CEB" w:rsidRPr="003A4CD7" w:rsidRDefault="00B02CEB" w:rsidP="00B02CEB">
      <w:pPr>
        <w:ind w:left="0"/>
        <w:rPr>
          <w:sz w:val="22"/>
          <w:szCs w:val="22"/>
        </w:rPr>
      </w:pPr>
      <w:r w:rsidRPr="003A4CD7">
        <w:rPr>
          <w:sz w:val="22"/>
          <w:szCs w:val="22"/>
        </w:rPr>
        <w:t>En ese contexto, el artículo 115 numeral 1 fracción I en relación con el artículo 160 numeral 2 de la Ley Electoral señalan que el Consejo Estatal es competente para aplicar las disposiciones generales, reglas, lineamientos, criterios y formatos que, en ejercicio de las facultades que le confieren la Constitución Federal y la Ley General, establezca el INE; entre ellas lo relativo al Servicio Profesional.</w:t>
      </w:r>
    </w:p>
    <w:p w14:paraId="2F6176AA" w14:textId="77777777" w:rsidR="00B02CEB" w:rsidRPr="003A4CD7" w:rsidRDefault="00B02CEB" w:rsidP="00B02CEB">
      <w:pPr>
        <w:ind w:left="0"/>
        <w:rPr>
          <w:sz w:val="22"/>
          <w:szCs w:val="22"/>
        </w:rPr>
      </w:pPr>
      <w:r w:rsidRPr="003A4CD7">
        <w:rPr>
          <w:sz w:val="22"/>
          <w:szCs w:val="22"/>
        </w:rPr>
        <w:t xml:space="preserve">Asimismo, el artículo 115 numeral 2 de la Ley Electoral señala que, para el debido ejercicio de las facultades y atribuciones del Instituto, derivados de caso fortuito o causa de fuerza mayor; o en situaciones de falta o insuficiencia de previsión normativa o reglamentaria, el </w:t>
      </w:r>
      <w:r w:rsidRPr="003A4CD7">
        <w:rPr>
          <w:sz w:val="22"/>
          <w:szCs w:val="22"/>
        </w:rPr>
        <w:lastRenderedPageBreak/>
        <w:t>Consejo Estatal podrá dictar los acuerdos necesarios que resulten pertinentes para garantizar el oportuno y adecuado cumplimiento de las funciones que corresponda, siempre en apego a sus facultades y a los principios rectores de la función electoral.</w:t>
      </w:r>
    </w:p>
    <w:p w14:paraId="49122861" w14:textId="4D0ED80C" w:rsidR="00D110DB" w:rsidRPr="003A4CD7" w:rsidRDefault="00B02CEB" w:rsidP="00B02CEB">
      <w:pPr>
        <w:ind w:left="0"/>
        <w:rPr>
          <w:color w:val="FF0000"/>
          <w:sz w:val="22"/>
          <w:szCs w:val="22"/>
        </w:rPr>
      </w:pPr>
      <w:r w:rsidRPr="003A4CD7">
        <w:rPr>
          <w:sz w:val="22"/>
          <w:szCs w:val="22"/>
        </w:rPr>
        <w:t>Por su parte, el artículo 376 fracción II del Estatuto dispone que corresponde al Consejo Estatal, entre otras</w:t>
      </w:r>
      <w:r w:rsidR="003227A5" w:rsidRPr="003A4CD7">
        <w:rPr>
          <w:sz w:val="22"/>
          <w:szCs w:val="22"/>
        </w:rPr>
        <w:t>,</w:t>
      </w:r>
      <w:r w:rsidRPr="003A4CD7">
        <w:rPr>
          <w:sz w:val="22"/>
          <w:szCs w:val="22"/>
        </w:rPr>
        <w:t xml:space="preserve"> determinar la integración de la Comisión de Seguimiento, que será responsable de garantizar la correcta implementación y funcionamiento de los mecanismos del Servicio Profesional, bajo la rectoría del Instituto y conforme las disposiciones de la Constitución Federal y demás ordenamientos aplicables.</w:t>
      </w:r>
    </w:p>
    <w:p w14:paraId="58A3FC29" w14:textId="290A0206" w:rsidR="00D110DB" w:rsidRPr="003A4CD7" w:rsidRDefault="007E6924" w:rsidP="00B02CEB">
      <w:pPr>
        <w:ind w:left="0"/>
        <w:rPr>
          <w:sz w:val="22"/>
          <w:szCs w:val="22"/>
        </w:rPr>
      </w:pPr>
      <w:r w:rsidRPr="003A4CD7">
        <w:rPr>
          <w:bCs/>
          <w:sz w:val="22"/>
          <w:szCs w:val="22"/>
        </w:rPr>
        <w:t xml:space="preserve">De ahí que, este Consejo Estatal es competente para aprobar el </w:t>
      </w:r>
      <w:r w:rsidRPr="003A4CD7">
        <w:rPr>
          <w:sz w:val="22"/>
          <w:szCs w:val="22"/>
        </w:rPr>
        <w:t>Programa a Mediano Plazo</w:t>
      </w:r>
      <w:r w:rsidR="003227A5" w:rsidRPr="003A4CD7">
        <w:rPr>
          <w:sz w:val="22"/>
          <w:szCs w:val="22"/>
        </w:rPr>
        <w:t xml:space="preserve"> del Servicio Profesional</w:t>
      </w:r>
      <w:r w:rsidRPr="003A4CD7">
        <w:rPr>
          <w:sz w:val="22"/>
          <w:szCs w:val="22"/>
        </w:rPr>
        <w:t>.</w:t>
      </w:r>
    </w:p>
    <w:p w14:paraId="260D9274" w14:textId="198FA0B1" w:rsidR="002B353A" w:rsidRPr="003A4CD7" w:rsidRDefault="002B353A" w:rsidP="008B147D">
      <w:pPr>
        <w:pStyle w:val="Ttulo2"/>
        <w:numPr>
          <w:ilvl w:val="1"/>
          <w:numId w:val="8"/>
        </w:numPr>
        <w:spacing w:before="0"/>
        <w:ind w:left="426" w:hanging="426"/>
        <w:rPr>
          <w:sz w:val="22"/>
          <w:szCs w:val="22"/>
        </w:rPr>
      </w:pPr>
      <w:r w:rsidRPr="003A4CD7">
        <w:rPr>
          <w:sz w:val="22"/>
          <w:szCs w:val="22"/>
        </w:rPr>
        <w:t>Planeación y Evaluación del Servicio Profesional</w:t>
      </w:r>
    </w:p>
    <w:p w14:paraId="45A6FD68" w14:textId="77777777" w:rsidR="007E6924" w:rsidRPr="003A4CD7" w:rsidRDefault="007E6924" w:rsidP="007E6924">
      <w:pPr>
        <w:spacing w:after="0"/>
        <w:ind w:left="0"/>
        <w:rPr>
          <w:sz w:val="22"/>
          <w:szCs w:val="22"/>
        </w:rPr>
      </w:pPr>
    </w:p>
    <w:p w14:paraId="427BE139" w14:textId="487D0CE6" w:rsidR="002B353A" w:rsidRPr="003A4CD7" w:rsidRDefault="007409B1" w:rsidP="007E6924">
      <w:pPr>
        <w:spacing w:after="0"/>
        <w:ind w:left="0"/>
        <w:rPr>
          <w:sz w:val="22"/>
          <w:szCs w:val="22"/>
        </w:rPr>
      </w:pPr>
      <w:r w:rsidRPr="003A4CD7">
        <w:rPr>
          <w:sz w:val="22"/>
          <w:szCs w:val="22"/>
        </w:rPr>
        <w:t>Por otro lado,</w:t>
      </w:r>
      <w:r w:rsidR="002B353A" w:rsidRPr="003A4CD7">
        <w:rPr>
          <w:sz w:val="22"/>
          <w:szCs w:val="22"/>
        </w:rPr>
        <w:t xml:space="preserve"> los artículos 179 del Estatuto y 4 de los Lineamientos establecen que, la planeación del Servicio Profesional es el proceso mediante el cual la DESPEN definirá objetivos, programas, procedimientos, acciones y metas para el funcionamiento eficaz del Servicio</w:t>
      </w:r>
      <w:r w:rsidRPr="003A4CD7">
        <w:rPr>
          <w:sz w:val="22"/>
          <w:szCs w:val="22"/>
        </w:rPr>
        <w:t xml:space="preserve"> Profesional</w:t>
      </w:r>
      <w:r w:rsidR="002B353A" w:rsidRPr="003A4CD7">
        <w:rPr>
          <w:sz w:val="22"/>
          <w:szCs w:val="22"/>
        </w:rPr>
        <w:t xml:space="preserve"> y de sus mecanismos, atendiendo los fines del INE y el fortalecimiento del Servicio</w:t>
      </w:r>
      <w:r w:rsidRPr="003A4CD7">
        <w:rPr>
          <w:sz w:val="22"/>
          <w:szCs w:val="22"/>
        </w:rPr>
        <w:t xml:space="preserve"> Profesional</w:t>
      </w:r>
      <w:r w:rsidR="002B353A" w:rsidRPr="003A4CD7">
        <w:rPr>
          <w:sz w:val="22"/>
          <w:szCs w:val="22"/>
        </w:rPr>
        <w:t xml:space="preserve"> en los </w:t>
      </w:r>
      <w:r w:rsidRPr="003A4CD7">
        <w:rPr>
          <w:sz w:val="22"/>
          <w:szCs w:val="22"/>
        </w:rPr>
        <w:t>O</w:t>
      </w:r>
      <w:r w:rsidR="002B353A" w:rsidRPr="003A4CD7">
        <w:rPr>
          <w:sz w:val="22"/>
          <w:szCs w:val="22"/>
        </w:rPr>
        <w:t xml:space="preserve">rganismos </w:t>
      </w:r>
      <w:r w:rsidRPr="003A4CD7">
        <w:rPr>
          <w:sz w:val="22"/>
          <w:szCs w:val="22"/>
        </w:rPr>
        <w:t>E</w:t>
      </w:r>
      <w:r w:rsidR="002B353A" w:rsidRPr="003A4CD7">
        <w:rPr>
          <w:sz w:val="22"/>
          <w:szCs w:val="22"/>
        </w:rPr>
        <w:t>lectorales.</w:t>
      </w:r>
    </w:p>
    <w:p w14:paraId="30522C4C" w14:textId="77777777" w:rsidR="00881B5E" w:rsidRPr="003A4CD7" w:rsidRDefault="00881B5E" w:rsidP="007E6924">
      <w:pPr>
        <w:spacing w:after="0"/>
        <w:ind w:left="0"/>
        <w:rPr>
          <w:sz w:val="22"/>
          <w:szCs w:val="22"/>
        </w:rPr>
      </w:pPr>
    </w:p>
    <w:p w14:paraId="246ADD31" w14:textId="3E69BAF8" w:rsidR="002B353A" w:rsidRPr="003A4CD7" w:rsidRDefault="00076278" w:rsidP="002B353A">
      <w:pPr>
        <w:ind w:left="0"/>
        <w:rPr>
          <w:sz w:val="22"/>
          <w:szCs w:val="22"/>
        </w:rPr>
      </w:pPr>
      <w:r w:rsidRPr="003A4CD7">
        <w:rPr>
          <w:sz w:val="22"/>
          <w:szCs w:val="22"/>
        </w:rPr>
        <w:t xml:space="preserve">A su vez, </w:t>
      </w:r>
      <w:r w:rsidR="00D575B1" w:rsidRPr="003A4CD7">
        <w:rPr>
          <w:sz w:val="22"/>
          <w:szCs w:val="22"/>
        </w:rPr>
        <w:t xml:space="preserve">el </w:t>
      </w:r>
      <w:r w:rsidRPr="003A4CD7">
        <w:rPr>
          <w:sz w:val="22"/>
          <w:szCs w:val="22"/>
        </w:rPr>
        <w:t>artículo 5 de los Lineamiento</w:t>
      </w:r>
      <w:r w:rsidR="00881B5E" w:rsidRPr="003A4CD7">
        <w:rPr>
          <w:sz w:val="22"/>
          <w:szCs w:val="22"/>
        </w:rPr>
        <w:t>s</w:t>
      </w:r>
      <w:r w:rsidRPr="003A4CD7">
        <w:rPr>
          <w:sz w:val="22"/>
          <w:szCs w:val="22"/>
        </w:rPr>
        <w:t xml:space="preserve"> refiere que, </w:t>
      </w:r>
      <w:r w:rsidR="002B353A" w:rsidRPr="003A4CD7">
        <w:rPr>
          <w:sz w:val="22"/>
          <w:szCs w:val="22"/>
        </w:rPr>
        <w:t>la DESPEN deberá planear trianualmente con una programación anual, la implementación de sus mecanismos y generará y analizará la información sobre su desarrollo; realizará estudios para identificar sus necesidades y propondrá adecuaciones o mejoras para su organización y funcionamiento.</w:t>
      </w:r>
    </w:p>
    <w:p w14:paraId="32B4606B" w14:textId="42DCE3C1" w:rsidR="002B353A" w:rsidRPr="003A4CD7" w:rsidRDefault="002B353A" w:rsidP="002B353A">
      <w:pPr>
        <w:ind w:left="0"/>
        <w:rPr>
          <w:sz w:val="22"/>
          <w:szCs w:val="22"/>
        </w:rPr>
      </w:pPr>
      <w:r w:rsidRPr="003A4CD7">
        <w:rPr>
          <w:sz w:val="22"/>
          <w:szCs w:val="22"/>
        </w:rPr>
        <w:t>Por su parte, los artículos 180 del Estatuto y 6 de los Lineamientos, señalan que, la evaluación del Servicio Profesional Electoral es el instrumento que permite conocer y dar seguimiento al comportamiento del Servicio</w:t>
      </w:r>
      <w:r w:rsidR="007E6924" w:rsidRPr="003A4CD7">
        <w:rPr>
          <w:sz w:val="22"/>
          <w:szCs w:val="22"/>
        </w:rPr>
        <w:t xml:space="preserve"> Profesional</w:t>
      </w:r>
      <w:r w:rsidRPr="003A4CD7">
        <w:rPr>
          <w:sz w:val="22"/>
          <w:szCs w:val="22"/>
        </w:rPr>
        <w:t xml:space="preserve"> en su conjunto, y en particular, al cumplimiento de sus objetivos anuales y trianuales; correspondiendo a la DESPEN el diseño de los indicadores y parámetros necesarios para su evaluación.</w:t>
      </w:r>
    </w:p>
    <w:p w14:paraId="4CE3A483" w14:textId="3292F485" w:rsidR="00033D90" w:rsidRPr="003A4CD7" w:rsidRDefault="00033D90" w:rsidP="008B147D">
      <w:pPr>
        <w:pStyle w:val="Ttulo2"/>
        <w:numPr>
          <w:ilvl w:val="1"/>
          <w:numId w:val="8"/>
        </w:numPr>
        <w:spacing w:before="0"/>
        <w:ind w:left="426" w:hanging="426"/>
        <w:rPr>
          <w:sz w:val="22"/>
          <w:szCs w:val="22"/>
        </w:rPr>
      </w:pPr>
      <w:r w:rsidRPr="003A4CD7">
        <w:rPr>
          <w:sz w:val="22"/>
          <w:szCs w:val="22"/>
        </w:rPr>
        <w:t>Objeto de la Planeación del Servicio Profesional</w:t>
      </w:r>
    </w:p>
    <w:p w14:paraId="542B25E8" w14:textId="77777777" w:rsidR="00033D90" w:rsidRPr="003A4CD7" w:rsidRDefault="00033D90" w:rsidP="00033D90">
      <w:pPr>
        <w:spacing w:after="0"/>
        <w:ind w:left="0"/>
        <w:rPr>
          <w:sz w:val="22"/>
          <w:szCs w:val="22"/>
        </w:rPr>
      </w:pPr>
    </w:p>
    <w:p w14:paraId="165A19D6" w14:textId="77777777" w:rsidR="00D110DB" w:rsidRPr="003A4CD7" w:rsidRDefault="00033D90" w:rsidP="00033D90">
      <w:pPr>
        <w:spacing w:after="0"/>
        <w:ind w:left="0"/>
        <w:rPr>
          <w:sz w:val="22"/>
          <w:szCs w:val="22"/>
        </w:rPr>
      </w:pPr>
      <w:r w:rsidRPr="003A4CD7">
        <w:rPr>
          <w:sz w:val="22"/>
          <w:szCs w:val="22"/>
        </w:rPr>
        <w:t>De conformidad con el artículo 13 de los Lineamientos, la planeación del Servicio Profesional tiene por objeto promover el crecimiento profesional y el progreso de sus miembros, a fin de consolidar un funcionariado polivalente y con competencias para afrontar escenarios cambiantes e incluso adversos para el INE o el Instituto, así como en la materia electoral en su conjunto, dicha planeación estará alineada a los fines y objetivos del INE y del Instituto, así como a su fortalecimiento y expansión en los Organismos Electorales.</w:t>
      </w:r>
    </w:p>
    <w:p w14:paraId="199DF771" w14:textId="77777777" w:rsidR="00033D90" w:rsidRPr="003A4CD7" w:rsidRDefault="00033D90" w:rsidP="00033D90">
      <w:pPr>
        <w:spacing w:after="0"/>
        <w:ind w:left="0"/>
        <w:rPr>
          <w:sz w:val="22"/>
          <w:szCs w:val="22"/>
        </w:rPr>
      </w:pPr>
    </w:p>
    <w:p w14:paraId="5C2A7594" w14:textId="77777777" w:rsidR="00033D90" w:rsidRPr="003A4CD7" w:rsidRDefault="00033D90" w:rsidP="00033D90">
      <w:pPr>
        <w:spacing w:after="0"/>
        <w:ind w:left="0"/>
        <w:rPr>
          <w:sz w:val="22"/>
          <w:szCs w:val="22"/>
        </w:rPr>
      </w:pPr>
      <w:r w:rsidRPr="003A4CD7">
        <w:rPr>
          <w:sz w:val="22"/>
          <w:szCs w:val="22"/>
        </w:rPr>
        <w:t>En el mediano plazo</w:t>
      </w:r>
      <w:r w:rsidR="00864F41" w:rsidRPr="003A4CD7">
        <w:rPr>
          <w:sz w:val="22"/>
          <w:szCs w:val="22"/>
        </w:rPr>
        <w:t>, la planeación tendrá un horizonte trianual, a efectos de que incorpore la celebración de procesos electorales y armonice la operación de mecanismos del Servicio Profesional dentro de ese periodo.</w:t>
      </w:r>
    </w:p>
    <w:p w14:paraId="63ED8C33" w14:textId="77777777" w:rsidR="00864F41" w:rsidRPr="003A4CD7" w:rsidRDefault="00864F41" w:rsidP="00033D90">
      <w:pPr>
        <w:spacing w:after="0"/>
        <w:ind w:left="0"/>
        <w:rPr>
          <w:sz w:val="22"/>
          <w:szCs w:val="22"/>
        </w:rPr>
      </w:pPr>
    </w:p>
    <w:p w14:paraId="2B286DC6" w14:textId="2A357205" w:rsidR="00864F41" w:rsidRDefault="00864F41" w:rsidP="00033D90">
      <w:pPr>
        <w:spacing w:after="0"/>
        <w:ind w:left="0"/>
        <w:rPr>
          <w:sz w:val="22"/>
          <w:szCs w:val="22"/>
        </w:rPr>
      </w:pPr>
      <w:r w:rsidRPr="003A4CD7">
        <w:rPr>
          <w:sz w:val="22"/>
          <w:szCs w:val="22"/>
        </w:rPr>
        <w:t>En el largo plazo, la planeación estará orientada a la contribución del Servicio Profesional a la planeación estratégica del INE y de los Organismos Electorales, cuyo desarrollo se sujetará a un periodo superior a tres años.</w:t>
      </w:r>
    </w:p>
    <w:p w14:paraId="5F6403BB" w14:textId="77777777" w:rsidR="00015C15" w:rsidRPr="003A4CD7" w:rsidRDefault="00015C15" w:rsidP="00033D90">
      <w:pPr>
        <w:spacing w:after="0"/>
        <w:ind w:left="0"/>
        <w:rPr>
          <w:sz w:val="22"/>
          <w:szCs w:val="22"/>
        </w:rPr>
      </w:pPr>
    </w:p>
    <w:p w14:paraId="569A085C" w14:textId="7A75DC82" w:rsidR="00864F41" w:rsidRPr="003A4CD7" w:rsidRDefault="007E6924" w:rsidP="008B147D">
      <w:pPr>
        <w:pStyle w:val="Ttulo2"/>
        <w:numPr>
          <w:ilvl w:val="1"/>
          <w:numId w:val="8"/>
        </w:numPr>
        <w:spacing w:before="0"/>
        <w:ind w:left="426" w:hanging="426"/>
        <w:rPr>
          <w:sz w:val="22"/>
          <w:szCs w:val="22"/>
        </w:rPr>
      </w:pPr>
      <w:r w:rsidRPr="003A4CD7">
        <w:rPr>
          <w:sz w:val="22"/>
          <w:szCs w:val="22"/>
        </w:rPr>
        <w:t xml:space="preserve">Contenido del </w:t>
      </w:r>
      <w:r w:rsidR="00864F41" w:rsidRPr="003A4CD7">
        <w:rPr>
          <w:sz w:val="22"/>
          <w:szCs w:val="22"/>
        </w:rPr>
        <w:t xml:space="preserve">Programa a </w:t>
      </w:r>
      <w:r w:rsidRPr="003A4CD7">
        <w:rPr>
          <w:sz w:val="22"/>
          <w:szCs w:val="22"/>
        </w:rPr>
        <w:t>M</w:t>
      </w:r>
      <w:r w:rsidR="00864F41" w:rsidRPr="003A4CD7">
        <w:rPr>
          <w:sz w:val="22"/>
          <w:szCs w:val="22"/>
        </w:rPr>
        <w:t xml:space="preserve">ediano </w:t>
      </w:r>
      <w:r w:rsidRPr="003A4CD7">
        <w:rPr>
          <w:sz w:val="22"/>
          <w:szCs w:val="22"/>
        </w:rPr>
        <w:t>P</w:t>
      </w:r>
      <w:r w:rsidR="00864F41" w:rsidRPr="003A4CD7">
        <w:rPr>
          <w:sz w:val="22"/>
          <w:szCs w:val="22"/>
        </w:rPr>
        <w:t>lazo</w:t>
      </w:r>
    </w:p>
    <w:p w14:paraId="6E3F93F3" w14:textId="77777777" w:rsidR="002B353A" w:rsidRPr="003A4CD7" w:rsidRDefault="002B353A" w:rsidP="002B353A">
      <w:pPr>
        <w:spacing w:after="0"/>
        <w:rPr>
          <w:sz w:val="22"/>
          <w:szCs w:val="22"/>
        </w:rPr>
      </w:pPr>
    </w:p>
    <w:p w14:paraId="181BCC03" w14:textId="77777777" w:rsidR="00864F41" w:rsidRPr="003A4CD7" w:rsidRDefault="00864F41" w:rsidP="002B353A">
      <w:pPr>
        <w:spacing w:after="0"/>
        <w:ind w:left="0"/>
        <w:rPr>
          <w:sz w:val="22"/>
          <w:szCs w:val="22"/>
        </w:rPr>
      </w:pPr>
      <w:r w:rsidRPr="003A4CD7">
        <w:rPr>
          <w:sz w:val="22"/>
          <w:szCs w:val="22"/>
        </w:rPr>
        <w:t>En términos del artículo 16 de los Lineamientos, cada Organismo Electoral, a través de su Comisión de Seguimiento, deberá aprobar su respectivo programa de mediano plazo teniendo como referencia el Plan Trianual que apruebe la Junta</w:t>
      </w:r>
      <w:r w:rsidR="007B2AF9" w:rsidRPr="003A4CD7">
        <w:rPr>
          <w:sz w:val="22"/>
          <w:szCs w:val="22"/>
        </w:rPr>
        <w:t xml:space="preserve"> General Ejecutiva del INE</w:t>
      </w:r>
      <w:r w:rsidRPr="003A4CD7">
        <w:rPr>
          <w:sz w:val="22"/>
          <w:szCs w:val="22"/>
        </w:rPr>
        <w:t>, y remitirlo a la DESPEN, dentro de los dos meses posteriores a la emisión de dicho plan.</w:t>
      </w:r>
    </w:p>
    <w:p w14:paraId="7D6E56F1" w14:textId="77777777" w:rsidR="00864F41" w:rsidRPr="003A4CD7" w:rsidRDefault="00864F41" w:rsidP="00864F41">
      <w:pPr>
        <w:spacing w:after="0"/>
        <w:ind w:left="0"/>
        <w:rPr>
          <w:sz w:val="22"/>
          <w:szCs w:val="22"/>
        </w:rPr>
      </w:pPr>
    </w:p>
    <w:p w14:paraId="0D0A632D" w14:textId="77777777" w:rsidR="00864F41" w:rsidRPr="003A4CD7" w:rsidRDefault="00864F41" w:rsidP="00864F41">
      <w:pPr>
        <w:spacing w:after="0"/>
        <w:ind w:left="0"/>
        <w:rPr>
          <w:sz w:val="22"/>
          <w:szCs w:val="22"/>
        </w:rPr>
      </w:pPr>
      <w:r w:rsidRPr="003A4CD7">
        <w:rPr>
          <w:sz w:val="22"/>
          <w:szCs w:val="22"/>
        </w:rPr>
        <w:t>El programa a mediano plazo deberá señalar, en su caso, las iniciativas del Organismo Electoral para instrumentar de forma directa la operación de los mecanismos del Servicio Profesional.</w:t>
      </w:r>
    </w:p>
    <w:p w14:paraId="628B6021" w14:textId="77777777" w:rsidR="00864F41" w:rsidRPr="003A4CD7" w:rsidRDefault="00864F41" w:rsidP="00864F41">
      <w:pPr>
        <w:spacing w:after="0"/>
        <w:ind w:left="0"/>
        <w:rPr>
          <w:sz w:val="22"/>
          <w:szCs w:val="22"/>
        </w:rPr>
      </w:pPr>
    </w:p>
    <w:p w14:paraId="17F3C754" w14:textId="1B8D7D7A" w:rsidR="00864F41" w:rsidRDefault="002B353A" w:rsidP="00864F41">
      <w:pPr>
        <w:spacing w:after="0"/>
        <w:ind w:left="0"/>
        <w:rPr>
          <w:sz w:val="22"/>
          <w:szCs w:val="22"/>
        </w:rPr>
      </w:pPr>
      <w:r w:rsidRPr="003A4CD7">
        <w:rPr>
          <w:sz w:val="22"/>
          <w:szCs w:val="22"/>
        </w:rPr>
        <w:t>De</w:t>
      </w:r>
      <w:r w:rsidR="00864F41" w:rsidRPr="003A4CD7">
        <w:rPr>
          <w:sz w:val="22"/>
          <w:szCs w:val="22"/>
        </w:rPr>
        <w:t xml:space="preserve"> conformidad con el artículo 17 de los Lineamientos, el programa deberá señalar las actividades prioritarias o estratégicas que se llevarán en los periodos anual y trianual. Asimismo, identificarán la iniciativas o proyectos específicos de la Cartera Institucional de Proyectos del INE y del Organismo Electoral, necesarios pa</w:t>
      </w:r>
      <w:r w:rsidRPr="003A4CD7">
        <w:rPr>
          <w:sz w:val="22"/>
          <w:szCs w:val="22"/>
        </w:rPr>
        <w:t>ra la consecución de los objetiv</w:t>
      </w:r>
      <w:r w:rsidR="00864F41" w:rsidRPr="003A4CD7">
        <w:rPr>
          <w:sz w:val="22"/>
          <w:szCs w:val="22"/>
        </w:rPr>
        <w:t>os de los mecanismos y del Servicio Profesional</w:t>
      </w:r>
      <w:r w:rsidR="00015C15">
        <w:rPr>
          <w:sz w:val="22"/>
          <w:szCs w:val="22"/>
        </w:rPr>
        <w:t>.</w:t>
      </w:r>
    </w:p>
    <w:p w14:paraId="1E136699" w14:textId="77777777" w:rsidR="00015C15" w:rsidRPr="003A4CD7" w:rsidRDefault="00015C15" w:rsidP="00864F41">
      <w:pPr>
        <w:spacing w:after="0"/>
        <w:ind w:left="0"/>
        <w:rPr>
          <w:sz w:val="22"/>
          <w:szCs w:val="22"/>
        </w:rPr>
      </w:pPr>
    </w:p>
    <w:p w14:paraId="2D1D39D5" w14:textId="51484922" w:rsidR="00881B5E" w:rsidRPr="003A4CD7" w:rsidRDefault="00881B5E" w:rsidP="00015C15">
      <w:pPr>
        <w:pStyle w:val="Ttulo2"/>
        <w:numPr>
          <w:ilvl w:val="1"/>
          <w:numId w:val="8"/>
        </w:numPr>
        <w:spacing w:before="0"/>
        <w:ind w:left="426" w:hanging="426"/>
        <w:rPr>
          <w:sz w:val="22"/>
          <w:szCs w:val="22"/>
        </w:rPr>
      </w:pPr>
      <w:r w:rsidRPr="003A4CD7">
        <w:rPr>
          <w:sz w:val="22"/>
          <w:szCs w:val="22"/>
        </w:rPr>
        <w:t>Propuesta del Programa a Mediano Plazo</w:t>
      </w:r>
    </w:p>
    <w:p w14:paraId="55405DE5" w14:textId="77777777" w:rsidR="00881B5E" w:rsidRPr="003A4CD7" w:rsidRDefault="00881B5E" w:rsidP="00881B5E">
      <w:pPr>
        <w:spacing w:after="0"/>
        <w:rPr>
          <w:sz w:val="22"/>
          <w:szCs w:val="22"/>
        </w:rPr>
      </w:pPr>
    </w:p>
    <w:p w14:paraId="64D682E1" w14:textId="535CB034" w:rsidR="002B353A" w:rsidRPr="003A4CD7" w:rsidRDefault="007B2AF9" w:rsidP="00557A3E">
      <w:pPr>
        <w:spacing w:after="0"/>
        <w:ind w:left="0"/>
        <w:rPr>
          <w:sz w:val="22"/>
          <w:szCs w:val="22"/>
        </w:rPr>
      </w:pPr>
      <w:r w:rsidRPr="003A4CD7">
        <w:rPr>
          <w:sz w:val="22"/>
          <w:szCs w:val="22"/>
        </w:rPr>
        <w:t>En correlación</w:t>
      </w:r>
      <w:r w:rsidR="002B353A" w:rsidRPr="003A4CD7">
        <w:rPr>
          <w:sz w:val="22"/>
          <w:szCs w:val="22"/>
        </w:rPr>
        <w:t xml:space="preserve"> con el Programa Anual de Trabajo del Servicio Profesional Electoral Nacional y el Plan Trianual correspondiente al período de septiembre de 2025 a agosto de 2028, aprobados por la Junta General Ejecutiva del INE, así como lo establecido en los artículos 8 y 16 de los Lineamientos, la Comisión de Seg</w:t>
      </w:r>
      <w:r w:rsidRPr="003A4CD7">
        <w:rPr>
          <w:sz w:val="22"/>
          <w:szCs w:val="22"/>
        </w:rPr>
        <w:t>uimiento propuso</w:t>
      </w:r>
      <w:r w:rsidR="002B353A" w:rsidRPr="003A4CD7">
        <w:rPr>
          <w:sz w:val="22"/>
          <w:szCs w:val="22"/>
        </w:rPr>
        <w:t xml:space="preserve"> el Programa de Mediano Plazo.</w:t>
      </w:r>
    </w:p>
    <w:p w14:paraId="1467D279" w14:textId="77777777" w:rsidR="007B2AF9" w:rsidRPr="003A4CD7" w:rsidRDefault="007B2AF9" w:rsidP="00557A3E">
      <w:pPr>
        <w:spacing w:after="0"/>
        <w:ind w:left="0"/>
        <w:rPr>
          <w:sz w:val="22"/>
          <w:szCs w:val="22"/>
        </w:rPr>
      </w:pPr>
    </w:p>
    <w:p w14:paraId="6E023289" w14:textId="7FC5EC8E" w:rsidR="007B2AF9" w:rsidRPr="003A4CD7" w:rsidRDefault="007B2AF9" w:rsidP="007B2AF9">
      <w:pPr>
        <w:spacing w:after="0"/>
        <w:ind w:left="0"/>
        <w:rPr>
          <w:sz w:val="22"/>
          <w:szCs w:val="22"/>
        </w:rPr>
      </w:pPr>
      <w:r w:rsidRPr="003A4CD7">
        <w:rPr>
          <w:sz w:val="22"/>
          <w:szCs w:val="22"/>
        </w:rPr>
        <w:t xml:space="preserve">Dicha propuesta, además de reunir las exigencias establecidas en </w:t>
      </w:r>
      <w:r w:rsidR="00881B5E" w:rsidRPr="003A4CD7">
        <w:rPr>
          <w:sz w:val="22"/>
          <w:szCs w:val="22"/>
        </w:rPr>
        <w:t>los</w:t>
      </w:r>
      <w:r w:rsidRPr="003A4CD7">
        <w:rPr>
          <w:sz w:val="22"/>
          <w:szCs w:val="22"/>
        </w:rPr>
        <w:t xml:space="preserve"> Lineamiento</w:t>
      </w:r>
      <w:r w:rsidR="00881B5E" w:rsidRPr="003A4CD7">
        <w:rPr>
          <w:sz w:val="22"/>
          <w:szCs w:val="22"/>
        </w:rPr>
        <w:t>s</w:t>
      </w:r>
      <w:r w:rsidRPr="003A4CD7">
        <w:rPr>
          <w:sz w:val="22"/>
          <w:szCs w:val="22"/>
        </w:rPr>
        <w:t xml:space="preserve">, contiene las iniciativas de este Instituto, aplicables para instrumentar de forma directa la operación de algunos mecanismos del Servicio Profesional. </w:t>
      </w:r>
      <w:r w:rsidR="00464D0F" w:rsidRPr="003A4CD7">
        <w:rPr>
          <w:sz w:val="22"/>
          <w:szCs w:val="22"/>
        </w:rPr>
        <w:t>Asimismo</w:t>
      </w:r>
      <w:r w:rsidRPr="003A4CD7">
        <w:rPr>
          <w:sz w:val="22"/>
          <w:szCs w:val="22"/>
        </w:rPr>
        <w:t>,</w:t>
      </w:r>
      <w:r w:rsidR="002B353A" w:rsidRPr="003A4CD7">
        <w:rPr>
          <w:sz w:val="22"/>
          <w:szCs w:val="22"/>
        </w:rPr>
        <w:t xml:space="preserve"> </w:t>
      </w:r>
      <w:r w:rsidR="00796437" w:rsidRPr="003A4CD7">
        <w:rPr>
          <w:sz w:val="22"/>
          <w:szCs w:val="22"/>
        </w:rPr>
        <w:t>se incluyen</w:t>
      </w:r>
      <w:r w:rsidR="002B353A" w:rsidRPr="003A4CD7">
        <w:rPr>
          <w:sz w:val="22"/>
          <w:szCs w:val="22"/>
        </w:rPr>
        <w:t xml:space="preserve"> las actividades prioritarias o estratégicas, indicando las fechas de ejecución, que corresponden al ciclo trianual de septiembre de 2025 a agosto de 2028.</w:t>
      </w:r>
    </w:p>
    <w:p w14:paraId="6559B604" w14:textId="77777777" w:rsidR="007B2AF9" w:rsidRPr="003A4CD7" w:rsidRDefault="007B2AF9" w:rsidP="007B2AF9">
      <w:pPr>
        <w:spacing w:after="0"/>
        <w:ind w:left="0"/>
        <w:rPr>
          <w:sz w:val="22"/>
          <w:szCs w:val="22"/>
        </w:rPr>
      </w:pPr>
    </w:p>
    <w:p w14:paraId="3DA8A838" w14:textId="77777777" w:rsidR="00D110DB" w:rsidRPr="003A4CD7" w:rsidRDefault="007B2AF9" w:rsidP="007B2AF9">
      <w:pPr>
        <w:spacing w:after="0"/>
        <w:ind w:left="0"/>
        <w:rPr>
          <w:sz w:val="22"/>
          <w:szCs w:val="22"/>
        </w:rPr>
      </w:pPr>
      <w:r w:rsidRPr="003A4CD7">
        <w:rPr>
          <w:sz w:val="22"/>
          <w:szCs w:val="22"/>
        </w:rPr>
        <w:lastRenderedPageBreak/>
        <w:t>Por lo que, atendiendo lo previsto en</w:t>
      </w:r>
      <w:r w:rsidR="00557A3E" w:rsidRPr="003A4CD7">
        <w:rPr>
          <w:sz w:val="22"/>
          <w:szCs w:val="22"/>
        </w:rPr>
        <w:t xml:space="preserve"> el artículo 376, fracción II del Estatuto, el Órgano Su</w:t>
      </w:r>
      <w:r w:rsidR="00ED13BD" w:rsidRPr="003A4CD7">
        <w:rPr>
          <w:sz w:val="22"/>
          <w:szCs w:val="22"/>
        </w:rPr>
        <w:t>perior de Dirección de cada Organismo Electoral</w:t>
      </w:r>
      <w:r w:rsidRPr="003A4CD7">
        <w:rPr>
          <w:sz w:val="22"/>
          <w:szCs w:val="22"/>
        </w:rPr>
        <w:t xml:space="preserve">, </w:t>
      </w:r>
      <w:r w:rsidR="00557A3E" w:rsidRPr="003A4CD7">
        <w:rPr>
          <w:sz w:val="22"/>
          <w:szCs w:val="22"/>
        </w:rPr>
        <w:t xml:space="preserve">a través de la </w:t>
      </w:r>
      <w:r w:rsidRPr="003A4CD7">
        <w:rPr>
          <w:sz w:val="22"/>
          <w:szCs w:val="22"/>
        </w:rPr>
        <w:t>Comisión de Seguimiento, será</w:t>
      </w:r>
      <w:r w:rsidR="00557A3E" w:rsidRPr="003A4CD7">
        <w:rPr>
          <w:sz w:val="22"/>
          <w:szCs w:val="22"/>
        </w:rPr>
        <w:t xml:space="preserve"> responsable de garantizar la correcta implementación y funcionamiento de los mecanismos del Servicio</w:t>
      </w:r>
      <w:r w:rsidR="00ED13BD" w:rsidRPr="003A4CD7">
        <w:rPr>
          <w:sz w:val="22"/>
          <w:szCs w:val="22"/>
        </w:rPr>
        <w:t xml:space="preserve"> Profesional</w:t>
      </w:r>
      <w:r w:rsidR="00557A3E" w:rsidRPr="003A4CD7">
        <w:rPr>
          <w:sz w:val="22"/>
          <w:szCs w:val="22"/>
        </w:rPr>
        <w:t>, bajo la rectoría del INE y conforme las disposiciones de la Constitución</w:t>
      </w:r>
      <w:r w:rsidR="00ED13BD" w:rsidRPr="003A4CD7">
        <w:rPr>
          <w:sz w:val="22"/>
          <w:szCs w:val="22"/>
        </w:rPr>
        <w:t xml:space="preserve"> Federal</w:t>
      </w:r>
      <w:r w:rsidR="00557A3E" w:rsidRPr="003A4CD7">
        <w:rPr>
          <w:sz w:val="22"/>
          <w:szCs w:val="22"/>
        </w:rPr>
        <w:t>, la Ley</w:t>
      </w:r>
      <w:r w:rsidR="00ED13BD" w:rsidRPr="003A4CD7">
        <w:rPr>
          <w:sz w:val="22"/>
          <w:szCs w:val="22"/>
        </w:rPr>
        <w:t xml:space="preserve"> General</w:t>
      </w:r>
      <w:r w:rsidR="00557A3E" w:rsidRPr="003A4CD7">
        <w:rPr>
          <w:sz w:val="22"/>
          <w:szCs w:val="22"/>
        </w:rPr>
        <w:t>, el Estatuto y demás ordenamientos aplicables</w:t>
      </w:r>
      <w:r w:rsidRPr="003A4CD7">
        <w:rPr>
          <w:sz w:val="22"/>
          <w:szCs w:val="22"/>
        </w:rPr>
        <w:t>.</w:t>
      </w:r>
    </w:p>
    <w:p w14:paraId="0A4A5459" w14:textId="77777777" w:rsidR="007B2AF9" w:rsidRPr="003A4CD7" w:rsidRDefault="007B2AF9" w:rsidP="007B2AF9">
      <w:pPr>
        <w:spacing w:after="0"/>
        <w:ind w:left="0"/>
        <w:rPr>
          <w:color w:val="FF0000"/>
          <w:sz w:val="22"/>
          <w:szCs w:val="22"/>
        </w:rPr>
      </w:pPr>
    </w:p>
    <w:p w14:paraId="6092924D" w14:textId="61DB74CD" w:rsidR="00D110DB" w:rsidRPr="003A4CD7" w:rsidRDefault="008B1992" w:rsidP="00D110DB">
      <w:pPr>
        <w:ind w:left="0"/>
        <w:rPr>
          <w:color w:val="000000" w:themeColor="text1"/>
          <w:sz w:val="22"/>
          <w:szCs w:val="22"/>
        </w:rPr>
      </w:pPr>
      <w:r w:rsidRPr="003A4CD7">
        <w:rPr>
          <w:color w:val="000000" w:themeColor="text1"/>
          <w:sz w:val="22"/>
          <w:szCs w:val="22"/>
        </w:rPr>
        <w:t xml:space="preserve">Conforme a </w:t>
      </w:r>
      <w:r w:rsidR="009B51EE" w:rsidRPr="003A4CD7">
        <w:rPr>
          <w:color w:val="000000" w:themeColor="text1"/>
          <w:sz w:val="22"/>
          <w:szCs w:val="22"/>
        </w:rPr>
        <w:t>los, antecedentes</w:t>
      </w:r>
      <w:r w:rsidRPr="003A4CD7">
        <w:rPr>
          <w:color w:val="000000" w:themeColor="text1"/>
          <w:sz w:val="22"/>
          <w:szCs w:val="22"/>
        </w:rPr>
        <w:t xml:space="preserve"> y las consideraciones </w:t>
      </w:r>
      <w:r w:rsidR="00551FBD" w:rsidRPr="003A4CD7">
        <w:rPr>
          <w:color w:val="000000" w:themeColor="text1"/>
          <w:sz w:val="22"/>
          <w:szCs w:val="22"/>
        </w:rPr>
        <w:t>previamente</w:t>
      </w:r>
      <w:r w:rsidRPr="003A4CD7">
        <w:rPr>
          <w:color w:val="000000" w:themeColor="text1"/>
          <w:sz w:val="22"/>
          <w:szCs w:val="22"/>
        </w:rPr>
        <w:t xml:space="preserve"> señaladas, y en ejercicio de sus atribuciones</w:t>
      </w:r>
      <w:r w:rsidR="00551FBD" w:rsidRPr="003A4CD7">
        <w:rPr>
          <w:color w:val="000000" w:themeColor="text1"/>
          <w:sz w:val="22"/>
          <w:szCs w:val="22"/>
        </w:rPr>
        <w:t>,</w:t>
      </w:r>
      <w:r w:rsidRPr="003A4CD7">
        <w:rPr>
          <w:color w:val="000000" w:themeColor="text1"/>
          <w:sz w:val="22"/>
          <w:szCs w:val="22"/>
        </w:rPr>
        <w:t xml:space="preserve"> este Consejo Estatal emite los siguientes puntos de</w:t>
      </w:r>
      <w:r w:rsidR="00D110DB" w:rsidRPr="003A4CD7">
        <w:rPr>
          <w:color w:val="000000" w:themeColor="text1"/>
          <w:sz w:val="22"/>
          <w:szCs w:val="22"/>
        </w:rPr>
        <w:t>:</w:t>
      </w:r>
    </w:p>
    <w:p w14:paraId="7203881C" w14:textId="0C0F43F5" w:rsidR="00D110DB" w:rsidRPr="003A4CD7" w:rsidRDefault="003A4CD7" w:rsidP="00033D90">
      <w:pPr>
        <w:pStyle w:val="Ttulo1"/>
        <w:numPr>
          <w:ilvl w:val="0"/>
          <w:numId w:val="0"/>
        </w:numPr>
        <w:ind w:left="431"/>
        <w:rPr>
          <w:color w:val="000000" w:themeColor="text1"/>
          <w:sz w:val="24"/>
          <w:szCs w:val="24"/>
        </w:rPr>
      </w:pPr>
      <w:r w:rsidRPr="003A4CD7">
        <w:rPr>
          <w:color w:val="000000" w:themeColor="text1"/>
          <w:sz w:val="24"/>
          <w:szCs w:val="24"/>
        </w:rPr>
        <w:t xml:space="preserve">3 </w:t>
      </w:r>
      <w:r w:rsidR="001206E5" w:rsidRPr="003A4CD7">
        <w:rPr>
          <w:color w:val="000000" w:themeColor="text1"/>
          <w:sz w:val="24"/>
          <w:szCs w:val="24"/>
        </w:rPr>
        <w:t>Acuerd</w:t>
      </w:r>
      <w:r w:rsidR="008B1992" w:rsidRPr="003A4CD7">
        <w:rPr>
          <w:color w:val="000000" w:themeColor="text1"/>
          <w:sz w:val="24"/>
          <w:szCs w:val="24"/>
        </w:rPr>
        <w:t>o</w:t>
      </w:r>
    </w:p>
    <w:p w14:paraId="0C8988D8" w14:textId="63D7542F" w:rsidR="00033D90" w:rsidRPr="003A4CD7" w:rsidRDefault="00D110DB" w:rsidP="00033D90">
      <w:pPr>
        <w:pStyle w:val="Puntos"/>
        <w:ind w:left="0"/>
        <w:rPr>
          <w:rFonts w:ascii="Arial" w:hAnsi="Arial" w:cs="Arial"/>
          <w:sz w:val="22"/>
          <w:szCs w:val="22"/>
        </w:rPr>
      </w:pPr>
      <w:r w:rsidRPr="003A4CD7">
        <w:rPr>
          <w:rFonts w:ascii="Arial" w:hAnsi="Arial" w:cs="Arial"/>
          <w:b/>
          <w:bCs/>
          <w:color w:val="000000" w:themeColor="text1"/>
          <w:sz w:val="22"/>
          <w:szCs w:val="22"/>
        </w:rPr>
        <w:t>Primero</w:t>
      </w:r>
      <w:r w:rsidRPr="003A4CD7">
        <w:rPr>
          <w:rFonts w:ascii="Arial" w:hAnsi="Arial" w:cs="Arial"/>
          <w:b/>
          <w:bCs/>
          <w:sz w:val="22"/>
          <w:szCs w:val="22"/>
        </w:rPr>
        <w:t>.</w:t>
      </w:r>
      <w:r w:rsidR="00557A3E" w:rsidRPr="003A4CD7">
        <w:rPr>
          <w:rFonts w:ascii="Arial" w:hAnsi="Arial" w:cs="Arial"/>
          <w:b/>
          <w:bCs/>
          <w:color w:val="FF0000"/>
          <w:sz w:val="22"/>
          <w:szCs w:val="22"/>
        </w:rPr>
        <w:t xml:space="preserve"> </w:t>
      </w:r>
      <w:r w:rsidR="008B1992" w:rsidRPr="003A4CD7">
        <w:rPr>
          <w:rFonts w:ascii="Arial" w:hAnsi="Arial" w:cs="Arial"/>
          <w:bCs/>
          <w:sz w:val="22"/>
          <w:szCs w:val="22"/>
        </w:rPr>
        <w:t>S</w:t>
      </w:r>
      <w:r w:rsidR="00557A3E" w:rsidRPr="003A4CD7">
        <w:rPr>
          <w:rFonts w:ascii="Arial" w:hAnsi="Arial" w:cs="Arial"/>
          <w:bCs/>
          <w:sz w:val="22"/>
          <w:szCs w:val="22"/>
        </w:rPr>
        <w:t xml:space="preserve">e aprueba el </w:t>
      </w:r>
      <w:r w:rsidR="00551FBD" w:rsidRPr="003A4CD7">
        <w:rPr>
          <w:rFonts w:ascii="Arial" w:hAnsi="Arial" w:cs="Arial"/>
          <w:bCs/>
          <w:sz w:val="22"/>
          <w:szCs w:val="22"/>
        </w:rPr>
        <w:t>P</w:t>
      </w:r>
      <w:r w:rsidR="00557A3E" w:rsidRPr="003A4CD7">
        <w:rPr>
          <w:rFonts w:ascii="Arial" w:hAnsi="Arial" w:cs="Arial"/>
          <w:bCs/>
          <w:sz w:val="22"/>
          <w:szCs w:val="22"/>
        </w:rPr>
        <w:t xml:space="preserve">rograma a </w:t>
      </w:r>
      <w:r w:rsidR="00551FBD" w:rsidRPr="003A4CD7">
        <w:rPr>
          <w:rFonts w:ascii="Arial" w:hAnsi="Arial" w:cs="Arial"/>
          <w:bCs/>
          <w:sz w:val="22"/>
          <w:szCs w:val="22"/>
        </w:rPr>
        <w:t>M</w:t>
      </w:r>
      <w:r w:rsidR="00557A3E" w:rsidRPr="003A4CD7">
        <w:rPr>
          <w:rFonts w:ascii="Arial" w:hAnsi="Arial" w:cs="Arial"/>
          <w:bCs/>
          <w:sz w:val="22"/>
          <w:szCs w:val="22"/>
        </w:rPr>
        <w:t xml:space="preserve">ediano </w:t>
      </w:r>
      <w:r w:rsidR="00551FBD" w:rsidRPr="003A4CD7">
        <w:rPr>
          <w:rFonts w:ascii="Arial" w:hAnsi="Arial" w:cs="Arial"/>
          <w:bCs/>
          <w:sz w:val="22"/>
          <w:szCs w:val="22"/>
        </w:rPr>
        <w:t>P</w:t>
      </w:r>
      <w:r w:rsidR="00557A3E" w:rsidRPr="003A4CD7">
        <w:rPr>
          <w:rFonts w:ascii="Arial" w:hAnsi="Arial" w:cs="Arial"/>
          <w:bCs/>
          <w:sz w:val="22"/>
          <w:szCs w:val="22"/>
        </w:rPr>
        <w:t xml:space="preserve">lazo del Servicio Profesional Electoral Nacional del </w:t>
      </w:r>
      <w:r w:rsidR="004E078F" w:rsidRPr="003A4CD7">
        <w:rPr>
          <w:rFonts w:ascii="Arial" w:hAnsi="Arial" w:cs="Arial"/>
          <w:bCs/>
          <w:sz w:val="22"/>
          <w:szCs w:val="22"/>
        </w:rPr>
        <w:t>Instituto Electoral y de Participación Ciudadana de Tabasco</w:t>
      </w:r>
      <w:r w:rsidR="00557A3E" w:rsidRPr="003A4CD7">
        <w:rPr>
          <w:rFonts w:ascii="Arial" w:hAnsi="Arial" w:cs="Arial"/>
          <w:bCs/>
          <w:sz w:val="22"/>
          <w:szCs w:val="22"/>
        </w:rPr>
        <w:t xml:space="preserve"> correspondiente al ciclo trianual 2025-2028</w:t>
      </w:r>
      <w:r w:rsidR="008B1992" w:rsidRPr="003A4CD7">
        <w:rPr>
          <w:rFonts w:ascii="Arial" w:hAnsi="Arial" w:cs="Arial"/>
          <w:bCs/>
          <w:sz w:val="22"/>
          <w:szCs w:val="22"/>
        </w:rPr>
        <w:t xml:space="preserve">, </w:t>
      </w:r>
      <w:r w:rsidR="004E078F" w:rsidRPr="003A4CD7">
        <w:rPr>
          <w:rFonts w:ascii="Arial" w:hAnsi="Arial" w:cs="Arial"/>
          <w:bCs/>
          <w:sz w:val="22"/>
          <w:szCs w:val="22"/>
        </w:rPr>
        <w:t>mismo que forma parte integral del presente acuerdo como Anexo Único.</w:t>
      </w:r>
    </w:p>
    <w:p w14:paraId="135384E3" w14:textId="77777777" w:rsidR="00D110DB" w:rsidRPr="003A4CD7" w:rsidRDefault="00557A3E" w:rsidP="00D110DB">
      <w:pPr>
        <w:pStyle w:val="Puntos"/>
        <w:ind w:left="0"/>
        <w:rPr>
          <w:rFonts w:ascii="Arial" w:hAnsi="Arial" w:cs="Arial"/>
          <w:sz w:val="22"/>
          <w:szCs w:val="22"/>
        </w:rPr>
      </w:pPr>
      <w:r w:rsidRPr="003A4CD7">
        <w:rPr>
          <w:rFonts w:ascii="Arial" w:hAnsi="Arial" w:cs="Arial"/>
          <w:b/>
          <w:sz w:val="22"/>
          <w:szCs w:val="22"/>
        </w:rPr>
        <w:t>Segundo</w:t>
      </w:r>
      <w:r w:rsidR="00D110DB" w:rsidRPr="003A4CD7">
        <w:rPr>
          <w:rFonts w:ascii="Arial" w:hAnsi="Arial" w:cs="Arial"/>
          <w:b/>
          <w:bCs/>
          <w:sz w:val="22"/>
          <w:szCs w:val="22"/>
        </w:rPr>
        <w:t xml:space="preserve">. </w:t>
      </w:r>
      <w:r w:rsidR="004E078F" w:rsidRPr="003A4CD7">
        <w:rPr>
          <w:rFonts w:ascii="Arial" w:hAnsi="Arial" w:cs="Arial"/>
          <w:bCs/>
          <w:sz w:val="22"/>
          <w:szCs w:val="22"/>
        </w:rPr>
        <w:t>Se instruye a la Secretaría Ejecutiva para c</w:t>
      </w:r>
      <w:r w:rsidR="004E078F" w:rsidRPr="003A4CD7">
        <w:rPr>
          <w:rFonts w:ascii="Arial" w:hAnsi="Arial" w:cs="Arial"/>
          <w:sz w:val="22"/>
          <w:szCs w:val="22"/>
        </w:rPr>
        <w:t>omunique</w:t>
      </w:r>
      <w:r w:rsidR="008B1992" w:rsidRPr="003A4CD7">
        <w:rPr>
          <w:rFonts w:ascii="Arial" w:hAnsi="Arial" w:cs="Arial"/>
          <w:sz w:val="22"/>
          <w:szCs w:val="22"/>
        </w:rPr>
        <w:t xml:space="preserve"> el presente Acuerdo al Instituto Nacional Electoral, a través de la Unidad Técnica de Vinculación con los Organismos Públicos Locales, por el medio autorizado</w:t>
      </w:r>
      <w:r w:rsidR="00D110DB" w:rsidRPr="003A4CD7">
        <w:rPr>
          <w:rFonts w:ascii="Arial" w:hAnsi="Arial" w:cs="Arial"/>
          <w:sz w:val="22"/>
          <w:szCs w:val="22"/>
        </w:rPr>
        <w:t>, para los efectos correspondientes.</w:t>
      </w:r>
    </w:p>
    <w:p w14:paraId="061DB7B5" w14:textId="77777777" w:rsidR="00D110DB" w:rsidRPr="003A4CD7" w:rsidRDefault="00557A3E" w:rsidP="00D110DB">
      <w:pPr>
        <w:pStyle w:val="Puntos"/>
        <w:ind w:left="0"/>
        <w:rPr>
          <w:rFonts w:ascii="Arial" w:hAnsi="Arial" w:cs="Arial"/>
          <w:sz w:val="22"/>
          <w:szCs w:val="22"/>
        </w:rPr>
      </w:pPr>
      <w:r w:rsidRPr="003A4CD7">
        <w:rPr>
          <w:rFonts w:ascii="Arial" w:hAnsi="Arial" w:cs="Arial"/>
          <w:b/>
          <w:bCs/>
          <w:sz w:val="22"/>
          <w:szCs w:val="22"/>
        </w:rPr>
        <w:t>Tercero</w:t>
      </w:r>
      <w:r w:rsidR="00D110DB" w:rsidRPr="003A4CD7">
        <w:rPr>
          <w:rFonts w:ascii="Arial" w:hAnsi="Arial" w:cs="Arial"/>
          <w:b/>
          <w:bCs/>
          <w:sz w:val="22"/>
          <w:szCs w:val="22"/>
        </w:rPr>
        <w:t xml:space="preserve">. </w:t>
      </w:r>
      <w:r w:rsidR="00D110DB" w:rsidRPr="003A4CD7">
        <w:rPr>
          <w:rFonts w:ascii="Arial" w:hAnsi="Arial" w:cs="Arial"/>
          <w:sz w:val="22"/>
          <w:szCs w:val="22"/>
        </w:rPr>
        <w:t>Publíquese en el Periódico Oficial del Estado y en la página de internet del Instituto, de conformidad con lo dispuesto en el artículo 114 de la Ley Electoral y de Partidos Políticos del Estado de Tabasco.</w:t>
      </w:r>
    </w:p>
    <w:p w14:paraId="3D1D59EB" w14:textId="4339B1C9" w:rsidR="00D110DB" w:rsidRPr="003A4CD7" w:rsidRDefault="00557A3E" w:rsidP="00D110DB">
      <w:pPr>
        <w:pStyle w:val="Puntos"/>
        <w:spacing w:line="295" w:lineRule="auto"/>
        <w:ind w:left="0"/>
        <w:rPr>
          <w:rFonts w:ascii="Arial" w:hAnsi="Arial" w:cs="Arial"/>
          <w:sz w:val="22"/>
          <w:szCs w:val="22"/>
        </w:rPr>
      </w:pPr>
      <w:r w:rsidRPr="003A4CD7">
        <w:rPr>
          <w:rFonts w:ascii="Arial" w:hAnsi="Arial" w:cs="Arial"/>
          <w:sz w:val="22"/>
          <w:szCs w:val="22"/>
        </w:rPr>
        <w:t xml:space="preserve">El presente acuerdo fue </w:t>
      </w:r>
      <w:r w:rsidR="00881B5E" w:rsidRPr="003A4CD7">
        <w:rPr>
          <w:rFonts w:ascii="Arial" w:hAnsi="Arial" w:cs="Arial"/>
          <w:sz w:val="22"/>
          <w:szCs w:val="22"/>
        </w:rPr>
        <w:t>aprobado</w:t>
      </w:r>
      <w:r w:rsidRPr="003A4CD7">
        <w:rPr>
          <w:rFonts w:ascii="Arial" w:hAnsi="Arial" w:cs="Arial"/>
          <w:sz w:val="22"/>
          <w:szCs w:val="22"/>
        </w:rPr>
        <w:t xml:space="preserve"> en sesión </w:t>
      </w:r>
      <w:r w:rsidR="00015C15">
        <w:rPr>
          <w:rFonts w:ascii="Arial" w:hAnsi="Arial" w:cs="Arial"/>
          <w:sz w:val="22"/>
          <w:szCs w:val="22"/>
        </w:rPr>
        <w:t>extraordinaria</w:t>
      </w:r>
      <w:r w:rsidRPr="003A4CD7">
        <w:rPr>
          <w:rFonts w:ascii="Arial" w:hAnsi="Arial" w:cs="Arial"/>
          <w:sz w:val="22"/>
          <w:szCs w:val="22"/>
        </w:rPr>
        <w:t xml:space="preserve"> efectu</w:t>
      </w:r>
      <w:bookmarkStart w:id="2" w:name="_GoBack"/>
      <w:bookmarkEnd w:id="2"/>
      <w:r w:rsidRPr="003A4CD7">
        <w:rPr>
          <w:rFonts w:ascii="Arial" w:hAnsi="Arial" w:cs="Arial"/>
          <w:sz w:val="22"/>
          <w:szCs w:val="22"/>
        </w:rPr>
        <w:t>ada el</w:t>
      </w:r>
      <w:r w:rsidR="00015C15">
        <w:rPr>
          <w:rFonts w:ascii="Arial" w:hAnsi="Arial" w:cs="Arial"/>
          <w:sz w:val="22"/>
          <w:szCs w:val="22"/>
        </w:rPr>
        <w:t xml:space="preserve"> día ocho</w:t>
      </w:r>
      <w:r w:rsidRPr="003A4CD7">
        <w:rPr>
          <w:rFonts w:ascii="Arial" w:hAnsi="Arial" w:cs="Arial"/>
          <w:sz w:val="22"/>
          <w:szCs w:val="22"/>
        </w:rPr>
        <w:t xml:space="preserve"> de </w:t>
      </w:r>
      <w:r w:rsidR="00015C15">
        <w:rPr>
          <w:rFonts w:ascii="Arial" w:hAnsi="Arial" w:cs="Arial"/>
          <w:sz w:val="22"/>
          <w:szCs w:val="22"/>
        </w:rPr>
        <w:t>octubre</w:t>
      </w:r>
      <w:r w:rsidRPr="003A4CD7">
        <w:rPr>
          <w:rFonts w:ascii="Arial" w:hAnsi="Arial" w:cs="Arial"/>
          <w:sz w:val="22"/>
          <w:szCs w:val="22"/>
        </w:rPr>
        <w:t xml:space="preserve"> del año dos mil veinticinco, por votación </w:t>
      </w:r>
      <w:r w:rsidR="00E67350">
        <w:rPr>
          <w:rFonts w:ascii="Arial" w:hAnsi="Arial" w:cs="Arial"/>
          <w:sz w:val="22"/>
          <w:szCs w:val="22"/>
        </w:rPr>
        <w:t>unánime</w:t>
      </w:r>
      <w:r w:rsidRPr="003A4CD7">
        <w:rPr>
          <w:rFonts w:ascii="Arial" w:hAnsi="Arial" w:cs="Arial"/>
          <w:sz w:val="22"/>
          <w:szCs w:val="22"/>
        </w:rPr>
        <w:t xml:space="preserve"> de las y los Consejeros Electorales del Consejo Estatal del Instituto Electoral y de Participación Ciudadana de Tabasco: Lic. Hernán González Sala, Lic. Vladimir Hernández Venegas, Licda. Ángela Guadalupe Araujo Segura, Licda. Monserrat Martínez </w:t>
      </w:r>
      <w:proofErr w:type="spellStart"/>
      <w:r w:rsidRPr="003A4CD7">
        <w:rPr>
          <w:rFonts w:ascii="Arial" w:hAnsi="Arial" w:cs="Arial"/>
          <w:sz w:val="22"/>
          <w:szCs w:val="22"/>
        </w:rPr>
        <w:t>Beaurregard</w:t>
      </w:r>
      <w:proofErr w:type="spellEnd"/>
      <w:r w:rsidRPr="003A4CD7">
        <w:rPr>
          <w:rFonts w:ascii="Arial" w:hAnsi="Arial" w:cs="Arial"/>
          <w:sz w:val="22"/>
          <w:szCs w:val="22"/>
        </w:rPr>
        <w:t>, Mtra. Ruth Lizette Toledo Peral y la Consejera Presidenta, Mtra. Elizabeth Nava Gutiérrez.</w:t>
      </w:r>
    </w:p>
    <w:p w14:paraId="469E276E" w14:textId="0F828817" w:rsidR="00D110DB" w:rsidRDefault="00D110DB" w:rsidP="00D110DB">
      <w:pPr>
        <w:ind w:left="0"/>
      </w:pPr>
    </w:p>
    <w:p w14:paraId="1DAB95ED" w14:textId="77777777" w:rsidR="00015C15" w:rsidRDefault="00015C15" w:rsidP="00D110DB">
      <w:pPr>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81B5E" w:rsidRPr="00881B5E" w14:paraId="423C9EFE" w14:textId="77777777" w:rsidTr="00D110DB">
        <w:tc>
          <w:tcPr>
            <w:tcW w:w="4395" w:type="dxa"/>
          </w:tcPr>
          <w:p w14:paraId="3C5B7B08" w14:textId="77777777" w:rsidR="00D110DB" w:rsidRPr="003A4CD7" w:rsidRDefault="00D110DB" w:rsidP="00D110DB">
            <w:pPr>
              <w:widowControl w:val="0"/>
              <w:spacing w:after="0" w:line="288" w:lineRule="auto"/>
              <w:ind w:left="0"/>
              <w:jc w:val="center"/>
              <w:rPr>
                <w:b/>
                <w:spacing w:val="-10"/>
                <w:sz w:val="22"/>
                <w:szCs w:val="22"/>
              </w:rPr>
            </w:pPr>
            <w:r w:rsidRPr="003A4CD7">
              <w:rPr>
                <w:b/>
                <w:spacing w:val="-10"/>
                <w:sz w:val="22"/>
                <w:szCs w:val="22"/>
              </w:rPr>
              <w:t>MTRA. ELIZABETH NAVA GUTIÉRREZ</w:t>
            </w:r>
          </w:p>
          <w:p w14:paraId="1C8BB41B" w14:textId="77777777" w:rsidR="00D110DB" w:rsidRPr="003A4CD7" w:rsidRDefault="00D110DB" w:rsidP="00D110DB">
            <w:pPr>
              <w:widowControl w:val="0"/>
              <w:spacing w:after="0" w:line="288" w:lineRule="auto"/>
              <w:ind w:left="0"/>
              <w:jc w:val="center"/>
              <w:rPr>
                <w:b/>
                <w:sz w:val="22"/>
                <w:szCs w:val="22"/>
              </w:rPr>
            </w:pPr>
            <w:r w:rsidRPr="003A4CD7">
              <w:rPr>
                <w:b/>
                <w:spacing w:val="-10"/>
                <w:sz w:val="22"/>
                <w:szCs w:val="22"/>
              </w:rPr>
              <w:t>CONSEJERA PRESIDENTA</w:t>
            </w:r>
          </w:p>
        </w:tc>
        <w:tc>
          <w:tcPr>
            <w:tcW w:w="278" w:type="dxa"/>
          </w:tcPr>
          <w:p w14:paraId="36892D40" w14:textId="77777777" w:rsidR="00D110DB" w:rsidRPr="003A4CD7" w:rsidRDefault="00D110DB" w:rsidP="00D110DB">
            <w:pPr>
              <w:widowControl w:val="0"/>
              <w:spacing w:after="0" w:line="288" w:lineRule="auto"/>
              <w:rPr>
                <w:b/>
                <w:sz w:val="22"/>
                <w:szCs w:val="22"/>
              </w:rPr>
            </w:pPr>
          </w:p>
        </w:tc>
        <w:tc>
          <w:tcPr>
            <w:tcW w:w="4400" w:type="dxa"/>
          </w:tcPr>
          <w:p w14:paraId="4799C7FE" w14:textId="77777777" w:rsidR="00D110DB" w:rsidRPr="003A4CD7" w:rsidRDefault="00D110DB" w:rsidP="00D110DB">
            <w:pPr>
              <w:widowControl w:val="0"/>
              <w:spacing w:after="0" w:line="288" w:lineRule="auto"/>
              <w:ind w:left="0"/>
              <w:jc w:val="center"/>
              <w:rPr>
                <w:b/>
                <w:spacing w:val="-10"/>
                <w:sz w:val="22"/>
                <w:szCs w:val="22"/>
              </w:rPr>
            </w:pPr>
            <w:r w:rsidRPr="003A4CD7">
              <w:rPr>
                <w:b/>
                <w:spacing w:val="-10"/>
                <w:sz w:val="22"/>
                <w:szCs w:val="22"/>
              </w:rPr>
              <w:t>LIC. JORGE ALBERTO ZAVALA FRÍAS</w:t>
            </w:r>
          </w:p>
          <w:p w14:paraId="719A29A5" w14:textId="77777777" w:rsidR="00D110DB" w:rsidRPr="003A4CD7" w:rsidRDefault="00D110DB" w:rsidP="00D110DB">
            <w:pPr>
              <w:widowControl w:val="0"/>
              <w:spacing w:after="0" w:line="288" w:lineRule="auto"/>
              <w:ind w:left="0"/>
              <w:jc w:val="center"/>
              <w:rPr>
                <w:b/>
                <w:sz w:val="22"/>
                <w:szCs w:val="22"/>
              </w:rPr>
            </w:pPr>
            <w:r w:rsidRPr="003A4CD7">
              <w:rPr>
                <w:b/>
                <w:spacing w:val="-10"/>
                <w:sz w:val="22"/>
                <w:szCs w:val="22"/>
              </w:rPr>
              <w:t>SECRETARIO DEL CONSEJO</w:t>
            </w:r>
          </w:p>
        </w:tc>
      </w:tr>
    </w:tbl>
    <w:p w14:paraId="2AAC6073" w14:textId="77777777" w:rsidR="00D110DB" w:rsidRPr="00881B5E" w:rsidRDefault="00D110DB" w:rsidP="00881B5E">
      <w:pPr>
        <w:pStyle w:val="Puntos"/>
        <w:ind w:left="0"/>
        <w:rPr>
          <w:rFonts w:ascii="Arial" w:hAnsi="Arial" w:cs="Arial"/>
          <w:sz w:val="23"/>
          <w:szCs w:val="23"/>
        </w:rPr>
      </w:pPr>
    </w:p>
    <w:sectPr w:rsidR="00D110DB" w:rsidRPr="00881B5E" w:rsidSect="00D110DB">
      <w:headerReference w:type="default" r:id="rId7"/>
      <w:footerReference w:type="default" r:id="rId8"/>
      <w:headerReference w:type="first" r:id="rId9"/>
      <w:pgSz w:w="12240" w:h="15840" w:code="1"/>
      <w:pgMar w:top="2694" w:right="170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4D418" w14:textId="77777777" w:rsidR="00F653CD" w:rsidRDefault="00F653CD" w:rsidP="00D110DB">
      <w:pPr>
        <w:spacing w:after="0" w:line="240" w:lineRule="auto"/>
      </w:pPr>
      <w:r>
        <w:separator/>
      </w:r>
    </w:p>
  </w:endnote>
  <w:endnote w:type="continuationSeparator" w:id="0">
    <w:p w14:paraId="3F958649" w14:textId="77777777" w:rsidR="00F653CD" w:rsidRDefault="00F653CD" w:rsidP="00D1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uis George Cafe">
    <w:altName w:val="Malgun Gothic Semilight"/>
    <w:charset w:val="81"/>
    <w:family w:val="auto"/>
    <w:pitch w:val="variable"/>
    <w:sig w:usb0="00000000" w:usb1="090F0000" w:usb2="00000010"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Louis George Cafe"/>
        <w:lang w:val="es-ES"/>
      </w:rPr>
      <w:id w:val="-1113984889"/>
      <w:docPartObj>
        <w:docPartGallery w:val="Page Numbers (Bottom of Page)"/>
        <w:docPartUnique/>
      </w:docPartObj>
    </w:sdtPr>
    <w:sdtEndPr>
      <w:rPr>
        <w:b/>
        <w:bCs/>
        <w:color w:val="993366"/>
      </w:rPr>
    </w:sdtEndPr>
    <w:sdtContent>
      <w:p w14:paraId="411F346E" w14:textId="667460A6" w:rsidR="00864F41" w:rsidRPr="00244596" w:rsidRDefault="00864F41" w:rsidP="00D110DB">
        <w:pPr>
          <w:pStyle w:val="Piedepgina"/>
          <w:jc w:val="right"/>
          <w:rPr>
            <w:rFonts w:cs="Louis George Cafe"/>
            <w:b/>
            <w:bCs/>
            <w:color w:val="993366"/>
          </w:rPr>
        </w:pPr>
        <w:r w:rsidRPr="00244596">
          <w:rPr>
            <w:b/>
            <w:bCs/>
            <w:color w:val="993366"/>
            <w:lang w:val="es-ES"/>
          </w:rPr>
          <w:t xml:space="preserve">Página  </w:t>
        </w:r>
        <w:r w:rsidRPr="00244596">
          <w:rPr>
            <w:b/>
            <w:bCs/>
            <w:color w:val="993366"/>
          </w:rPr>
          <w:fldChar w:fldCharType="begin"/>
        </w:r>
        <w:r w:rsidRPr="00244596">
          <w:rPr>
            <w:b/>
            <w:bCs/>
            <w:color w:val="993366"/>
          </w:rPr>
          <w:instrText>PAGE   \* MERGEFORMAT</w:instrText>
        </w:r>
        <w:r w:rsidRPr="00244596">
          <w:rPr>
            <w:b/>
            <w:bCs/>
            <w:color w:val="993366"/>
          </w:rPr>
          <w:fldChar w:fldCharType="separate"/>
        </w:r>
        <w:r w:rsidR="00E67350">
          <w:rPr>
            <w:b/>
            <w:bCs/>
            <w:noProof/>
            <w:color w:val="993366"/>
          </w:rPr>
          <w:t>6</w:t>
        </w:r>
        <w:r w:rsidRPr="00244596">
          <w:rPr>
            <w:b/>
            <w:bCs/>
            <w:color w:val="993366"/>
          </w:rPr>
          <w:fldChar w:fldCharType="end"/>
        </w:r>
        <w:r w:rsidRPr="00244596">
          <w:rPr>
            <w:b/>
            <w:bCs/>
            <w:color w:val="993366"/>
            <w:lang w:val="es-ES"/>
          </w:rPr>
          <w:t xml:space="preserve"> | </w:t>
        </w:r>
        <w:r w:rsidRPr="00244596">
          <w:rPr>
            <w:b/>
            <w:bCs/>
            <w:color w:val="993366"/>
            <w:lang w:val="es-ES"/>
          </w:rPr>
          <w:fldChar w:fldCharType="begin"/>
        </w:r>
        <w:r w:rsidRPr="00244596">
          <w:rPr>
            <w:b/>
            <w:bCs/>
            <w:color w:val="993366"/>
            <w:lang w:val="es-ES"/>
          </w:rPr>
          <w:instrText xml:space="preserve"> NUMPAGES   \* MERGEFORMAT </w:instrText>
        </w:r>
        <w:r w:rsidRPr="00244596">
          <w:rPr>
            <w:b/>
            <w:bCs/>
            <w:color w:val="993366"/>
            <w:lang w:val="es-ES"/>
          </w:rPr>
          <w:fldChar w:fldCharType="separate"/>
        </w:r>
        <w:r w:rsidR="00E67350">
          <w:rPr>
            <w:b/>
            <w:bCs/>
            <w:noProof/>
            <w:color w:val="993366"/>
            <w:lang w:val="es-ES"/>
          </w:rPr>
          <w:t>7</w:t>
        </w:r>
        <w:r w:rsidRPr="00244596">
          <w:rPr>
            <w:b/>
            <w:bCs/>
            <w:color w:val="993366"/>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9410C" w14:textId="77777777" w:rsidR="00F653CD" w:rsidRDefault="00F653CD" w:rsidP="00D110DB">
      <w:pPr>
        <w:spacing w:after="0" w:line="240" w:lineRule="auto"/>
      </w:pPr>
      <w:r>
        <w:separator/>
      </w:r>
    </w:p>
  </w:footnote>
  <w:footnote w:type="continuationSeparator" w:id="0">
    <w:p w14:paraId="0761EA1E" w14:textId="77777777" w:rsidR="00F653CD" w:rsidRDefault="00F653CD" w:rsidP="00D1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64F41" w:rsidRPr="00063338" w14:paraId="2096B7A2" w14:textId="77777777" w:rsidTr="00D110DB">
      <w:tc>
        <w:tcPr>
          <w:tcW w:w="1418" w:type="dxa"/>
        </w:tcPr>
        <w:p w14:paraId="72350B2B" w14:textId="77777777" w:rsidR="00864F41" w:rsidRPr="00063338" w:rsidRDefault="00864F41" w:rsidP="00D110DB">
          <w:pPr>
            <w:pStyle w:val="Encabezado"/>
            <w:ind w:left="-170"/>
            <w:jc w:val="left"/>
          </w:pPr>
          <w:r>
            <w:rPr>
              <w:b/>
              <w:noProof/>
              <w:sz w:val="32"/>
              <w:lang w:eastAsia="es-MX"/>
            </w:rPr>
            <w:drawing>
              <wp:inline distT="0" distB="0" distL="0" distR="0" wp14:anchorId="01C5E4B2" wp14:editId="1FE33710">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77FA6030" w14:textId="77777777" w:rsidR="00864F41" w:rsidRPr="00E1376D" w:rsidRDefault="00864F41" w:rsidP="00D110DB">
          <w:pPr>
            <w:pStyle w:val="Encabezado"/>
            <w:spacing w:before="720"/>
            <w:ind w:left="0"/>
            <w:jc w:val="center"/>
            <w:rPr>
              <w:b/>
              <w:bCs/>
              <w:sz w:val="25"/>
              <w:szCs w:val="25"/>
            </w:rPr>
          </w:pPr>
          <w:r w:rsidRPr="00E1376D">
            <w:rPr>
              <w:b/>
              <w:bCs/>
              <w:sz w:val="25"/>
              <w:szCs w:val="25"/>
            </w:rPr>
            <w:t>INSTITUTO ELECTORAL Y DE PARTICIPACIÓN CIUDADANA DE TABASCO</w:t>
          </w:r>
        </w:p>
        <w:p w14:paraId="5B4908A6" w14:textId="77777777" w:rsidR="00864F41" w:rsidRPr="00063338" w:rsidRDefault="00864F41" w:rsidP="00D110DB">
          <w:pPr>
            <w:pStyle w:val="Encabezado"/>
            <w:ind w:left="0"/>
            <w:jc w:val="center"/>
          </w:pPr>
          <w:r w:rsidRPr="00E1376D">
            <w:rPr>
              <w:sz w:val="26"/>
              <w:szCs w:val="26"/>
            </w:rPr>
            <w:t>CONSEJO ESTATAL</w:t>
          </w:r>
        </w:p>
      </w:tc>
      <w:tc>
        <w:tcPr>
          <w:tcW w:w="1701" w:type="dxa"/>
        </w:tcPr>
        <w:p w14:paraId="1BDDA1D9" w14:textId="77777777" w:rsidR="00864F41" w:rsidRPr="00063338" w:rsidRDefault="00864F41" w:rsidP="00D110DB">
          <w:pPr>
            <w:pStyle w:val="Encabezado"/>
            <w:spacing w:before="480"/>
            <w:ind w:left="0"/>
          </w:pPr>
          <w:r w:rsidRPr="00063338">
            <w:rPr>
              <w:noProof/>
              <w:lang w:eastAsia="es-MX"/>
            </w:rPr>
            <w:drawing>
              <wp:inline distT="0" distB="0" distL="0" distR="0" wp14:anchorId="6AC435B5" wp14:editId="044D49E2">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10F855C" w14:textId="0A788EB1" w:rsidR="00864F41" w:rsidRPr="003A4CD7" w:rsidRDefault="00864F41" w:rsidP="00D110DB">
    <w:pPr>
      <w:jc w:val="right"/>
      <w:rPr>
        <w:b/>
        <w:bCs/>
        <w:sz w:val="24"/>
        <w:szCs w:val="24"/>
      </w:rPr>
    </w:pPr>
    <w:r>
      <w:tab/>
    </w:r>
    <w:r>
      <w:tab/>
    </w:r>
    <w:r w:rsidRPr="003A4CD7">
      <w:rPr>
        <w:b/>
        <w:bCs/>
        <w:sz w:val="24"/>
        <w:szCs w:val="24"/>
      </w:rPr>
      <w:t>CE/2025/0</w:t>
    </w:r>
    <w:r w:rsidR="003A4CD7">
      <w:rPr>
        <w:b/>
        <w:bCs/>
        <w:sz w:val="24"/>
        <w:szCs w:val="24"/>
      </w:rPr>
      <w:t>84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864F41" w:rsidRPr="00063338" w14:paraId="479E8723" w14:textId="77777777" w:rsidTr="00D110DB">
      <w:tc>
        <w:tcPr>
          <w:tcW w:w="1418" w:type="dxa"/>
        </w:tcPr>
        <w:p w14:paraId="451BED3E" w14:textId="77777777" w:rsidR="00864F41" w:rsidRPr="00063338" w:rsidRDefault="00864F41" w:rsidP="00D110DB">
          <w:pPr>
            <w:pStyle w:val="Encabezado"/>
            <w:ind w:left="-170"/>
            <w:jc w:val="left"/>
          </w:pPr>
          <w:r>
            <w:rPr>
              <w:b/>
              <w:noProof/>
              <w:sz w:val="32"/>
              <w:lang w:eastAsia="es-MX"/>
            </w:rPr>
            <w:drawing>
              <wp:inline distT="0" distB="0" distL="0" distR="0" wp14:anchorId="24181096" wp14:editId="4A4107C9">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B6931BF" w14:textId="77777777" w:rsidR="00864F41" w:rsidRPr="00E1376D" w:rsidRDefault="00864F41" w:rsidP="00D110DB">
          <w:pPr>
            <w:pStyle w:val="Encabezado"/>
            <w:spacing w:before="720"/>
            <w:ind w:left="0"/>
            <w:jc w:val="center"/>
            <w:rPr>
              <w:b/>
              <w:bCs/>
              <w:sz w:val="25"/>
              <w:szCs w:val="25"/>
            </w:rPr>
          </w:pPr>
          <w:r w:rsidRPr="00E1376D">
            <w:rPr>
              <w:b/>
              <w:bCs/>
              <w:sz w:val="25"/>
              <w:szCs w:val="25"/>
            </w:rPr>
            <w:t>INSTITUTO ELECTORAL Y DE PARTICIPACIÓN CIUDADANA DE TABASCO</w:t>
          </w:r>
        </w:p>
        <w:p w14:paraId="6DA65E80" w14:textId="77777777" w:rsidR="00864F41" w:rsidRPr="00063338" w:rsidRDefault="00864F41" w:rsidP="00D110DB">
          <w:pPr>
            <w:pStyle w:val="Encabezado"/>
            <w:ind w:left="0"/>
            <w:jc w:val="center"/>
          </w:pPr>
          <w:r w:rsidRPr="00E1376D">
            <w:rPr>
              <w:sz w:val="26"/>
              <w:szCs w:val="26"/>
            </w:rPr>
            <w:t>CONSEJO ESTATAL</w:t>
          </w:r>
        </w:p>
      </w:tc>
      <w:tc>
        <w:tcPr>
          <w:tcW w:w="1701" w:type="dxa"/>
        </w:tcPr>
        <w:p w14:paraId="228446D8" w14:textId="77777777" w:rsidR="00864F41" w:rsidRPr="00063338" w:rsidRDefault="00864F41" w:rsidP="00D110DB">
          <w:pPr>
            <w:pStyle w:val="Encabezado"/>
            <w:spacing w:before="480"/>
            <w:ind w:left="0"/>
          </w:pPr>
          <w:r w:rsidRPr="00063338">
            <w:rPr>
              <w:noProof/>
              <w:lang w:eastAsia="es-MX"/>
            </w:rPr>
            <w:drawing>
              <wp:inline distT="0" distB="0" distL="0" distR="0" wp14:anchorId="3BD473D3" wp14:editId="606C3C45">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B32C2C" w14:textId="413658C3" w:rsidR="00864F41" w:rsidRDefault="003A4CD7" w:rsidP="003A4CD7">
    <w:pPr>
      <w:jc w:val="right"/>
    </w:pPr>
    <w:r w:rsidRPr="003A4CD7">
      <w:rPr>
        <w:b/>
        <w:bCs/>
        <w:sz w:val="24"/>
        <w:szCs w:val="24"/>
      </w:rPr>
      <w:t>CE/2025/0</w:t>
    </w:r>
    <w:r>
      <w:rPr>
        <w:b/>
        <w:bCs/>
        <w:sz w:val="24"/>
        <w:szCs w:val="24"/>
      </w:rPr>
      <w:t>84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F44"/>
    <w:multiLevelType w:val="multilevel"/>
    <w:tmpl w:val="AC8ABE4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1656B8"/>
    <w:multiLevelType w:val="multilevel"/>
    <w:tmpl w:val="3E7A4EFE"/>
    <w:lvl w:ilvl="0">
      <w:start w:val="1"/>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3845754"/>
    <w:multiLevelType w:val="hybridMultilevel"/>
    <w:tmpl w:val="9F2CE066"/>
    <w:lvl w:ilvl="0" w:tplc="080A0013">
      <w:start w:val="1"/>
      <w:numFmt w:val="upp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3961B6E"/>
    <w:multiLevelType w:val="hybridMultilevel"/>
    <w:tmpl w:val="BA54DD4E"/>
    <w:lvl w:ilvl="0" w:tplc="932C7888">
      <w:start w:val="1"/>
      <w:numFmt w:val="lowerLetter"/>
      <w:pStyle w:val="Ttulo3"/>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4" w15:restartNumberingAfterBreak="0">
    <w:nsid w:val="36134800"/>
    <w:multiLevelType w:val="multilevel"/>
    <w:tmpl w:val="D2965C1A"/>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53A365B2"/>
    <w:multiLevelType w:val="hybridMultilevel"/>
    <w:tmpl w:val="169A649A"/>
    <w:lvl w:ilvl="0" w:tplc="080A000F">
      <w:start w:val="1"/>
      <w:numFmt w:val="decimal"/>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5AE426E6"/>
    <w:multiLevelType w:val="multilevel"/>
    <w:tmpl w:val="1BB4517A"/>
    <w:lvl w:ilvl="0">
      <w:start w:val="1"/>
      <w:numFmt w:val="decimal"/>
      <w:lvlText w:val="%1"/>
      <w:lvlJc w:val="left"/>
      <w:pPr>
        <w:ind w:left="791"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09"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2941"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873" w:hanging="1440"/>
      </w:pPr>
      <w:rPr>
        <w:rFonts w:hint="default"/>
      </w:rPr>
    </w:lvl>
    <w:lvl w:ilvl="8">
      <w:start w:val="1"/>
      <w:numFmt w:val="decimal"/>
      <w:isLgl/>
      <w:lvlText w:val="%1.%2.%3.%4.%5.%6.%7.%8.%9"/>
      <w:lvlJc w:val="left"/>
      <w:pPr>
        <w:ind w:left="4519" w:hanging="1800"/>
      </w:pPr>
      <w:rPr>
        <w:rFonts w:hint="default"/>
      </w:rPr>
    </w:lvl>
  </w:abstractNum>
  <w:num w:numId="1">
    <w:abstractNumId w:val="0"/>
  </w:num>
  <w:num w:numId="2">
    <w:abstractNumId w:val="3"/>
  </w:num>
  <w:num w:numId="3">
    <w:abstractNumId w:val="3"/>
    <w:lvlOverride w:ilvl="0">
      <w:startOverride w:val="1"/>
    </w:lvlOverride>
  </w:num>
  <w:num w:numId="4">
    <w:abstractNumId w:val="2"/>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DB"/>
    <w:rsid w:val="00015C15"/>
    <w:rsid w:val="00033D90"/>
    <w:rsid w:val="00052454"/>
    <w:rsid w:val="00076278"/>
    <w:rsid w:val="0011307D"/>
    <w:rsid w:val="001206E5"/>
    <w:rsid w:val="0013256A"/>
    <w:rsid w:val="002172AF"/>
    <w:rsid w:val="00283D55"/>
    <w:rsid w:val="002B353A"/>
    <w:rsid w:val="00300684"/>
    <w:rsid w:val="003227A5"/>
    <w:rsid w:val="003A403D"/>
    <w:rsid w:val="003A4CD7"/>
    <w:rsid w:val="004356ED"/>
    <w:rsid w:val="00464D0F"/>
    <w:rsid w:val="004E078F"/>
    <w:rsid w:val="00551FBD"/>
    <w:rsid w:val="00557A3E"/>
    <w:rsid w:val="005B257D"/>
    <w:rsid w:val="005D2B31"/>
    <w:rsid w:val="006C70CE"/>
    <w:rsid w:val="00701FF2"/>
    <w:rsid w:val="007409B1"/>
    <w:rsid w:val="00796437"/>
    <w:rsid w:val="007B2AF9"/>
    <w:rsid w:val="007E6924"/>
    <w:rsid w:val="007E6DAF"/>
    <w:rsid w:val="008051A7"/>
    <w:rsid w:val="0083116A"/>
    <w:rsid w:val="00864F41"/>
    <w:rsid w:val="0086512F"/>
    <w:rsid w:val="00881B5E"/>
    <w:rsid w:val="008B147D"/>
    <w:rsid w:val="008B1992"/>
    <w:rsid w:val="009B51EE"/>
    <w:rsid w:val="00A61D9E"/>
    <w:rsid w:val="00AD43DE"/>
    <w:rsid w:val="00AD6149"/>
    <w:rsid w:val="00B02CEB"/>
    <w:rsid w:val="00C84B25"/>
    <w:rsid w:val="00CB7335"/>
    <w:rsid w:val="00CF73D3"/>
    <w:rsid w:val="00D110DB"/>
    <w:rsid w:val="00D30FC7"/>
    <w:rsid w:val="00D575B1"/>
    <w:rsid w:val="00DB7BCE"/>
    <w:rsid w:val="00E07468"/>
    <w:rsid w:val="00E67350"/>
    <w:rsid w:val="00EA3857"/>
    <w:rsid w:val="00EB2C48"/>
    <w:rsid w:val="00ED13BD"/>
    <w:rsid w:val="00F04179"/>
    <w:rsid w:val="00F65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A381"/>
  <w15:chartTrackingRefBased/>
  <w15:docId w15:val="{F473D3E0-5F1D-48B4-998A-8088E96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DB"/>
    <w:pPr>
      <w:spacing w:after="240" w:line="276" w:lineRule="auto"/>
      <w:ind w:left="624"/>
      <w:jc w:val="both"/>
    </w:pPr>
    <w:rPr>
      <w:rFonts w:ascii="Arial" w:hAnsi="Arial" w:cs="Arial"/>
      <w:sz w:val="23"/>
      <w:szCs w:val="23"/>
    </w:rPr>
  </w:style>
  <w:style w:type="paragraph" w:styleId="Ttulo1">
    <w:name w:val="heading 1"/>
    <w:basedOn w:val="Normal"/>
    <w:next w:val="Normal"/>
    <w:link w:val="Ttulo1Car"/>
    <w:uiPriority w:val="9"/>
    <w:qFormat/>
    <w:rsid w:val="00D110DB"/>
    <w:pPr>
      <w:numPr>
        <w:numId w:val="1"/>
      </w:numPr>
      <w:spacing w:before="360" w:after="360"/>
      <w:ind w:left="431" w:hanging="431"/>
      <w:jc w:val="center"/>
      <w:outlineLvl w:val="0"/>
    </w:pPr>
    <w:rPr>
      <w:rFonts w:ascii="Arial Negrita" w:hAnsi="Arial Negrita"/>
      <w:b/>
      <w:bCs/>
      <w:sz w:val="28"/>
      <w:szCs w:val="28"/>
    </w:rPr>
  </w:style>
  <w:style w:type="paragraph" w:styleId="Ttulo2">
    <w:name w:val="heading 2"/>
    <w:basedOn w:val="Normal"/>
    <w:next w:val="Normal"/>
    <w:link w:val="Ttulo2Car"/>
    <w:uiPriority w:val="9"/>
    <w:unhideWhenUsed/>
    <w:qFormat/>
    <w:rsid w:val="00D110DB"/>
    <w:pPr>
      <w:numPr>
        <w:ilvl w:val="1"/>
        <w:numId w:val="1"/>
      </w:numPr>
      <w:spacing w:before="360" w:after="0"/>
      <w:ind w:left="624" w:hanging="624"/>
      <w:outlineLvl w:val="1"/>
    </w:pPr>
    <w:rPr>
      <w:b/>
      <w:bCs/>
      <w:sz w:val="24"/>
      <w:szCs w:val="24"/>
    </w:rPr>
  </w:style>
  <w:style w:type="paragraph" w:styleId="Ttulo3">
    <w:name w:val="heading 3"/>
    <w:basedOn w:val="Normal"/>
    <w:next w:val="Normal"/>
    <w:link w:val="Ttulo3Car"/>
    <w:uiPriority w:val="9"/>
    <w:unhideWhenUsed/>
    <w:qFormat/>
    <w:rsid w:val="00D110DB"/>
    <w:pPr>
      <w:numPr>
        <w:numId w:val="2"/>
      </w:numPr>
      <w:spacing w:before="480"/>
      <w:ind w:left="981" w:hanging="357"/>
      <w:outlineLvl w:val="2"/>
    </w:pPr>
    <w:rPr>
      <w:b/>
    </w:rPr>
  </w:style>
  <w:style w:type="paragraph" w:styleId="Ttulo4">
    <w:name w:val="heading 4"/>
    <w:basedOn w:val="Normal"/>
    <w:next w:val="Normal"/>
    <w:link w:val="Ttulo4Car"/>
    <w:uiPriority w:val="9"/>
    <w:semiHidden/>
    <w:unhideWhenUsed/>
    <w:qFormat/>
    <w:rsid w:val="00D110D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110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110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110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110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110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0DB"/>
    <w:rPr>
      <w:rFonts w:ascii="Arial Negrita" w:hAnsi="Arial Negrita" w:cs="Arial"/>
      <w:b/>
      <w:bCs/>
      <w:sz w:val="28"/>
      <w:szCs w:val="28"/>
    </w:rPr>
  </w:style>
  <w:style w:type="character" w:customStyle="1" w:styleId="Ttulo2Car">
    <w:name w:val="Título 2 Car"/>
    <w:basedOn w:val="Fuentedeprrafopredeter"/>
    <w:link w:val="Ttulo2"/>
    <w:uiPriority w:val="9"/>
    <w:rsid w:val="00D110DB"/>
    <w:rPr>
      <w:rFonts w:ascii="Arial" w:hAnsi="Arial" w:cs="Arial"/>
      <w:b/>
      <w:bCs/>
      <w:sz w:val="24"/>
      <w:szCs w:val="24"/>
    </w:rPr>
  </w:style>
  <w:style w:type="character" w:customStyle="1" w:styleId="Ttulo3Car">
    <w:name w:val="Título 3 Car"/>
    <w:basedOn w:val="Fuentedeprrafopredeter"/>
    <w:link w:val="Ttulo3"/>
    <w:uiPriority w:val="9"/>
    <w:rsid w:val="00D110DB"/>
    <w:rPr>
      <w:rFonts w:ascii="Arial" w:hAnsi="Arial" w:cs="Arial"/>
      <w:b/>
      <w:sz w:val="23"/>
      <w:szCs w:val="23"/>
    </w:rPr>
  </w:style>
  <w:style w:type="character" w:customStyle="1" w:styleId="Ttulo4Car">
    <w:name w:val="Título 4 Car"/>
    <w:basedOn w:val="Fuentedeprrafopredeter"/>
    <w:link w:val="Ttulo4"/>
    <w:uiPriority w:val="9"/>
    <w:semiHidden/>
    <w:rsid w:val="00D110DB"/>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D110DB"/>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D110DB"/>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D110DB"/>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D110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110DB"/>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D11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10DB"/>
    <w:rPr>
      <w:rFonts w:ascii="Arial" w:hAnsi="Arial" w:cs="Arial"/>
      <w:sz w:val="23"/>
      <w:szCs w:val="23"/>
    </w:rPr>
  </w:style>
  <w:style w:type="paragraph" w:styleId="Piedepgina">
    <w:name w:val="footer"/>
    <w:basedOn w:val="Normal"/>
    <w:link w:val="PiedepginaCar"/>
    <w:uiPriority w:val="99"/>
    <w:unhideWhenUsed/>
    <w:rsid w:val="00D11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10DB"/>
    <w:rPr>
      <w:rFonts w:ascii="Arial" w:hAnsi="Arial" w:cs="Arial"/>
      <w:sz w:val="23"/>
      <w:szCs w:val="23"/>
    </w:rPr>
  </w:style>
  <w:style w:type="table" w:styleId="Tablaconcuadrcula">
    <w:name w:val="Table Grid"/>
    <w:basedOn w:val="Tablanormal"/>
    <w:uiPriority w:val="59"/>
    <w:rsid w:val="00D1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D110DB"/>
    <w:pPr>
      <w:ind w:left="510"/>
    </w:pPr>
    <w:rPr>
      <w:rFonts w:ascii="Calisto MT" w:hAnsi="Calisto MT" w:cstheme="minorBidi"/>
      <w:sz w:val="24"/>
      <w:szCs w:val="24"/>
    </w:rPr>
  </w:style>
  <w:style w:type="character" w:customStyle="1" w:styleId="PuntosCar">
    <w:name w:val="Puntos Car"/>
    <w:basedOn w:val="Fuentedeprrafopredeter"/>
    <w:link w:val="Puntos"/>
    <w:rsid w:val="00D110DB"/>
    <w:rPr>
      <w:rFonts w:ascii="Calisto MT" w:hAnsi="Calisto MT"/>
      <w:sz w:val="24"/>
      <w:szCs w:val="24"/>
    </w:rPr>
  </w:style>
  <w:style w:type="paragraph" w:styleId="Cita">
    <w:name w:val="Quote"/>
    <w:basedOn w:val="Normal"/>
    <w:next w:val="Normal"/>
    <w:link w:val="CitaCar"/>
    <w:uiPriority w:val="29"/>
    <w:qFormat/>
    <w:rsid w:val="00D110DB"/>
    <w:pPr>
      <w:spacing w:line="288" w:lineRule="auto"/>
      <w:ind w:left="1191" w:right="567"/>
    </w:pPr>
    <w:rPr>
      <w:sz w:val="18"/>
      <w:szCs w:val="18"/>
    </w:rPr>
  </w:style>
  <w:style w:type="character" w:customStyle="1" w:styleId="CitaCar">
    <w:name w:val="Cita Car"/>
    <w:basedOn w:val="Fuentedeprrafopredeter"/>
    <w:link w:val="Cita"/>
    <w:uiPriority w:val="29"/>
    <w:rsid w:val="00D110DB"/>
    <w:rPr>
      <w:rFonts w:ascii="Arial" w:hAnsi="Arial" w:cs="Arial"/>
      <w:sz w:val="18"/>
      <w:szCs w:val="18"/>
    </w:rPr>
  </w:style>
  <w:style w:type="paragraph" w:styleId="Ttulo">
    <w:name w:val="Title"/>
    <w:basedOn w:val="Normal"/>
    <w:next w:val="Normal"/>
    <w:link w:val="TtuloCar"/>
    <w:uiPriority w:val="10"/>
    <w:qFormat/>
    <w:rsid w:val="00D110DB"/>
    <w:pPr>
      <w:ind w:left="0"/>
    </w:pPr>
    <w:rPr>
      <w:b/>
      <w:bCs/>
    </w:rPr>
  </w:style>
  <w:style w:type="character" w:customStyle="1" w:styleId="TtuloCar">
    <w:name w:val="Título Car"/>
    <w:basedOn w:val="Fuentedeprrafopredeter"/>
    <w:link w:val="Ttulo"/>
    <w:uiPriority w:val="10"/>
    <w:rsid w:val="00D110DB"/>
    <w:rPr>
      <w:rFonts w:ascii="Arial" w:hAnsi="Arial" w:cs="Arial"/>
      <w:b/>
      <w:bCs/>
      <w:sz w:val="23"/>
      <w:szCs w:val="23"/>
    </w:rPr>
  </w:style>
  <w:style w:type="paragraph" w:styleId="Textonotapie">
    <w:name w:val="footnote text"/>
    <w:basedOn w:val="Normal"/>
    <w:link w:val="TextonotapieCar"/>
    <w:uiPriority w:val="99"/>
    <w:semiHidden/>
    <w:unhideWhenUsed/>
    <w:rsid w:val="00D110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10DB"/>
    <w:rPr>
      <w:rFonts w:ascii="Arial" w:hAnsi="Arial" w:cs="Arial"/>
      <w:sz w:val="20"/>
      <w:szCs w:val="20"/>
    </w:rPr>
  </w:style>
  <w:style w:type="character" w:styleId="Refdenotaalpie">
    <w:name w:val="footnote reference"/>
    <w:basedOn w:val="Fuentedeprrafopredeter"/>
    <w:uiPriority w:val="99"/>
    <w:semiHidden/>
    <w:unhideWhenUsed/>
    <w:rsid w:val="00D110DB"/>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D110DB"/>
    <w:pPr>
      <w:spacing w:line="283" w:lineRule="auto"/>
      <w:ind w:left="720"/>
      <w:contextualSpacing/>
    </w:pPr>
    <w:rPr>
      <w:sz w:val="24"/>
      <w:szCs w:val="24"/>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D110DB"/>
    <w:rPr>
      <w:rFonts w:ascii="Arial" w:hAnsi="Arial" w:cs="Arial"/>
      <w:sz w:val="24"/>
      <w:szCs w:val="24"/>
    </w:rPr>
  </w:style>
  <w:style w:type="paragraph" w:styleId="NormalWeb">
    <w:name w:val="Normal (Web)"/>
    <w:basedOn w:val="Normal"/>
    <w:uiPriority w:val="99"/>
    <w:semiHidden/>
    <w:unhideWhenUsed/>
    <w:rsid w:val="002B353A"/>
    <w:pPr>
      <w:spacing w:before="100" w:beforeAutospacing="1" w:after="100" w:afterAutospacing="1" w:line="240" w:lineRule="auto"/>
      <w:ind w:left="0"/>
      <w:jc w:val="left"/>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575B1"/>
    <w:rPr>
      <w:sz w:val="16"/>
      <w:szCs w:val="16"/>
    </w:rPr>
  </w:style>
  <w:style w:type="paragraph" w:styleId="Textocomentario">
    <w:name w:val="annotation text"/>
    <w:basedOn w:val="Normal"/>
    <w:link w:val="TextocomentarioCar"/>
    <w:uiPriority w:val="99"/>
    <w:unhideWhenUsed/>
    <w:rsid w:val="00D575B1"/>
    <w:pPr>
      <w:spacing w:line="240" w:lineRule="auto"/>
    </w:pPr>
    <w:rPr>
      <w:sz w:val="20"/>
      <w:szCs w:val="20"/>
    </w:rPr>
  </w:style>
  <w:style w:type="character" w:customStyle="1" w:styleId="TextocomentarioCar">
    <w:name w:val="Texto comentario Car"/>
    <w:basedOn w:val="Fuentedeprrafopredeter"/>
    <w:link w:val="Textocomentario"/>
    <w:uiPriority w:val="99"/>
    <w:rsid w:val="00D575B1"/>
    <w:rPr>
      <w:rFonts w:ascii="Arial" w:hAnsi="Arial" w:cs="Arial"/>
      <w:sz w:val="20"/>
      <w:szCs w:val="20"/>
    </w:rPr>
  </w:style>
  <w:style w:type="paragraph" w:styleId="Textodeglobo">
    <w:name w:val="Balloon Text"/>
    <w:basedOn w:val="Normal"/>
    <w:link w:val="TextodegloboCar"/>
    <w:uiPriority w:val="99"/>
    <w:semiHidden/>
    <w:unhideWhenUsed/>
    <w:rsid w:val="009B51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9038">
      <w:bodyDiv w:val="1"/>
      <w:marLeft w:val="0"/>
      <w:marRight w:val="0"/>
      <w:marTop w:val="0"/>
      <w:marBottom w:val="0"/>
      <w:divBdr>
        <w:top w:val="none" w:sz="0" w:space="0" w:color="auto"/>
        <w:left w:val="none" w:sz="0" w:space="0" w:color="auto"/>
        <w:bottom w:val="none" w:sz="0" w:space="0" w:color="auto"/>
        <w:right w:val="none" w:sz="0" w:space="0" w:color="auto"/>
      </w:divBdr>
    </w:div>
    <w:div w:id="1253314601">
      <w:bodyDiv w:val="1"/>
      <w:marLeft w:val="0"/>
      <w:marRight w:val="0"/>
      <w:marTop w:val="0"/>
      <w:marBottom w:val="0"/>
      <w:divBdr>
        <w:top w:val="none" w:sz="0" w:space="0" w:color="auto"/>
        <w:left w:val="none" w:sz="0" w:space="0" w:color="auto"/>
        <w:bottom w:val="none" w:sz="0" w:space="0" w:color="auto"/>
        <w:right w:val="none" w:sz="0" w:space="0" w:color="auto"/>
      </w:divBdr>
    </w:div>
    <w:div w:id="13732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2250</Words>
  <Characters>12379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9</cp:revision>
  <cp:lastPrinted>2025-10-08T18:45:00Z</cp:lastPrinted>
  <dcterms:created xsi:type="dcterms:W3CDTF">2025-09-29T17:16:00Z</dcterms:created>
  <dcterms:modified xsi:type="dcterms:W3CDTF">2025-10-08T18:48:00Z</dcterms:modified>
</cp:coreProperties>
</file>