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D269A" w14:textId="085F691C" w:rsidR="00756803" w:rsidRPr="00B10EE8" w:rsidRDefault="00B10EE8" w:rsidP="001B13DE">
      <w:pPr>
        <w:spacing w:line="264" w:lineRule="auto"/>
        <w:rPr>
          <w:rFonts w:ascii="Arial" w:hAnsi="Arial" w:cs="Arial"/>
          <w:b/>
          <w:bCs/>
        </w:rPr>
      </w:pPr>
      <w:r w:rsidRPr="00B10EE8">
        <w:rPr>
          <w:rFonts w:ascii="Arial" w:hAnsi="Arial" w:cs="Arial"/>
          <w:b/>
          <w:bCs/>
        </w:rPr>
        <w:t xml:space="preserve">ACUERDO QUE, A PROPUESTA DE LA COMISIÓN TEMPORAL DE FOROS DE DEBATES, EMITE EL CONSEJO ESTATAL DEL INSTITUTO ELECTORAL Y DE PARTICIPACIÓN CIUDADANA DE TABASCO, POR EL QUE APRUEBA LA ORGANIZACIÓN DE FOROS DE DEBATE VIRTUALES, EL PLAN DE TRABAJO, LOS LINEAMIENTOS PARA SU ORGANIZACIÓN, DESARROLLO Y DIFUSIÓN, Y LA IDENTIDAD GRÁFICA PARA EL PROCESO ELECTORAL LOCAL EXTRAORDINARIO PARA PERSONAS JUZGADORAS DEL PODER JUDICIAL DEL ESTADO DE TABASCO 2024 – 2025 </w:t>
      </w:r>
    </w:p>
    <w:p w14:paraId="04DB14F3" w14:textId="5CD173E9" w:rsidR="004F6112" w:rsidRPr="00B10EE8" w:rsidRDefault="004F6112" w:rsidP="00756803">
      <w:pPr>
        <w:rPr>
          <w:rFonts w:ascii="Arial" w:hAnsi="Arial" w:cs="Arial"/>
          <w:sz w:val="22"/>
        </w:rPr>
      </w:pPr>
      <w:r w:rsidRPr="00B10EE8">
        <w:rPr>
          <w:rFonts w:ascii="Arial" w:hAnsi="Arial" w:cs="Arial"/>
          <w:sz w:val="22"/>
        </w:rPr>
        <w:t>Para efectos del presente acuerdo se usarán las abreviaturas y definiciones siguientes:</w:t>
      </w:r>
    </w:p>
    <w:tbl>
      <w:tblPr>
        <w:tblW w:w="7348" w:type="dxa"/>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400" w:firstRow="0" w:lastRow="0" w:firstColumn="0" w:lastColumn="0" w:noHBand="0" w:noVBand="1"/>
      </w:tblPr>
      <w:tblGrid>
        <w:gridCol w:w="3001"/>
        <w:gridCol w:w="4347"/>
      </w:tblGrid>
      <w:tr w:rsidR="00233361" w:rsidRPr="00B10EE8" w14:paraId="42E5F161" w14:textId="77777777" w:rsidTr="00E51894">
        <w:trPr>
          <w:trHeight w:val="624"/>
          <w:jc w:val="center"/>
        </w:trPr>
        <w:tc>
          <w:tcPr>
            <w:tcW w:w="3001" w:type="dxa"/>
            <w:shd w:val="clear" w:color="auto" w:fill="auto"/>
            <w:vAlign w:val="center"/>
          </w:tcPr>
          <w:p w14:paraId="5B24155B"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Comisión:</w:t>
            </w:r>
          </w:p>
        </w:tc>
        <w:tc>
          <w:tcPr>
            <w:tcW w:w="4347" w:type="dxa"/>
            <w:shd w:val="clear" w:color="auto" w:fill="auto"/>
            <w:vAlign w:val="center"/>
          </w:tcPr>
          <w:p w14:paraId="125430EF"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Comisión Temporal de Foros de Debates del Instituto Electoral y de Participación Ciudadana de Tabasco.</w:t>
            </w:r>
          </w:p>
        </w:tc>
      </w:tr>
      <w:tr w:rsidR="00233361" w:rsidRPr="00B10EE8" w14:paraId="425DF132" w14:textId="77777777" w:rsidTr="00E51894">
        <w:trPr>
          <w:trHeight w:val="624"/>
          <w:jc w:val="center"/>
        </w:trPr>
        <w:tc>
          <w:tcPr>
            <w:tcW w:w="3001" w:type="dxa"/>
            <w:shd w:val="clear" w:color="auto" w:fill="auto"/>
            <w:vAlign w:val="center"/>
          </w:tcPr>
          <w:p w14:paraId="0A69E4B1"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Consejo Estatal:</w:t>
            </w:r>
          </w:p>
        </w:tc>
        <w:tc>
          <w:tcPr>
            <w:tcW w:w="4347" w:type="dxa"/>
            <w:shd w:val="clear" w:color="auto" w:fill="auto"/>
            <w:vAlign w:val="center"/>
          </w:tcPr>
          <w:p w14:paraId="1B771499"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Consejo Estatal del Instituto Electoral y de Participación Ciudadana de Tabasco.</w:t>
            </w:r>
          </w:p>
        </w:tc>
      </w:tr>
      <w:tr w:rsidR="00233361" w:rsidRPr="00B10EE8" w14:paraId="129E2DBF" w14:textId="77777777" w:rsidTr="00E51894">
        <w:trPr>
          <w:trHeight w:val="624"/>
          <w:jc w:val="center"/>
        </w:trPr>
        <w:tc>
          <w:tcPr>
            <w:tcW w:w="3001" w:type="dxa"/>
            <w:shd w:val="clear" w:color="auto" w:fill="auto"/>
            <w:vAlign w:val="center"/>
          </w:tcPr>
          <w:p w14:paraId="28FAED2C"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Constitución Federal:</w:t>
            </w:r>
          </w:p>
        </w:tc>
        <w:tc>
          <w:tcPr>
            <w:tcW w:w="4347" w:type="dxa"/>
            <w:shd w:val="clear" w:color="auto" w:fill="auto"/>
            <w:vAlign w:val="center"/>
          </w:tcPr>
          <w:p w14:paraId="3D697AF0"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Constitución Política de los Estados Unidos Mexicanos.</w:t>
            </w:r>
          </w:p>
        </w:tc>
      </w:tr>
      <w:tr w:rsidR="00233361" w:rsidRPr="00B10EE8" w14:paraId="49072FBB" w14:textId="77777777" w:rsidTr="00E51894">
        <w:trPr>
          <w:trHeight w:val="624"/>
          <w:jc w:val="center"/>
        </w:trPr>
        <w:tc>
          <w:tcPr>
            <w:tcW w:w="3001" w:type="dxa"/>
            <w:shd w:val="clear" w:color="auto" w:fill="auto"/>
            <w:vAlign w:val="center"/>
          </w:tcPr>
          <w:p w14:paraId="594DA2B8"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Constitución Local:</w:t>
            </w:r>
          </w:p>
        </w:tc>
        <w:tc>
          <w:tcPr>
            <w:tcW w:w="4347" w:type="dxa"/>
            <w:shd w:val="clear" w:color="auto" w:fill="auto"/>
            <w:vAlign w:val="center"/>
          </w:tcPr>
          <w:p w14:paraId="12685EBD"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Constitución Política del Estado Libre y Soberano de Tabasco.</w:t>
            </w:r>
          </w:p>
        </w:tc>
      </w:tr>
      <w:tr w:rsidR="00233361" w:rsidRPr="00B10EE8" w14:paraId="00F47A05" w14:textId="77777777" w:rsidTr="00E51894">
        <w:trPr>
          <w:trHeight w:val="624"/>
          <w:jc w:val="center"/>
        </w:trPr>
        <w:tc>
          <w:tcPr>
            <w:tcW w:w="3001" w:type="dxa"/>
            <w:shd w:val="clear" w:color="auto" w:fill="auto"/>
            <w:vAlign w:val="center"/>
          </w:tcPr>
          <w:p w14:paraId="33BF062E"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Instituto:</w:t>
            </w:r>
          </w:p>
        </w:tc>
        <w:tc>
          <w:tcPr>
            <w:tcW w:w="4347" w:type="dxa"/>
            <w:shd w:val="clear" w:color="auto" w:fill="auto"/>
          </w:tcPr>
          <w:p w14:paraId="425CE61B"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Instituto Electoral y de Participación Ciudadana de Tabasco.</w:t>
            </w:r>
          </w:p>
        </w:tc>
      </w:tr>
      <w:tr w:rsidR="00233361" w:rsidRPr="00B10EE8" w14:paraId="0775DA8C" w14:textId="77777777" w:rsidTr="00E51894">
        <w:trPr>
          <w:trHeight w:val="624"/>
          <w:jc w:val="center"/>
        </w:trPr>
        <w:tc>
          <w:tcPr>
            <w:tcW w:w="3001" w:type="dxa"/>
            <w:shd w:val="clear" w:color="auto" w:fill="auto"/>
            <w:vAlign w:val="center"/>
          </w:tcPr>
          <w:p w14:paraId="3DF9CDFC"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Ley Electoral:</w:t>
            </w:r>
          </w:p>
        </w:tc>
        <w:tc>
          <w:tcPr>
            <w:tcW w:w="4347" w:type="dxa"/>
            <w:shd w:val="clear" w:color="auto" w:fill="auto"/>
            <w:vAlign w:val="center"/>
          </w:tcPr>
          <w:p w14:paraId="336010EB"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Ley Electoral y de Partidos Políticos del Estado de Tabasco.</w:t>
            </w:r>
          </w:p>
        </w:tc>
      </w:tr>
      <w:tr w:rsidR="00233361" w:rsidRPr="00B10EE8" w14:paraId="1566EF9D" w14:textId="77777777" w:rsidTr="00E51894">
        <w:trPr>
          <w:trHeight w:val="624"/>
          <w:jc w:val="center"/>
        </w:trPr>
        <w:tc>
          <w:tcPr>
            <w:tcW w:w="3001" w:type="dxa"/>
            <w:shd w:val="clear" w:color="auto" w:fill="auto"/>
            <w:vAlign w:val="center"/>
          </w:tcPr>
          <w:p w14:paraId="4F4DD1CC"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Ley General:</w:t>
            </w:r>
          </w:p>
        </w:tc>
        <w:tc>
          <w:tcPr>
            <w:tcW w:w="4347" w:type="dxa"/>
            <w:shd w:val="clear" w:color="auto" w:fill="auto"/>
            <w:vAlign w:val="center"/>
          </w:tcPr>
          <w:p w14:paraId="77766E00"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Ley General de Instituciones y Procedimientos Electorales.</w:t>
            </w:r>
          </w:p>
        </w:tc>
      </w:tr>
      <w:tr w:rsidR="00233361" w:rsidRPr="00B10EE8" w14:paraId="5A6F82A9" w14:textId="77777777" w:rsidTr="00E51894">
        <w:trPr>
          <w:trHeight w:val="624"/>
          <w:jc w:val="center"/>
        </w:trPr>
        <w:tc>
          <w:tcPr>
            <w:tcW w:w="3001" w:type="dxa"/>
            <w:shd w:val="clear" w:color="auto" w:fill="auto"/>
            <w:vAlign w:val="center"/>
          </w:tcPr>
          <w:p w14:paraId="29030605"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Proceso Electoral Extraordinario:</w:t>
            </w:r>
          </w:p>
        </w:tc>
        <w:tc>
          <w:tcPr>
            <w:tcW w:w="4347" w:type="dxa"/>
            <w:shd w:val="clear" w:color="auto" w:fill="auto"/>
            <w:vAlign w:val="center"/>
          </w:tcPr>
          <w:p w14:paraId="740AB931" w14:textId="77777777" w:rsidR="00233361" w:rsidRPr="00B10EE8" w:rsidRDefault="00233361" w:rsidP="00E51894">
            <w:pPr>
              <w:spacing w:before="120" w:after="120"/>
              <w:rPr>
                <w:rFonts w:ascii="Arial" w:eastAsia="Arial" w:hAnsi="Arial" w:cs="Arial"/>
                <w:sz w:val="20"/>
                <w:szCs w:val="22"/>
              </w:rPr>
            </w:pPr>
            <w:r w:rsidRPr="00B10EE8">
              <w:rPr>
                <w:rFonts w:ascii="Arial" w:hAnsi="Arial" w:cs="Arial"/>
                <w:sz w:val="20"/>
                <w:szCs w:val="22"/>
              </w:rPr>
              <w:t>Proceso Electoral Local Extraordinario para personas juzgadoras del Poder Judicial del Estado de Tabasco 2024 – 2025.</w:t>
            </w:r>
          </w:p>
        </w:tc>
      </w:tr>
      <w:tr w:rsidR="00233361" w:rsidRPr="00B10EE8" w14:paraId="2B79F288" w14:textId="77777777" w:rsidTr="00E51894">
        <w:trPr>
          <w:trHeight w:val="624"/>
          <w:jc w:val="center"/>
        </w:trPr>
        <w:tc>
          <w:tcPr>
            <w:tcW w:w="3001" w:type="dxa"/>
            <w:shd w:val="clear" w:color="auto" w:fill="auto"/>
            <w:vAlign w:val="center"/>
          </w:tcPr>
          <w:p w14:paraId="02F482F6"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Reglamento de Comisiones:</w:t>
            </w:r>
          </w:p>
        </w:tc>
        <w:tc>
          <w:tcPr>
            <w:tcW w:w="4347" w:type="dxa"/>
            <w:shd w:val="clear" w:color="auto" w:fill="auto"/>
            <w:vAlign w:val="center"/>
          </w:tcPr>
          <w:p w14:paraId="7950CA9D"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Reglamento de Comisiones del Consejo Estatal del Instituto Electoral y de Participación Ciudadana de Tabasco.</w:t>
            </w:r>
          </w:p>
        </w:tc>
      </w:tr>
      <w:tr w:rsidR="00233361" w:rsidRPr="00B10EE8" w14:paraId="5E75475E" w14:textId="77777777" w:rsidTr="00E51894">
        <w:trPr>
          <w:trHeight w:val="949"/>
          <w:jc w:val="center"/>
        </w:trPr>
        <w:tc>
          <w:tcPr>
            <w:tcW w:w="3001" w:type="dxa"/>
            <w:shd w:val="clear" w:color="auto" w:fill="auto"/>
            <w:vAlign w:val="center"/>
          </w:tcPr>
          <w:p w14:paraId="005A21CE"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lastRenderedPageBreak/>
              <w:t>Reglamento de Elecciones:</w:t>
            </w:r>
          </w:p>
        </w:tc>
        <w:tc>
          <w:tcPr>
            <w:tcW w:w="4347" w:type="dxa"/>
            <w:shd w:val="clear" w:color="auto" w:fill="auto"/>
            <w:vAlign w:val="center"/>
          </w:tcPr>
          <w:p w14:paraId="1CCF7983"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Reglamento de Elecciones del Instituto Nacional Electoral.</w:t>
            </w:r>
          </w:p>
        </w:tc>
      </w:tr>
      <w:tr w:rsidR="00233361" w:rsidRPr="00B10EE8" w14:paraId="666C19A3" w14:textId="77777777" w:rsidTr="00E51894">
        <w:trPr>
          <w:trHeight w:val="624"/>
          <w:jc w:val="center"/>
        </w:trPr>
        <w:tc>
          <w:tcPr>
            <w:tcW w:w="3001" w:type="dxa"/>
            <w:shd w:val="clear" w:color="auto" w:fill="auto"/>
            <w:vAlign w:val="center"/>
          </w:tcPr>
          <w:p w14:paraId="543FD2E4" w14:textId="77777777" w:rsidR="00233361" w:rsidRPr="00B10EE8" w:rsidRDefault="00233361" w:rsidP="00E51894">
            <w:pPr>
              <w:spacing w:before="120" w:after="120"/>
              <w:jc w:val="right"/>
              <w:rPr>
                <w:rFonts w:ascii="Arial" w:eastAsia="Arial" w:hAnsi="Arial" w:cs="Arial"/>
                <w:b/>
                <w:sz w:val="20"/>
                <w:szCs w:val="22"/>
              </w:rPr>
            </w:pPr>
            <w:r w:rsidRPr="00B10EE8">
              <w:rPr>
                <w:rFonts w:ascii="Arial" w:eastAsia="Arial" w:hAnsi="Arial" w:cs="Arial"/>
                <w:b/>
                <w:sz w:val="20"/>
                <w:szCs w:val="22"/>
              </w:rPr>
              <w:t>Secretaría Ejecutiva:</w:t>
            </w:r>
          </w:p>
        </w:tc>
        <w:tc>
          <w:tcPr>
            <w:tcW w:w="4347" w:type="dxa"/>
            <w:shd w:val="clear" w:color="auto" w:fill="auto"/>
            <w:vAlign w:val="center"/>
          </w:tcPr>
          <w:p w14:paraId="2F8A4454" w14:textId="77777777" w:rsidR="00233361" w:rsidRPr="00B10EE8" w:rsidRDefault="00233361" w:rsidP="00E51894">
            <w:pPr>
              <w:spacing w:before="120" w:after="120"/>
              <w:rPr>
                <w:rFonts w:ascii="Arial" w:eastAsia="Arial" w:hAnsi="Arial" w:cs="Arial"/>
                <w:sz w:val="20"/>
                <w:szCs w:val="22"/>
              </w:rPr>
            </w:pPr>
            <w:r w:rsidRPr="00B10EE8">
              <w:rPr>
                <w:rFonts w:ascii="Arial" w:eastAsia="Arial" w:hAnsi="Arial" w:cs="Arial"/>
                <w:sz w:val="20"/>
                <w:szCs w:val="22"/>
              </w:rPr>
              <w:t>Secretaría Ejecutiva del Instituto Electoral y de Participación Ciudadana de Tabasco.</w:t>
            </w:r>
          </w:p>
        </w:tc>
      </w:tr>
    </w:tbl>
    <w:p w14:paraId="1BD30B62" w14:textId="77777777" w:rsidR="00756803" w:rsidRPr="00B10EE8" w:rsidRDefault="00756803" w:rsidP="001B13DE">
      <w:pPr>
        <w:pStyle w:val="Ttulo1"/>
        <w:keepNext w:val="0"/>
        <w:widowControl w:val="0"/>
        <w:spacing w:line="281" w:lineRule="auto"/>
        <w:rPr>
          <w:rFonts w:ascii="Arial" w:hAnsi="Arial" w:cs="Arial"/>
          <w:color w:val="auto"/>
          <w:sz w:val="24"/>
        </w:rPr>
      </w:pPr>
      <w:r w:rsidRPr="00B10EE8">
        <w:rPr>
          <w:rFonts w:ascii="Arial" w:hAnsi="Arial" w:cs="Arial"/>
          <w:color w:val="auto"/>
          <w:sz w:val="24"/>
        </w:rPr>
        <w:t>Antecedentes</w:t>
      </w:r>
    </w:p>
    <w:p w14:paraId="0A687EDA" w14:textId="77777777"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Fines del Instituto</w:t>
      </w:r>
    </w:p>
    <w:p w14:paraId="65D73946"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A7149EF" w14:textId="77777777" w:rsidR="004C4B83" w:rsidRPr="00B10EE8" w:rsidRDefault="004C4B83" w:rsidP="004C4B83">
      <w:pPr>
        <w:widowControl w:val="0"/>
        <w:rPr>
          <w:rFonts w:ascii="Arial" w:hAnsi="Arial" w:cs="Arial"/>
          <w:sz w:val="22"/>
        </w:rPr>
      </w:pPr>
      <w:r w:rsidRPr="00B10EE8">
        <w:rPr>
          <w:rFonts w:ascii="Arial" w:hAnsi="Arial" w:cs="Arial"/>
          <w:sz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4FCB13DA"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3CC57AB9" w14:textId="77777777"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Integración del órgano superior de dirección</w:t>
      </w:r>
    </w:p>
    <w:p w14:paraId="7F01CD97"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 xml:space="preserve">En términos del artículo 106 de la Ley Electoral, el Consejo Estatal es el órgano superior de </w:t>
      </w:r>
      <w:r w:rsidRPr="00B10EE8">
        <w:rPr>
          <w:rFonts w:ascii="Arial" w:hAnsi="Arial" w:cs="Arial"/>
          <w:sz w:val="22"/>
        </w:rPr>
        <w:lastRenderedPageBreak/>
        <w:t>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3391784"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047C798"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CC0E53E" w14:textId="77777777"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Órganos centrales del Instituto</w:t>
      </w:r>
    </w:p>
    <w:p w14:paraId="2F274FE5"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De acuerdo con el artículo 105 numeral 1 de la Ley Electoral los órganos centrales del Instituto son los siguientes:</w:t>
      </w:r>
    </w:p>
    <w:p w14:paraId="1230CBE7" w14:textId="77777777" w:rsidR="00756803" w:rsidRPr="00B10EE8" w:rsidRDefault="00756803" w:rsidP="001B13DE">
      <w:pPr>
        <w:pStyle w:val="Prrafodelista"/>
        <w:widowControl w:val="0"/>
        <w:numPr>
          <w:ilvl w:val="0"/>
          <w:numId w:val="1"/>
        </w:numPr>
        <w:spacing w:line="281" w:lineRule="auto"/>
        <w:ind w:left="703" w:hanging="703"/>
        <w:rPr>
          <w:rFonts w:ascii="Arial" w:hAnsi="Arial" w:cs="Arial"/>
          <w:sz w:val="22"/>
        </w:rPr>
      </w:pPr>
      <w:r w:rsidRPr="00B10EE8">
        <w:rPr>
          <w:rFonts w:ascii="Arial" w:hAnsi="Arial" w:cs="Arial"/>
          <w:sz w:val="22"/>
        </w:rPr>
        <w:t>Consejo Estatal;</w:t>
      </w:r>
    </w:p>
    <w:p w14:paraId="750B09DF" w14:textId="77777777" w:rsidR="00756803" w:rsidRPr="00B10EE8" w:rsidRDefault="00756803" w:rsidP="001B13DE">
      <w:pPr>
        <w:pStyle w:val="Prrafodelista"/>
        <w:widowControl w:val="0"/>
        <w:numPr>
          <w:ilvl w:val="0"/>
          <w:numId w:val="1"/>
        </w:numPr>
        <w:spacing w:line="281" w:lineRule="auto"/>
        <w:ind w:left="703" w:hanging="703"/>
        <w:rPr>
          <w:rFonts w:ascii="Arial" w:hAnsi="Arial" w:cs="Arial"/>
          <w:sz w:val="22"/>
        </w:rPr>
      </w:pPr>
      <w:r w:rsidRPr="00B10EE8">
        <w:rPr>
          <w:rFonts w:ascii="Arial" w:hAnsi="Arial" w:cs="Arial"/>
          <w:sz w:val="22"/>
        </w:rPr>
        <w:t>Presidencia del Consejo Estatal;</w:t>
      </w:r>
    </w:p>
    <w:p w14:paraId="4386AF9D" w14:textId="77777777" w:rsidR="00756803" w:rsidRPr="00B10EE8" w:rsidRDefault="00756803" w:rsidP="001B13DE">
      <w:pPr>
        <w:pStyle w:val="Prrafodelista"/>
        <w:widowControl w:val="0"/>
        <w:numPr>
          <w:ilvl w:val="0"/>
          <w:numId w:val="1"/>
        </w:numPr>
        <w:spacing w:line="281" w:lineRule="auto"/>
        <w:ind w:left="703" w:hanging="703"/>
        <w:rPr>
          <w:rFonts w:ascii="Arial" w:hAnsi="Arial" w:cs="Arial"/>
          <w:sz w:val="22"/>
        </w:rPr>
      </w:pPr>
      <w:r w:rsidRPr="00B10EE8">
        <w:rPr>
          <w:rFonts w:ascii="Arial" w:hAnsi="Arial" w:cs="Arial"/>
          <w:sz w:val="22"/>
        </w:rPr>
        <w:t>Junta Estatal Ejecutiva;</w:t>
      </w:r>
    </w:p>
    <w:p w14:paraId="210C00C4" w14:textId="77777777" w:rsidR="00756803" w:rsidRPr="00B10EE8" w:rsidRDefault="00756803" w:rsidP="001B13DE">
      <w:pPr>
        <w:pStyle w:val="Prrafodelista"/>
        <w:widowControl w:val="0"/>
        <w:numPr>
          <w:ilvl w:val="0"/>
          <w:numId w:val="1"/>
        </w:numPr>
        <w:spacing w:line="281" w:lineRule="auto"/>
        <w:ind w:left="703" w:hanging="703"/>
        <w:rPr>
          <w:rFonts w:ascii="Arial" w:hAnsi="Arial" w:cs="Arial"/>
          <w:sz w:val="22"/>
        </w:rPr>
      </w:pPr>
      <w:r w:rsidRPr="00B10EE8">
        <w:rPr>
          <w:rFonts w:ascii="Arial" w:hAnsi="Arial" w:cs="Arial"/>
          <w:sz w:val="22"/>
        </w:rPr>
        <w:t>Secretaría Ejecutiva, y</w:t>
      </w:r>
    </w:p>
    <w:p w14:paraId="0060FF78" w14:textId="6500362E" w:rsidR="007E33CF" w:rsidRPr="00B10EE8" w:rsidRDefault="00756803" w:rsidP="001B13DE">
      <w:pPr>
        <w:pStyle w:val="Prrafodelista"/>
        <w:widowControl w:val="0"/>
        <w:numPr>
          <w:ilvl w:val="0"/>
          <w:numId w:val="1"/>
        </w:numPr>
        <w:spacing w:line="281" w:lineRule="auto"/>
        <w:ind w:left="703" w:hanging="703"/>
        <w:rPr>
          <w:rFonts w:ascii="Arial" w:hAnsi="Arial" w:cs="Arial"/>
          <w:sz w:val="22"/>
        </w:rPr>
      </w:pPr>
      <w:r w:rsidRPr="00B10EE8">
        <w:rPr>
          <w:rFonts w:ascii="Arial" w:hAnsi="Arial" w:cs="Arial"/>
          <w:sz w:val="22"/>
        </w:rPr>
        <w:t>Órgano Técnico de Fiscalización.</w:t>
      </w:r>
    </w:p>
    <w:p w14:paraId="06B28CF2" w14:textId="542B781F"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 xml:space="preserve">Reforma Constitucional </w:t>
      </w:r>
    </w:p>
    <w:p w14:paraId="0AD5E1DB"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A463C0A"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lastRenderedPageBreak/>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037A2F4B" w14:textId="77777777"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Inicio del Proceso Electoral Extraordinario</w:t>
      </w:r>
    </w:p>
    <w:p w14:paraId="0174F3B1"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440ED66F" w14:textId="77777777"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Reforma a la Ley Electoral</w:t>
      </w:r>
    </w:p>
    <w:p w14:paraId="08454ABA"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684E22C0" w14:textId="1C0C47F9" w:rsidR="00EC33E1" w:rsidRPr="00B10EE8" w:rsidRDefault="00EC33E1" w:rsidP="001B13DE">
      <w:pPr>
        <w:pStyle w:val="Ttulo2"/>
        <w:keepNext w:val="0"/>
        <w:spacing w:line="281" w:lineRule="auto"/>
        <w:rPr>
          <w:rFonts w:ascii="Arial" w:hAnsi="Arial" w:cs="Arial"/>
          <w:color w:val="auto"/>
          <w:sz w:val="22"/>
        </w:rPr>
      </w:pPr>
      <w:r w:rsidRPr="00B10EE8">
        <w:rPr>
          <w:rFonts w:ascii="Arial" w:hAnsi="Arial" w:cs="Arial"/>
          <w:color w:val="auto"/>
          <w:sz w:val="22"/>
        </w:rPr>
        <w:t xml:space="preserve">Integración de la Comisión </w:t>
      </w:r>
    </w:p>
    <w:p w14:paraId="4B87610B" w14:textId="47CF5B1A" w:rsidR="00EC33E1" w:rsidRPr="00B10EE8" w:rsidRDefault="00EC33E1" w:rsidP="001B13DE">
      <w:pPr>
        <w:widowControl w:val="0"/>
        <w:spacing w:line="281" w:lineRule="auto"/>
        <w:rPr>
          <w:rFonts w:ascii="Arial" w:hAnsi="Arial" w:cs="Arial"/>
          <w:sz w:val="22"/>
        </w:rPr>
      </w:pPr>
      <w:r w:rsidRPr="00B10EE8">
        <w:rPr>
          <w:rFonts w:ascii="Arial" w:hAnsi="Arial" w:cs="Arial"/>
          <w:sz w:val="22"/>
        </w:rPr>
        <w:t xml:space="preserve">El 30 de enero de 2025, mediante acuerdo CE/2025/007, el Consejo Estatal constituyó, entre otras, la Comisión Temporal de Foros de Debates para el Proceso Electoral Extraordinario, la cual quedó integrada por el Consejero Electoral Mtro. Hernán González Sala y las Consejeras Electorales, Licda. Ángela Guadalupe Araujo Segura y Licda. Monserrat Martínez </w:t>
      </w:r>
      <w:proofErr w:type="spellStart"/>
      <w:r w:rsidRPr="00B10EE8">
        <w:rPr>
          <w:rFonts w:ascii="Arial" w:hAnsi="Arial" w:cs="Arial"/>
          <w:sz w:val="22"/>
        </w:rPr>
        <w:t>Beaurregard</w:t>
      </w:r>
      <w:proofErr w:type="spellEnd"/>
      <w:r w:rsidRPr="00B10EE8">
        <w:rPr>
          <w:rFonts w:ascii="Arial" w:hAnsi="Arial" w:cs="Arial"/>
          <w:sz w:val="22"/>
        </w:rPr>
        <w:t>, ésta última, Presidenta de la Comisión.</w:t>
      </w:r>
    </w:p>
    <w:p w14:paraId="56776B3B" w14:textId="77777777" w:rsidR="00756803" w:rsidRPr="00B10EE8" w:rsidRDefault="00756803" w:rsidP="001B13DE">
      <w:pPr>
        <w:pStyle w:val="Ttulo2"/>
        <w:keepNext w:val="0"/>
        <w:spacing w:line="281" w:lineRule="auto"/>
        <w:rPr>
          <w:rFonts w:ascii="Arial" w:hAnsi="Arial" w:cs="Arial"/>
          <w:color w:val="auto"/>
          <w:sz w:val="22"/>
        </w:rPr>
      </w:pPr>
      <w:r w:rsidRPr="00B10EE8">
        <w:rPr>
          <w:rFonts w:ascii="Arial" w:hAnsi="Arial" w:cs="Arial"/>
          <w:color w:val="auto"/>
          <w:sz w:val="22"/>
        </w:rPr>
        <w:t>Jornada electoral</w:t>
      </w:r>
    </w:p>
    <w:p w14:paraId="3E599D89" w14:textId="77777777" w:rsidR="00756803" w:rsidRPr="00B10EE8" w:rsidRDefault="00756803" w:rsidP="001B13DE">
      <w:pPr>
        <w:widowControl w:val="0"/>
        <w:spacing w:line="281" w:lineRule="auto"/>
        <w:rPr>
          <w:rFonts w:ascii="Arial" w:hAnsi="Arial" w:cs="Arial"/>
          <w:sz w:val="22"/>
        </w:rPr>
      </w:pPr>
      <w:r w:rsidRPr="00B10EE8">
        <w:rPr>
          <w:rFonts w:ascii="Arial" w:hAnsi="Arial" w:cs="Arial"/>
          <w:sz w:val="22"/>
        </w:rPr>
        <w:t xml:space="preserve">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w:t>
      </w:r>
      <w:r w:rsidRPr="00B10EE8">
        <w:rPr>
          <w:rFonts w:ascii="Arial" w:hAnsi="Arial" w:cs="Arial"/>
          <w:sz w:val="22"/>
        </w:rPr>
        <w:lastRenderedPageBreak/>
        <w:t>de las y los representantes o militantes de un partido político.</w:t>
      </w:r>
    </w:p>
    <w:p w14:paraId="6D5E1567" w14:textId="77777777" w:rsidR="006321CC" w:rsidRPr="00B10EE8" w:rsidRDefault="006321CC" w:rsidP="001B13DE">
      <w:pPr>
        <w:pStyle w:val="Ttulo2"/>
        <w:keepNext w:val="0"/>
        <w:spacing w:line="281" w:lineRule="auto"/>
        <w:rPr>
          <w:rFonts w:ascii="Arial" w:hAnsi="Arial" w:cs="Arial"/>
          <w:color w:val="auto"/>
          <w:sz w:val="22"/>
        </w:rPr>
      </w:pPr>
      <w:r w:rsidRPr="00B10EE8">
        <w:rPr>
          <w:rFonts w:ascii="Arial" w:hAnsi="Arial" w:cs="Arial"/>
          <w:color w:val="auto"/>
          <w:sz w:val="22"/>
        </w:rPr>
        <w:t>Presentación de la propuesta</w:t>
      </w:r>
    </w:p>
    <w:p w14:paraId="4D680FB8" w14:textId="29D7B5CC" w:rsidR="006321CC" w:rsidRPr="00B10EE8" w:rsidRDefault="006321CC" w:rsidP="001B13DE">
      <w:pPr>
        <w:widowControl w:val="0"/>
        <w:spacing w:line="281" w:lineRule="auto"/>
        <w:rPr>
          <w:rFonts w:ascii="Arial" w:hAnsi="Arial" w:cs="Arial"/>
          <w:sz w:val="22"/>
        </w:rPr>
      </w:pPr>
      <w:r w:rsidRPr="00B10EE8">
        <w:rPr>
          <w:rFonts w:ascii="Arial" w:hAnsi="Arial" w:cs="Arial"/>
          <w:sz w:val="22"/>
        </w:rPr>
        <w:t xml:space="preserve">El </w:t>
      </w:r>
      <w:r w:rsidR="00315B96" w:rsidRPr="00B10EE8">
        <w:rPr>
          <w:rFonts w:ascii="Arial" w:hAnsi="Arial" w:cs="Arial"/>
          <w:sz w:val="22"/>
        </w:rPr>
        <w:t>3</w:t>
      </w:r>
      <w:r w:rsidRPr="00B10EE8">
        <w:rPr>
          <w:rFonts w:ascii="Arial" w:hAnsi="Arial" w:cs="Arial"/>
          <w:sz w:val="22"/>
        </w:rPr>
        <w:t xml:space="preserve"> de abril de 2025, la Secretaria Técnica de la Comisión remitió a la Presidencia del Consejo, la propuesta relativa a la organización de Foros de Debate Virtuales, el Plan de Trabajo, los Lineamientos para su organización, desarrollo y difusión, y la identidad gráfica para el Proceso Electoral Extraordinario formulado por dicha Comisión; lo anterior, para efectos de someterlo a la deliberación de este Consejo Estatal.</w:t>
      </w:r>
    </w:p>
    <w:p w14:paraId="5680874A" w14:textId="6A0B3C40" w:rsidR="00756803" w:rsidRPr="00B10EE8" w:rsidRDefault="00756803" w:rsidP="001B13DE">
      <w:pPr>
        <w:pStyle w:val="Ttulo1"/>
        <w:keepNext w:val="0"/>
        <w:widowControl w:val="0"/>
        <w:spacing w:line="281" w:lineRule="auto"/>
        <w:rPr>
          <w:rFonts w:ascii="Arial" w:hAnsi="Arial" w:cs="Arial"/>
          <w:color w:val="auto"/>
          <w:sz w:val="24"/>
        </w:rPr>
      </w:pPr>
      <w:r w:rsidRPr="00B10EE8">
        <w:rPr>
          <w:rFonts w:ascii="Arial" w:hAnsi="Arial" w:cs="Arial"/>
          <w:color w:val="auto"/>
          <w:sz w:val="24"/>
        </w:rPr>
        <w:t>Considerando</w:t>
      </w:r>
    </w:p>
    <w:p w14:paraId="00F13475" w14:textId="77777777" w:rsidR="00756803" w:rsidRPr="00B10EE8" w:rsidRDefault="00756803"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 xml:space="preserve">Competencia del Consejo Estatal </w:t>
      </w:r>
    </w:p>
    <w:p w14:paraId="1F3CE66B" w14:textId="21D28B48" w:rsidR="00756803" w:rsidRPr="00B10EE8" w:rsidRDefault="00756803" w:rsidP="001B13DE">
      <w:pPr>
        <w:widowControl w:val="0"/>
        <w:spacing w:line="281" w:lineRule="auto"/>
        <w:rPr>
          <w:rFonts w:ascii="Arial" w:hAnsi="Arial" w:cs="Arial"/>
          <w:sz w:val="22"/>
          <w:szCs w:val="22"/>
        </w:rPr>
      </w:pPr>
      <w:r w:rsidRPr="00B10EE8">
        <w:rPr>
          <w:rFonts w:ascii="Arial" w:hAnsi="Arial" w:cs="Arial"/>
          <w:sz w:val="22"/>
          <w:szCs w:val="22"/>
        </w:rPr>
        <w:t>Que, de conformidad con los artículos 115 numeral 1, fracción XL, 393 numeral 1, fracción VI de la Ley Electoral, el Consejo Estatal es competente para organizar el proceso electivo de las personas juzgadoras, su jornada electoral y los cómputos de los resultados electorales, en los términos que determine la Ley General y dicha Ley</w:t>
      </w:r>
      <w:r w:rsidR="00E83E72" w:rsidRPr="00B10EE8">
        <w:rPr>
          <w:rFonts w:ascii="Arial" w:hAnsi="Arial" w:cs="Arial"/>
          <w:sz w:val="22"/>
          <w:szCs w:val="22"/>
        </w:rPr>
        <w:t>, así como organizar y desarrollar, en su caso, foros de debate entre las personas candidatas y establecer las bases para que las instituciones del sector público, privado o social puedan brindar dichos espacios de manera gratuita, vigilando su adecuado desarrollo y la participación de las personas candidatas que lo deseen en condiciones de equidad.</w:t>
      </w:r>
    </w:p>
    <w:p w14:paraId="67432E66"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7A0A6B2A" w14:textId="77777777" w:rsidR="007E33CF" w:rsidRPr="00B10EE8" w:rsidRDefault="007E33CF"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Órganos auxiliares del Consejo Estatal</w:t>
      </w:r>
    </w:p>
    <w:p w14:paraId="7CBE1986" w14:textId="77777777" w:rsidR="007E33CF" w:rsidRPr="00B10EE8" w:rsidRDefault="007E33CF" w:rsidP="001B13DE">
      <w:pPr>
        <w:widowControl w:val="0"/>
        <w:spacing w:line="281" w:lineRule="auto"/>
        <w:rPr>
          <w:rFonts w:ascii="Arial" w:hAnsi="Arial" w:cs="Arial"/>
          <w:sz w:val="22"/>
          <w:szCs w:val="22"/>
        </w:rPr>
      </w:pPr>
      <w:r w:rsidRPr="00B10EE8">
        <w:rPr>
          <w:rFonts w:ascii="Arial" w:hAnsi="Arial" w:cs="Arial"/>
          <w:sz w:val="22"/>
          <w:szCs w:val="22"/>
        </w:rPr>
        <w:t xml:space="preserve">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w:t>
      </w:r>
      <w:r w:rsidRPr="00B10EE8">
        <w:rPr>
          <w:rFonts w:ascii="Arial" w:hAnsi="Arial" w:cs="Arial"/>
          <w:sz w:val="22"/>
          <w:szCs w:val="22"/>
        </w:rPr>
        <w:lastRenderedPageBreak/>
        <w:t>Electoral, salvo la de Vinculación con el Instituto Nacional Electoral, que será presidida por la Consejera o el Consejero Presidente.</w:t>
      </w:r>
    </w:p>
    <w:p w14:paraId="23E61FD8" w14:textId="77777777" w:rsidR="007E33CF" w:rsidRPr="00B10EE8" w:rsidRDefault="007E33CF" w:rsidP="001B13DE">
      <w:pPr>
        <w:widowControl w:val="0"/>
        <w:spacing w:line="281" w:lineRule="auto"/>
        <w:rPr>
          <w:rFonts w:ascii="Arial" w:hAnsi="Arial" w:cs="Arial"/>
          <w:sz w:val="22"/>
          <w:szCs w:val="22"/>
        </w:rPr>
      </w:pPr>
      <w:r w:rsidRPr="00B10EE8">
        <w:rPr>
          <w:rFonts w:ascii="Arial" w:hAnsi="Arial" w:cs="Arial"/>
          <w:sz w:val="22"/>
          <w:szCs w:val="22"/>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3D312653" w14:textId="18C9F517" w:rsidR="007E33CF" w:rsidRPr="00B10EE8" w:rsidRDefault="007E33CF"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Atribuciones de la Comisión</w:t>
      </w:r>
    </w:p>
    <w:p w14:paraId="33700EBB" w14:textId="49F78276" w:rsidR="007E33CF" w:rsidRPr="00B10EE8" w:rsidRDefault="007E33CF" w:rsidP="001B13DE">
      <w:pPr>
        <w:widowControl w:val="0"/>
        <w:spacing w:line="281" w:lineRule="auto"/>
        <w:rPr>
          <w:rFonts w:ascii="Arial" w:hAnsi="Arial" w:cs="Arial"/>
          <w:sz w:val="22"/>
          <w:szCs w:val="22"/>
        </w:rPr>
      </w:pPr>
      <w:r w:rsidRPr="00B10EE8">
        <w:rPr>
          <w:rFonts w:ascii="Arial" w:hAnsi="Arial" w:cs="Arial"/>
          <w:sz w:val="22"/>
          <w:szCs w:val="22"/>
        </w:rPr>
        <w:t>Que, de conformidad con lo previsto por los artículos 113 numerales 1 y 3 de la Ley Electoral; 11, numeral 1, fracción I, 12 numeral 1 fracción I y 17 numeral 3 del Reglamento de Comisiones y acorde a lo señalado en el acuerdo CE/2025/07, la Comisión tiene como objetivo planificar las actividades y desarrollar la propuesta de directrices, reglas y criterios a los que estarán sujetos los debates en cualquiera de sus modalidades, los cuales serán aprobados por el Consejo Estatal, para ello, podrá emitir los acuerdos necesarios para el cumplimiento de sus atribuciones.</w:t>
      </w:r>
    </w:p>
    <w:p w14:paraId="2E34A2E8" w14:textId="77777777" w:rsidR="00E83E72" w:rsidRPr="00B10EE8" w:rsidRDefault="00E83E72"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Proceso electoral de las personas juzgadoras</w:t>
      </w:r>
    </w:p>
    <w:p w14:paraId="345A6564"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0AF06F45" w14:textId="77777777" w:rsidR="00E83E72" w:rsidRPr="00B10EE8" w:rsidRDefault="00E83E72"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Etapas del proceso electoral de las personas juzgadoras</w:t>
      </w:r>
    </w:p>
    <w:p w14:paraId="44E9578C"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Que, el artículo 387 numeral 1 de la Ley Electoral establece que, el proceso de elección de las personas juzgadoras del Poder Judicial comprende las siguientes etapas:</w:t>
      </w:r>
    </w:p>
    <w:p w14:paraId="46D07984" w14:textId="77777777" w:rsidR="00E83E72" w:rsidRPr="00B10EE8" w:rsidRDefault="00E83E72" w:rsidP="001B13DE">
      <w:pPr>
        <w:pStyle w:val="Prrafodelista"/>
        <w:widowControl w:val="0"/>
        <w:numPr>
          <w:ilvl w:val="0"/>
          <w:numId w:val="2"/>
        </w:numPr>
        <w:spacing w:line="281" w:lineRule="auto"/>
        <w:ind w:left="703" w:hanging="703"/>
        <w:rPr>
          <w:rFonts w:ascii="Arial" w:hAnsi="Arial" w:cs="Arial"/>
          <w:sz w:val="22"/>
          <w:szCs w:val="22"/>
        </w:rPr>
      </w:pPr>
      <w:r w:rsidRPr="00B10EE8">
        <w:rPr>
          <w:rFonts w:ascii="Arial" w:hAnsi="Arial" w:cs="Arial"/>
          <w:sz w:val="22"/>
          <w:szCs w:val="22"/>
        </w:rPr>
        <w:t>Preparación de la elección;</w:t>
      </w:r>
    </w:p>
    <w:p w14:paraId="46D286C2" w14:textId="77777777" w:rsidR="00E83E72" w:rsidRPr="00B10EE8" w:rsidRDefault="00E83E72" w:rsidP="001B13DE">
      <w:pPr>
        <w:pStyle w:val="Prrafodelista"/>
        <w:widowControl w:val="0"/>
        <w:numPr>
          <w:ilvl w:val="0"/>
          <w:numId w:val="2"/>
        </w:numPr>
        <w:spacing w:line="281" w:lineRule="auto"/>
        <w:ind w:left="703" w:hanging="703"/>
        <w:rPr>
          <w:rFonts w:ascii="Arial" w:hAnsi="Arial" w:cs="Arial"/>
          <w:sz w:val="22"/>
          <w:szCs w:val="22"/>
        </w:rPr>
      </w:pPr>
      <w:r w:rsidRPr="00B10EE8">
        <w:rPr>
          <w:rFonts w:ascii="Arial" w:hAnsi="Arial" w:cs="Arial"/>
          <w:sz w:val="22"/>
          <w:szCs w:val="22"/>
        </w:rPr>
        <w:t>Convocatoria y postulación de candidaturas;</w:t>
      </w:r>
    </w:p>
    <w:p w14:paraId="15889719" w14:textId="77777777" w:rsidR="00E83E72" w:rsidRPr="00B10EE8" w:rsidRDefault="00E83E72" w:rsidP="001B13DE">
      <w:pPr>
        <w:pStyle w:val="Prrafodelista"/>
        <w:widowControl w:val="0"/>
        <w:numPr>
          <w:ilvl w:val="0"/>
          <w:numId w:val="2"/>
        </w:numPr>
        <w:spacing w:line="281" w:lineRule="auto"/>
        <w:ind w:left="703" w:hanging="703"/>
        <w:rPr>
          <w:rFonts w:ascii="Arial" w:hAnsi="Arial" w:cs="Arial"/>
          <w:sz w:val="22"/>
          <w:szCs w:val="22"/>
        </w:rPr>
      </w:pPr>
      <w:r w:rsidRPr="00B10EE8">
        <w:rPr>
          <w:rFonts w:ascii="Arial" w:hAnsi="Arial" w:cs="Arial"/>
          <w:sz w:val="22"/>
          <w:szCs w:val="22"/>
        </w:rPr>
        <w:t>Jornada electoral;</w:t>
      </w:r>
    </w:p>
    <w:p w14:paraId="34194CA9" w14:textId="77777777" w:rsidR="00E83E72" w:rsidRPr="00B10EE8" w:rsidRDefault="00E83E72" w:rsidP="001B13DE">
      <w:pPr>
        <w:pStyle w:val="Prrafodelista"/>
        <w:widowControl w:val="0"/>
        <w:numPr>
          <w:ilvl w:val="0"/>
          <w:numId w:val="2"/>
        </w:numPr>
        <w:spacing w:line="281" w:lineRule="auto"/>
        <w:ind w:left="703" w:hanging="703"/>
        <w:rPr>
          <w:rFonts w:ascii="Arial" w:hAnsi="Arial" w:cs="Arial"/>
          <w:sz w:val="22"/>
          <w:szCs w:val="22"/>
        </w:rPr>
      </w:pPr>
      <w:r w:rsidRPr="00B10EE8">
        <w:rPr>
          <w:rFonts w:ascii="Arial" w:hAnsi="Arial" w:cs="Arial"/>
          <w:sz w:val="22"/>
          <w:szCs w:val="22"/>
        </w:rPr>
        <w:t>Cómputos y sumatoria;</w:t>
      </w:r>
    </w:p>
    <w:p w14:paraId="499EBA2C" w14:textId="77777777" w:rsidR="00E83E72" w:rsidRPr="00B10EE8" w:rsidRDefault="00E83E72" w:rsidP="001B13DE">
      <w:pPr>
        <w:pStyle w:val="Prrafodelista"/>
        <w:widowControl w:val="0"/>
        <w:numPr>
          <w:ilvl w:val="0"/>
          <w:numId w:val="2"/>
        </w:numPr>
        <w:spacing w:line="281" w:lineRule="auto"/>
        <w:ind w:left="703" w:hanging="703"/>
        <w:rPr>
          <w:rFonts w:ascii="Arial" w:hAnsi="Arial" w:cs="Arial"/>
          <w:sz w:val="22"/>
          <w:szCs w:val="22"/>
        </w:rPr>
      </w:pPr>
      <w:r w:rsidRPr="00B10EE8">
        <w:rPr>
          <w:rFonts w:ascii="Arial" w:hAnsi="Arial" w:cs="Arial"/>
          <w:sz w:val="22"/>
          <w:szCs w:val="22"/>
        </w:rPr>
        <w:t>Asignación de cargos, y</w:t>
      </w:r>
    </w:p>
    <w:p w14:paraId="69590E76" w14:textId="77777777" w:rsidR="00E83E72" w:rsidRPr="00B10EE8" w:rsidRDefault="00E83E72" w:rsidP="001B13DE">
      <w:pPr>
        <w:pStyle w:val="Prrafodelista"/>
        <w:widowControl w:val="0"/>
        <w:numPr>
          <w:ilvl w:val="0"/>
          <w:numId w:val="2"/>
        </w:numPr>
        <w:spacing w:line="281" w:lineRule="auto"/>
        <w:ind w:left="703" w:hanging="703"/>
        <w:rPr>
          <w:rFonts w:ascii="Arial" w:hAnsi="Arial" w:cs="Arial"/>
          <w:sz w:val="22"/>
          <w:szCs w:val="22"/>
        </w:rPr>
      </w:pPr>
      <w:r w:rsidRPr="00B10EE8">
        <w:rPr>
          <w:rFonts w:ascii="Arial" w:hAnsi="Arial" w:cs="Arial"/>
          <w:sz w:val="22"/>
          <w:szCs w:val="22"/>
        </w:rPr>
        <w:t>La entrega de constancias de mayoría y declaración de validez de la elección.</w:t>
      </w:r>
    </w:p>
    <w:p w14:paraId="188CB4F6"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 xml:space="preserve">En términos del numeral 2 del artículo en cita, la etapa de preparación de la elección inicia </w:t>
      </w:r>
      <w:r w:rsidRPr="00B10EE8">
        <w:rPr>
          <w:rFonts w:ascii="Arial" w:hAnsi="Arial" w:cs="Arial"/>
          <w:sz w:val="22"/>
          <w:szCs w:val="22"/>
        </w:rPr>
        <w:lastRenderedPageBreak/>
        <w:t>con la primera sesión que el Instituto celebre en los primeros siete días del mes de septiembre del año anterior a la elección, y concluye al iniciarse la jornada electoral.</w:t>
      </w:r>
    </w:p>
    <w:p w14:paraId="69071104"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4F24A383"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4BA1C95B"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18B69010"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2EC16DC9"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4D9D85CB" w14:textId="77777777" w:rsidR="00E83E72" w:rsidRPr="00B10EE8" w:rsidRDefault="00E83E72"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Derecho de la ciudadanía a participar en los procesos de selección y evaluación de candidaturas</w:t>
      </w:r>
    </w:p>
    <w:p w14:paraId="2F22AB6B"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6016E636" w14:textId="77777777" w:rsidR="00E83E72" w:rsidRPr="00B10EE8" w:rsidRDefault="00E83E72"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lastRenderedPageBreak/>
        <w:t>Cargos por elegir en el Proceso Electoral Extraordinario</w:t>
      </w:r>
    </w:p>
    <w:p w14:paraId="698A8440"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020074E7" w14:textId="77777777" w:rsidR="00E83E72" w:rsidRPr="00B10EE8" w:rsidRDefault="00E83E72" w:rsidP="001B13DE">
      <w:pPr>
        <w:widowControl w:val="0"/>
        <w:spacing w:line="281" w:lineRule="auto"/>
        <w:rPr>
          <w:rFonts w:ascii="Arial" w:hAnsi="Arial" w:cs="Arial"/>
          <w:sz w:val="22"/>
          <w:szCs w:val="22"/>
        </w:rPr>
      </w:pPr>
      <w:r w:rsidRPr="00B10EE8">
        <w:rPr>
          <w:rFonts w:ascii="Arial" w:hAnsi="Arial" w:cs="Arial"/>
          <w:sz w:val="22"/>
          <w:szCs w:val="22"/>
        </w:rPr>
        <w:t>En ese sentido, para el Proceso Electoral Extraordinario se elegirán 72 cargos de elección, distribuidos de acuerdo con la siguiente forma y especialidad:</w:t>
      </w:r>
    </w:p>
    <w:p w14:paraId="669179BD"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5 Magistraturas del Tribunal de Disciplina Judicial;</w:t>
      </w:r>
    </w:p>
    <w:p w14:paraId="75F82DDD"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12 Magistraturas del Pleno del Tribunal Superior de Justicia;</w:t>
      </w:r>
    </w:p>
    <w:p w14:paraId="4D045ED6"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19 juezas y jueces civiles;</w:t>
      </w:r>
    </w:p>
    <w:p w14:paraId="3BB712C8"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27 juezas y jueces en materia de oralidad penal;</w:t>
      </w:r>
    </w:p>
    <w:p w14:paraId="795850BA"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3 juezas y jueces en materia familiar;</w:t>
      </w:r>
    </w:p>
    <w:p w14:paraId="4C1DFA1D"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1 jueza o juez en materia de oralidad mercantil; y</w:t>
      </w:r>
    </w:p>
    <w:p w14:paraId="3510FED5" w14:textId="77777777" w:rsidR="00E83E72" w:rsidRPr="00B10EE8" w:rsidRDefault="00E83E72" w:rsidP="001B13DE">
      <w:pPr>
        <w:pStyle w:val="Prrafodelista"/>
        <w:widowControl w:val="0"/>
        <w:numPr>
          <w:ilvl w:val="0"/>
          <w:numId w:val="3"/>
        </w:numPr>
        <w:spacing w:line="281" w:lineRule="auto"/>
        <w:ind w:left="703" w:hanging="703"/>
        <w:rPr>
          <w:rFonts w:ascii="Arial" w:hAnsi="Arial" w:cs="Arial"/>
          <w:sz w:val="22"/>
          <w:szCs w:val="22"/>
        </w:rPr>
      </w:pPr>
      <w:r w:rsidRPr="00B10EE8">
        <w:rPr>
          <w:rFonts w:ascii="Arial" w:hAnsi="Arial" w:cs="Arial"/>
          <w:sz w:val="22"/>
          <w:szCs w:val="22"/>
        </w:rPr>
        <w:t>5 juezas y jueces en materia laboral.</w:t>
      </w:r>
    </w:p>
    <w:p w14:paraId="08829C95" w14:textId="6975CF80" w:rsidR="007E33CF" w:rsidRPr="00B10EE8" w:rsidRDefault="005C12F6"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Regulación de los debates</w:t>
      </w:r>
    </w:p>
    <w:p w14:paraId="308D37D5" w14:textId="5EA4F847" w:rsidR="005C12F6" w:rsidRPr="00B10EE8" w:rsidRDefault="005C12F6" w:rsidP="001B13DE">
      <w:pPr>
        <w:widowControl w:val="0"/>
        <w:spacing w:line="281" w:lineRule="auto"/>
        <w:rPr>
          <w:rFonts w:ascii="Arial" w:hAnsi="Arial" w:cs="Arial"/>
          <w:sz w:val="22"/>
          <w:szCs w:val="22"/>
        </w:rPr>
      </w:pPr>
      <w:r w:rsidRPr="00B10EE8">
        <w:rPr>
          <w:rFonts w:ascii="Arial" w:hAnsi="Arial" w:cs="Arial"/>
          <w:sz w:val="22"/>
          <w:szCs w:val="22"/>
        </w:rPr>
        <w:t>Que, de conformidad con el artículo 303 numeral 2 del Reglamento de Elecciones las disposiciones generales que regulan los debates podrán servir de base o criterios orientadores para los organismos electorales en la organización de debates que realicen entre las personas candidatas que participen en elecciones locales, siempre y cuando no contravengan lo que, en su caso, se establezca en sus legislaciones estatales.</w:t>
      </w:r>
    </w:p>
    <w:p w14:paraId="650C650C" w14:textId="29BFD0FB" w:rsidR="005C12F6" w:rsidRPr="00B10EE8" w:rsidRDefault="00DF1E6C"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Objetivo de los d</w:t>
      </w:r>
      <w:r w:rsidR="005C12F6" w:rsidRPr="00B10EE8">
        <w:rPr>
          <w:rFonts w:ascii="Arial" w:hAnsi="Arial" w:cs="Arial"/>
          <w:color w:val="auto"/>
          <w:sz w:val="22"/>
          <w:szCs w:val="22"/>
        </w:rPr>
        <w:t>ebates</w:t>
      </w:r>
    </w:p>
    <w:p w14:paraId="3E096FC1" w14:textId="60526083" w:rsidR="005C12F6" w:rsidRPr="00B10EE8" w:rsidRDefault="005C12F6" w:rsidP="001B13DE">
      <w:pPr>
        <w:widowControl w:val="0"/>
        <w:spacing w:line="281" w:lineRule="auto"/>
        <w:rPr>
          <w:rFonts w:ascii="Arial" w:hAnsi="Arial" w:cs="Arial"/>
          <w:sz w:val="22"/>
          <w:szCs w:val="22"/>
        </w:rPr>
      </w:pPr>
      <w:r w:rsidRPr="00B10EE8">
        <w:rPr>
          <w:rFonts w:ascii="Arial" w:hAnsi="Arial" w:cs="Arial"/>
          <w:sz w:val="22"/>
          <w:szCs w:val="22"/>
        </w:rPr>
        <w:t>Que, de acuerdo con el artículo 304 numeral 1 del Reglamento de Elecciones, los debates tienen por objeto proporcionar a la sociedad la difusión y confrontación de las ideas, programas y plataformas electorales de las candidaturas, por lo que, en su celebración, se asegurará el más amplio ejercicio de la libertad de expresión, garantizando condiciones de equidad en el formato, trato igualitario y el concurso de quienes participan en ésta.</w:t>
      </w:r>
    </w:p>
    <w:p w14:paraId="6111057D" w14:textId="56AF7CC0" w:rsidR="005C12F6" w:rsidRPr="00B10EE8" w:rsidRDefault="00DF1E6C" w:rsidP="001B13DE">
      <w:pPr>
        <w:pStyle w:val="Ttulo2"/>
        <w:keepNext w:val="0"/>
        <w:spacing w:line="281" w:lineRule="auto"/>
        <w:rPr>
          <w:rFonts w:ascii="Arial" w:hAnsi="Arial" w:cs="Arial"/>
          <w:color w:val="auto"/>
          <w:sz w:val="22"/>
          <w:szCs w:val="22"/>
        </w:rPr>
      </w:pPr>
      <w:r w:rsidRPr="00B10EE8">
        <w:rPr>
          <w:rFonts w:ascii="Arial" w:hAnsi="Arial" w:cs="Arial"/>
          <w:color w:val="auto"/>
          <w:sz w:val="22"/>
          <w:szCs w:val="22"/>
        </w:rPr>
        <w:t xml:space="preserve">Propuesta de </w:t>
      </w:r>
      <w:r w:rsidR="005F00C3" w:rsidRPr="00B10EE8">
        <w:rPr>
          <w:rFonts w:ascii="Arial" w:hAnsi="Arial" w:cs="Arial"/>
          <w:color w:val="auto"/>
          <w:sz w:val="22"/>
          <w:szCs w:val="22"/>
        </w:rPr>
        <w:t>F</w:t>
      </w:r>
      <w:r w:rsidRPr="00B10EE8">
        <w:rPr>
          <w:rFonts w:ascii="Arial" w:hAnsi="Arial" w:cs="Arial"/>
          <w:color w:val="auto"/>
          <w:sz w:val="22"/>
          <w:szCs w:val="22"/>
        </w:rPr>
        <w:t xml:space="preserve">oros de </w:t>
      </w:r>
      <w:r w:rsidR="005F00C3" w:rsidRPr="00B10EE8">
        <w:rPr>
          <w:rFonts w:ascii="Arial" w:hAnsi="Arial" w:cs="Arial"/>
          <w:color w:val="auto"/>
          <w:sz w:val="22"/>
          <w:szCs w:val="22"/>
        </w:rPr>
        <w:t>D</w:t>
      </w:r>
      <w:r w:rsidRPr="00B10EE8">
        <w:rPr>
          <w:rFonts w:ascii="Arial" w:hAnsi="Arial" w:cs="Arial"/>
          <w:color w:val="auto"/>
          <w:sz w:val="22"/>
          <w:szCs w:val="22"/>
        </w:rPr>
        <w:t>ebate</w:t>
      </w:r>
    </w:p>
    <w:p w14:paraId="294749A9" w14:textId="1B8E4C9C" w:rsidR="00112C95" w:rsidRPr="00B10EE8" w:rsidRDefault="00DF1E6C" w:rsidP="001B13DE">
      <w:pPr>
        <w:widowControl w:val="0"/>
        <w:spacing w:line="281" w:lineRule="auto"/>
        <w:rPr>
          <w:rFonts w:ascii="Arial" w:hAnsi="Arial" w:cs="Arial"/>
          <w:sz w:val="22"/>
          <w:szCs w:val="22"/>
        </w:rPr>
      </w:pPr>
      <w:r w:rsidRPr="00B10EE8">
        <w:rPr>
          <w:rFonts w:ascii="Arial" w:hAnsi="Arial" w:cs="Arial"/>
          <w:sz w:val="22"/>
          <w:szCs w:val="22"/>
        </w:rPr>
        <w:t xml:space="preserve">Que, conforme a las consideraciones señalas, el Instituto cuenta con la facultad de organizar y promover la celebración de </w:t>
      </w:r>
      <w:r w:rsidR="005F00C3" w:rsidRPr="00B10EE8">
        <w:rPr>
          <w:rFonts w:ascii="Arial" w:hAnsi="Arial" w:cs="Arial"/>
          <w:sz w:val="22"/>
          <w:szCs w:val="22"/>
        </w:rPr>
        <w:t xml:space="preserve">Foros </w:t>
      </w:r>
      <w:r w:rsidRPr="00B10EE8">
        <w:rPr>
          <w:rFonts w:ascii="Arial" w:hAnsi="Arial" w:cs="Arial"/>
          <w:sz w:val="22"/>
          <w:szCs w:val="22"/>
        </w:rPr>
        <w:t xml:space="preserve">de </w:t>
      </w:r>
      <w:r w:rsidR="005F00C3" w:rsidRPr="00B10EE8">
        <w:rPr>
          <w:rFonts w:ascii="Arial" w:hAnsi="Arial" w:cs="Arial"/>
          <w:sz w:val="22"/>
          <w:szCs w:val="22"/>
        </w:rPr>
        <w:t>Debates</w:t>
      </w:r>
      <w:r w:rsidRPr="00B10EE8">
        <w:rPr>
          <w:rFonts w:ascii="Arial" w:hAnsi="Arial" w:cs="Arial"/>
          <w:sz w:val="22"/>
          <w:szCs w:val="22"/>
        </w:rPr>
        <w:t xml:space="preserve">. Para este Instituto, resulta </w:t>
      </w:r>
      <w:r w:rsidRPr="00B10EE8">
        <w:rPr>
          <w:rFonts w:ascii="Arial" w:hAnsi="Arial" w:cs="Arial"/>
          <w:sz w:val="22"/>
          <w:szCs w:val="22"/>
        </w:rPr>
        <w:lastRenderedPageBreak/>
        <w:t>trascendente en la vida democrática, la difusión de ideas que propicien la participación ciudadana. Para ello, al igual que en procesos electorales anterior</w:t>
      </w:r>
      <w:r w:rsidR="0032344A" w:rsidRPr="00B10EE8">
        <w:rPr>
          <w:rFonts w:ascii="Arial" w:hAnsi="Arial" w:cs="Arial"/>
          <w:sz w:val="22"/>
          <w:szCs w:val="22"/>
        </w:rPr>
        <w:t>es</w:t>
      </w:r>
      <w:r w:rsidRPr="00B10EE8">
        <w:rPr>
          <w:rFonts w:ascii="Arial" w:hAnsi="Arial" w:cs="Arial"/>
          <w:sz w:val="22"/>
          <w:szCs w:val="22"/>
        </w:rPr>
        <w:t>, ha asumido el compromiso de fomentar la transparencia, máxima publicidad, el acceso a la información en la difusión de las propuestas de quienes aspiran a ocupar un cargo de elección, en este caso, dentro del Poder Judicial del Estado.</w:t>
      </w:r>
    </w:p>
    <w:p w14:paraId="144DB94E" w14:textId="77777777" w:rsidR="00F52DE5" w:rsidRPr="00B10EE8" w:rsidRDefault="00F52DE5" w:rsidP="001B13DE">
      <w:pPr>
        <w:widowControl w:val="0"/>
        <w:spacing w:line="281" w:lineRule="auto"/>
        <w:rPr>
          <w:rFonts w:ascii="Arial" w:hAnsi="Arial" w:cs="Arial"/>
          <w:sz w:val="22"/>
          <w:szCs w:val="22"/>
        </w:rPr>
      </w:pPr>
      <w:r w:rsidRPr="00B10EE8">
        <w:rPr>
          <w:rFonts w:ascii="Arial" w:hAnsi="Arial" w:cs="Arial"/>
          <w:sz w:val="22"/>
          <w:szCs w:val="22"/>
        </w:rPr>
        <w:t>Ahora bien, derivado del análisis del número de candidaturas y de la posible cantidad de debates que podrían solicitarse, la Comisión concluye que el Instituto no cuenta con la capacidad técnica y operativa para organizar Foros de Debate entre jueces y juezas por especialidad de manera equitativa. Si bien podría plantearse la posibilidad de que estos foros fueran gestionados por los Consejos Distritales, su realización no se limita únicamente a la organización y convocatoria, sino que también requiere de una implementación logística, asistencia técnica y monitoreo que, por la naturaleza del ejercicio y el uso de plataformas tecnológicas, deben ser coordinados desde el órgano central, sin embargo, los citados órganos desconcentrados no cuentan con el personal técnico especializado necesario para garantizar el correcto desarrollo de estos foros.</w:t>
      </w:r>
    </w:p>
    <w:p w14:paraId="04CAA4A7" w14:textId="720E37C6" w:rsidR="00F52DE5" w:rsidRPr="00B10EE8" w:rsidRDefault="00F52DE5" w:rsidP="001B13DE">
      <w:pPr>
        <w:widowControl w:val="0"/>
        <w:spacing w:line="281" w:lineRule="auto"/>
        <w:rPr>
          <w:rFonts w:ascii="Arial" w:hAnsi="Arial" w:cs="Arial"/>
          <w:sz w:val="22"/>
          <w:szCs w:val="22"/>
        </w:rPr>
      </w:pPr>
      <w:r w:rsidRPr="00B10EE8">
        <w:rPr>
          <w:rFonts w:ascii="Arial" w:hAnsi="Arial" w:cs="Arial"/>
          <w:sz w:val="22"/>
          <w:szCs w:val="22"/>
        </w:rPr>
        <w:t>Adicionalmente, atender estos ejercicios implicaría una carga laboral desproporcionada para el personal del Instituto, ya que se estima que se generarían aproximadamente 30 debates adicionales entre jueces y juezas por especialidad, los cuales tendrían que programarse en horarios específicos, (por la tarde) debido a que, aquellas candidaturas en funciones tendrían dificultades de participar en condiciones de equidad en estos ejercicios durante el horario laboral, pues debido a que se tratan de servidores públicos, sus actos de promoción para posicionarse ante la ciudadanía con propósitos electorales, únicamente pueden realizarse fuera de su horario de labores</w:t>
      </w:r>
      <w:r w:rsidRPr="00B10EE8">
        <w:rPr>
          <w:rStyle w:val="Refdenotaalpie"/>
          <w:rFonts w:ascii="Arial" w:hAnsi="Arial" w:cs="Arial"/>
          <w:sz w:val="22"/>
          <w:szCs w:val="22"/>
        </w:rPr>
        <w:footnoteReference w:id="1"/>
      </w:r>
      <w:r w:rsidRPr="00B10EE8">
        <w:rPr>
          <w:rFonts w:ascii="Arial" w:hAnsi="Arial" w:cs="Arial"/>
          <w:sz w:val="22"/>
          <w:szCs w:val="22"/>
        </w:rPr>
        <w:t xml:space="preserve"> , a fin de evitar el uso de recursos públicos.</w:t>
      </w:r>
    </w:p>
    <w:p w14:paraId="10D3743B" w14:textId="6D1B60CC" w:rsidR="00F52DE5" w:rsidRPr="00B10EE8" w:rsidRDefault="00F52DE5" w:rsidP="001B13DE">
      <w:pPr>
        <w:widowControl w:val="0"/>
        <w:spacing w:line="281" w:lineRule="auto"/>
        <w:rPr>
          <w:rFonts w:ascii="Arial" w:hAnsi="Arial" w:cs="Arial"/>
          <w:sz w:val="22"/>
          <w:szCs w:val="22"/>
        </w:rPr>
      </w:pPr>
      <w:r w:rsidRPr="00B10EE8">
        <w:rPr>
          <w:rFonts w:ascii="Arial" w:hAnsi="Arial" w:cs="Arial"/>
          <w:sz w:val="22"/>
          <w:szCs w:val="22"/>
        </w:rPr>
        <w:t>Además, la organización de un Foro de Debate implica la asignación de personal técnico para el monitoreo de cada debate, la gestión de enlaces de transmisión, la elaboración de plecas de identificación, la asistencia técnica antes y durante los eventos, así como la capacitación de las personas propuestas como moderadoras, máxime que no es la única actividad que las áreas del Instituto deben atender en el marco del presente proceso electoral.</w:t>
      </w:r>
    </w:p>
    <w:p w14:paraId="4226917B" w14:textId="731C2230" w:rsidR="00DF1E6C" w:rsidRPr="00B10EE8" w:rsidRDefault="00DF1E6C" w:rsidP="001B13DE">
      <w:pPr>
        <w:widowControl w:val="0"/>
        <w:spacing w:line="281" w:lineRule="auto"/>
        <w:rPr>
          <w:rFonts w:ascii="Arial" w:hAnsi="Arial" w:cs="Arial"/>
          <w:sz w:val="22"/>
          <w:szCs w:val="22"/>
        </w:rPr>
      </w:pPr>
      <w:r w:rsidRPr="00B10EE8">
        <w:rPr>
          <w:rFonts w:ascii="Arial" w:hAnsi="Arial" w:cs="Arial"/>
          <w:sz w:val="22"/>
          <w:szCs w:val="22"/>
        </w:rPr>
        <w:t xml:space="preserve">Sobre esa base, esta Comisión considera viable la celebración de </w:t>
      </w:r>
      <w:r w:rsidR="005F00C3" w:rsidRPr="00B10EE8">
        <w:rPr>
          <w:rFonts w:ascii="Arial" w:hAnsi="Arial" w:cs="Arial"/>
          <w:sz w:val="22"/>
          <w:szCs w:val="22"/>
        </w:rPr>
        <w:t xml:space="preserve">Foros </w:t>
      </w:r>
      <w:r w:rsidR="001B4D3F" w:rsidRPr="00B10EE8">
        <w:rPr>
          <w:rFonts w:ascii="Arial" w:hAnsi="Arial" w:cs="Arial"/>
          <w:sz w:val="22"/>
          <w:szCs w:val="22"/>
        </w:rPr>
        <w:t xml:space="preserve">de </w:t>
      </w:r>
      <w:r w:rsidR="005F00C3" w:rsidRPr="00B10EE8">
        <w:rPr>
          <w:rFonts w:ascii="Arial" w:hAnsi="Arial" w:cs="Arial"/>
          <w:sz w:val="22"/>
          <w:szCs w:val="22"/>
        </w:rPr>
        <w:t xml:space="preserve">Debates </w:t>
      </w:r>
      <w:r w:rsidR="00EB1983" w:rsidRPr="00B10EE8">
        <w:rPr>
          <w:rFonts w:ascii="Arial" w:hAnsi="Arial" w:cs="Arial"/>
          <w:sz w:val="22"/>
          <w:szCs w:val="22"/>
        </w:rPr>
        <w:t>para el Proceso Electoral Extraordinario, únicamente entre las candidatas y candidatos a Magistraturas del Tribunal de Disciplina Judicial y del Tribunal Superior de Justicia, por ser los cargos de mayor decisión en el Poder Judicial del Estado.</w:t>
      </w:r>
      <w:r w:rsidR="001B4D3F" w:rsidRPr="00B10EE8">
        <w:rPr>
          <w:rFonts w:ascii="Arial" w:hAnsi="Arial" w:cs="Arial"/>
          <w:sz w:val="22"/>
          <w:szCs w:val="22"/>
        </w:rPr>
        <w:t xml:space="preserve"> La propuesta implica la </w:t>
      </w:r>
      <w:r w:rsidR="001B4D3F" w:rsidRPr="00B10EE8">
        <w:rPr>
          <w:rFonts w:ascii="Arial" w:hAnsi="Arial" w:cs="Arial"/>
          <w:sz w:val="22"/>
          <w:szCs w:val="22"/>
        </w:rPr>
        <w:lastRenderedPageBreak/>
        <w:t xml:space="preserve">organización de foros de debate, pero </w:t>
      </w:r>
      <w:r w:rsidR="00EB1983" w:rsidRPr="00B10EE8">
        <w:rPr>
          <w:rFonts w:ascii="Arial" w:hAnsi="Arial" w:cs="Arial"/>
          <w:sz w:val="22"/>
          <w:szCs w:val="22"/>
        </w:rPr>
        <w:t xml:space="preserve">en la modalidad virtual; esto, considerando </w:t>
      </w:r>
      <w:r w:rsidR="001B4D3F" w:rsidRPr="00B10EE8">
        <w:rPr>
          <w:rFonts w:ascii="Arial" w:hAnsi="Arial" w:cs="Arial"/>
          <w:sz w:val="22"/>
          <w:szCs w:val="22"/>
        </w:rPr>
        <w:t xml:space="preserve">la asignación presupuestal del Instituto para la organización de la contienda electoral y con apego a los </w:t>
      </w:r>
      <w:r w:rsidR="00EB1983" w:rsidRPr="00B10EE8">
        <w:rPr>
          <w:rFonts w:ascii="Arial" w:hAnsi="Arial" w:cs="Arial"/>
          <w:sz w:val="22"/>
          <w:szCs w:val="22"/>
        </w:rPr>
        <w:t xml:space="preserve">principios de austeridad, proporcionalidad y racionalidad que rigen el presupuesto. </w:t>
      </w:r>
    </w:p>
    <w:p w14:paraId="20E97A8F" w14:textId="5E8150E8" w:rsidR="00112C95" w:rsidRPr="00B10EE8" w:rsidRDefault="00112C95" w:rsidP="001B13DE">
      <w:pPr>
        <w:widowControl w:val="0"/>
        <w:spacing w:line="281" w:lineRule="auto"/>
        <w:rPr>
          <w:rFonts w:ascii="Arial" w:hAnsi="Arial" w:cs="Arial"/>
          <w:sz w:val="22"/>
          <w:szCs w:val="22"/>
        </w:rPr>
      </w:pPr>
      <w:r w:rsidRPr="00B10EE8">
        <w:rPr>
          <w:rFonts w:ascii="Arial" w:hAnsi="Arial" w:cs="Arial"/>
          <w:sz w:val="22"/>
          <w:szCs w:val="22"/>
        </w:rPr>
        <w:t>No obstante, si bien no se considera viable organizar foros de debate entre jue</w:t>
      </w:r>
      <w:r w:rsidR="00AE04A3" w:rsidRPr="00B10EE8">
        <w:rPr>
          <w:rFonts w:ascii="Arial" w:hAnsi="Arial" w:cs="Arial"/>
          <w:sz w:val="22"/>
          <w:szCs w:val="22"/>
        </w:rPr>
        <w:t>za</w:t>
      </w:r>
      <w:r w:rsidR="007B6820" w:rsidRPr="00B10EE8">
        <w:rPr>
          <w:rFonts w:ascii="Arial" w:hAnsi="Arial" w:cs="Arial"/>
          <w:sz w:val="22"/>
          <w:szCs w:val="22"/>
        </w:rPr>
        <w:t>s</w:t>
      </w:r>
      <w:r w:rsidRPr="00B10EE8">
        <w:rPr>
          <w:rFonts w:ascii="Arial" w:hAnsi="Arial" w:cs="Arial"/>
          <w:sz w:val="22"/>
          <w:szCs w:val="22"/>
        </w:rPr>
        <w:t xml:space="preserve"> y </w:t>
      </w:r>
      <w:r w:rsidR="00AE04A3" w:rsidRPr="00B10EE8">
        <w:rPr>
          <w:rFonts w:ascii="Arial" w:hAnsi="Arial" w:cs="Arial"/>
          <w:sz w:val="22"/>
          <w:szCs w:val="22"/>
        </w:rPr>
        <w:t xml:space="preserve">jueces </w:t>
      </w:r>
      <w:r w:rsidRPr="00B10EE8">
        <w:rPr>
          <w:rFonts w:ascii="Arial" w:hAnsi="Arial" w:cs="Arial"/>
          <w:sz w:val="22"/>
          <w:szCs w:val="22"/>
        </w:rPr>
        <w:t>por especialidad, esta Comisión propone la implementación de espacios digitales alternos para que dichas candidaturas puedan emitir mensajes en los que, a través de videos y bajo parámetros de equidad, difundan sus perfiles, trayectorias o propuestas en temas específicos.</w:t>
      </w:r>
    </w:p>
    <w:p w14:paraId="0C5D25DA" w14:textId="13DD3277" w:rsidR="00C41FA0" w:rsidRPr="00B10EE8" w:rsidRDefault="00C41FA0" w:rsidP="001B13DE">
      <w:pPr>
        <w:widowControl w:val="0"/>
        <w:spacing w:line="281" w:lineRule="auto"/>
        <w:rPr>
          <w:rFonts w:ascii="Arial" w:hAnsi="Arial" w:cs="Arial"/>
          <w:b/>
          <w:bCs/>
          <w:sz w:val="22"/>
          <w:szCs w:val="22"/>
        </w:rPr>
      </w:pPr>
      <w:r w:rsidRPr="00B10EE8">
        <w:rPr>
          <w:rFonts w:ascii="Arial" w:hAnsi="Arial" w:cs="Arial"/>
          <w:sz w:val="22"/>
          <w:szCs w:val="22"/>
        </w:rPr>
        <w:t xml:space="preserve">Es importante señalar que, los </w:t>
      </w:r>
      <w:r w:rsidR="00112C95" w:rsidRPr="00B10EE8">
        <w:rPr>
          <w:rFonts w:ascii="Arial" w:hAnsi="Arial" w:cs="Arial"/>
          <w:sz w:val="22"/>
          <w:szCs w:val="22"/>
        </w:rPr>
        <w:t>f</w:t>
      </w:r>
      <w:r w:rsidR="005F00C3" w:rsidRPr="00B10EE8">
        <w:rPr>
          <w:rFonts w:ascii="Arial" w:hAnsi="Arial" w:cs="Arial"/>
          <w:sz w:val="22"/>
          <w:szCs w:val="22"/>
        </w:rPr>
        <w:t xml:space="preserve">oros </w:t>
      </w:r>
      <w:r w:rsidRPr="00B10EE8">
        <w:rPr>
          <w:rFonts w:ascii="Arial" w:hAnsi="Arial" w:cs="Arial"/>
          <w:sz w:val="22"/>
          <w:szCs w:val="22"/>
        </w:rPr>
        <w:t xml:space="preserve">de </w:t>
      </w:r>
      <w:r w:rsidR="00112C95" w:rsidRPr="00B10EE8">
        <w:rPr>
          <w:rFonts w:ascii="Arial" w:hAnsi="Arial" w:cs="Arial"/>
          <w:sz w:val="22"/>
          <w:szCs w:val="22"/>
        </w:rPr>
        <w:t>d</w:t>
      </w:r>
      <w:r w:rsidR="005F00C3" w:rsidRPr="00B10EE8">
        <w:rPr>
          <w:rFonts w:ascii="Arial" w:hAnsi="Arial" w:cs="Arial"/>
          <w:sz w:val="22"/>
          <w:szCs w:val="22"/>
        </w:rPr>
        <w:t xml:space="preserve">ebate </w:t>
      </w:r>
      <w:r w:rsidRPr="00B10EE8">
        <w:rPr>
          <w:rFonts w:ascii="Arial" w:hAnsi="Arial" w:cs="Arial"/>
          <w:sz w:val="22"/>
          <w:szCs w:val="22"/>
        </w:rPr>
        <w:t xml:space="preserve">deberán realizarse dentro del período de campaña establecido en el Calendario Electoral aprobado por el Consejo Estatal, mediante acuerdo CE/2025/21, que para el caso específico es del </w:t>
      </w:r>
      <w:r w:rsidRPr="00B10EE8">
        <w:rPr>
          <w:rFonts w:ascii="Arial" w:hAnsi="Arial" w:cs="Arial"/>
          <w:bCs/>
          <w:sz w:val="22"/>
          <w:szCs w:val="22"/>
        </w:rPr>
        <w:t>29 de abril al 28 de mayo del presente año.</w:t>
      </w:r>
    </w:p>
    <w:p w14:paraId="40564006" w14:textId="63619431" w:rsidR="00EB1983" w:rsidRPr="00B10EE8" w:rsidRDefault="00C41FA0" w:rsidP="001B13DE">
      <w:pPr>
        <w:widowControl w:val="0"/>
        <w:spacing w:line="281" w:lineRule="auto"/>
        <w:rPr>
          <w:rFonts w:ascii="Arial" w:hAnsi="Arial" w:cs="Arial"/>
          <w:sz w:val="22"/>
          <w:szCs w:val="22"/>
        </w:rPr>
      </w:pPr>
      <w:r w:rsidRPr="00B10EE8">
        <w:rPr>
          <w:rFonts w:ascii="Arial" w:hAnsi="Arial" w:cs="Arial"/>
          <w:sz w:val="22"/>
          <w:szCs w:val="22"/>
        </w:rPr>
        <w:t xml:space="preserve">Como consecuencia de lo anterior, y en complemento a la propuesta de organización de </w:t>
      </w:r>
      <w:r w:rsidR="005F00C3" w:rsidRPr="00B10EE8">
        <w:rPr>
          <w:rFonts w:ascii="Arial" w:hAnsi="Arial" w:cs="Arial"/>
          <w:sz w:val="22"/>
          <w:szCs w:val="22"/>
        </w:rPr>
        <w:t xml:space="preserve">Foros </w:t>
      </w:r>
      <w:r w:rsidRPr="00B10EE8">
        <w:rPr>
          <w:rFonts w:ascii="Arial" w:hAnsi="Arial" w:cs="Arial"/>
          <w:sz w:val="22"/>
          <w:szCs w:val="22"/>
        </w:rPr>
        <w:t xml:space="preserve">de </w:t>
      </w:r>
      <w:r w:rsidR="005F00C3" w:rsidRPr="00B10EE8">
        <w:rPr>
          <w:rFonts w:ascii="Arial" w:hAnsi="Arial" w:cs="Arial"/>
          <w:sz w:val="22"/>
          <w:szCs w:val="22"/>
        </w:rPr>
        <w:t>Debate</w:t>
      </w:r>
      <w:r w:rsidRPr="00B10EE8">
        <w:rPr>
          <w:rFonts w:ascii="Arial" w:hAnsi="Arial" w:cs="Arial"/>
          <w:sz w:val="22"/>
          <w:szCs w:val="22"/>
        </w:rPr>
        <w:t>, esta Comisión propone el desarrollo de los siguientes aspectos:</w:t>
      </w:r>
    </w:p>
    <w:p w14:paraId="1773FBE6" w14:textId="730E1D44" w:rsidR="00C41FA0" w:rsidRPr="00B10EE8" w:rsidRDefault="00C41FA0" w:rsidP="001B13DE">
      <w:pPr>
        <w:pStyle w:val="Ttulo3"/>
        <w:keepNext w:val="0"/>
        <w:spacing w:line="281" w:lineRule="auto"/>
        <w:rPr>
          <w:rFonts w:ascii="Arial" w:hAnsi="Arial" w:cs="Arial"/>
          <w:color w:val="auto"/>
          <w:sz w:val="22"/>
          <w:szCs w:val="22"/>
        </w:rPr>
      </w:pPr>
      <w:r w:rsidRPr="00B10EE8">
        <w:rPr>
          <w:rFonts w:ascii="Arial" w:hAnsi="Arial" w:cs="Arial"/>
          <w:color w:val="auto"/>
          <w:sz w:val="22"/>
          <w:szCs w:val="22"/>
        </w:rPr>
        <w:t>Plan de Trabajo</w:t>
      </w:r>
    </w:p>
    <w:p w14:paraId="593A1320" w14:textId="2764615A" w:rsidR="00DF1E6C" w:rsidRPr="00B10EE8" w:rsidRDefault="00C41FA0" w:rsidP="001B13DE">
      <w:pPr>
        <w:widowControl w:val="0"/>
        <w:spacing w:line="281" w:lineRule="auto"/>
        <w:rPr>
          <w:rFonts w:ascii="Arial" w:hAnsi="Arial" w:cs="Arial"/>
          <w:sz w:val="22"/>
          <w:szCs w:val="22"/>
        </w:rPr>
      </w:pPr>
      <w:r w:rsidRPr="00B10EE8">
        <w:rPr>
          <w:rFonts w:ascii="Arial" w:hAnsi="Arial" w:cs="Arial"/>
          <w:sz w:val="22"/>
          <w:szCs w:val="22"/>
        </w:rPr>
        <w:t xml:space="preserve">Como lo señala el artículo 307 numeral 3, inciso a) del Reglamento de Elecciones, se establece un Plan de Trabajo el cual, </w:t>
      </w:r>
      <w:r w:rsidR="00DF1E6C" w:rsidRPr="00B10EE8">
        <w:rPr>
          <w:rFonts w:ascii="Arial" w:hAnsi="Arial" w:cs="Arial"/>
          <w:sz w:val="22"/>
          <w:szCs w:val="22"/>
        </w:rPr>
        <w:t xml:space="preserve">de manera estructurada </w:t>
      </w:r>
      <w:r w:rsidRPr="00B10EE8">
        <w:rPr>
          <w:rFonts w:ascii="Arial" w:hAnsi="Arial" w:cs="Arial"/>
          <w:sz w:val="22"/>
          <w:szCs w:val="22"/>
        </w:rPr>
        <w:t xml:space="preserve">determina </w:t>
      </w:r>
      <w:r w:rsidR="00DF1E6C" w:rsidRPr="00B10EE8">
        <w:rPr>
          <w:rFonts w:ascii="Arial" w:hAnsi="Arial" w:cs="Arial"/>
          <w:sz w:val="22"/>
          <w:szCs w:val="22"/>
        </w:rPr>
        <w:t xml:space="preserve">las actividades </w:t>
      </w:r>
      <w:r w:rsidRPr="00B10EE8">
        <w:rPr>
          <w:rFonts w:ascii="Arial" w:hAnsi="Arial" w:cs="Arial"/>
          <w:sz w:val="22"/>
          <w:szCs w:val="22"/>
        </w:rPr>
        <w:t xml:space="preserve">específicas </w:t>
      </w:r>
      <w:r w:rsidR="00DF1E6C" w:rsidRPr="00B10EE8">
        <w:rPr>
          <w:rFonts w:ascii="Arial" w:hAnsi="Arial" w:cs="Arial"/>
          <w:sz w:val="22"/>
          <w:szCs w:val="22"/>
        </w:rPr>
        <w:t xml:space="preserve">que deberán realizarse para </w:t>
      </w:r>
      <w:r w:rsidRPr="00B10EE8">
        <w:rPr>
          <w:rFonts w:ascii="Arial" w:hAnsi="Arial" w:cs="Arial"/>
          <w:sz w:val="22"/>
          <w:szCs w:val="22"/>
        </w:rPr>
        <w:t xml:space="preserve">la organización de los foros de debate </w:t>
      </w:r>
      <w:r w:rsidR="00DF1E6C" w:rsidRPr="00B10EE8">
        <w:rPr>
          <w:rFonts w:ascii="Arial" w:hAnsi="Arial" w:cs="Arial"/>
          <w:sz w:val="22"/>
          <w:szCs w:val="22"/>
        </w:rPr>
        <w:t>públicos virtuales entre las y los candidatos a Magistraturas.</w:t>
      </w:r>
    </w:p>
    <w:p w14:paraId="2B4EBF70" w14:textId="59E35A21" w:rsidR="00C41FA0" w:rsidRPr="00B10EE8" w:rsidRDefault="00C41FA0" w:rsidP="001B13DE">
      <w:pPr>
        <w:widowControl w:val="0"/>
        <w:spacing w:line="281" w:lineRule="auto"/>
        <w:rPr>
          <w:rFonts w:ascii="Arial" w:hAnsi="Arial" w:cs="Arial"/>
          <w:sz w:val="22"/>
          <w:szCs w:val="22"/>
        </w:rPr>
      </w:pPr>
      <w:r w:rsidRPr="00B10EE8">
        <w:rPr>
          <w:rFonts w:ascii="Arial" w:hAnsi="Arial" w:cs="Arial"/>
          <w:sz w:val="22"/>
          <w:szCs w:val="22"/>
        </w:rPr>
        <w:t>El documento constituye una herramienta de apoyo para la Comisión, y, en general, para las diversas áreas del Instituto involucradas en el desarrollo y organización de los foros de debate.</w:t>
      </w:r>
    </w:p>
    <w:p w14:paraId="2793A15F" w14:textId="6C6F50FC" w:rsidR="00C41FA0" w:rsidRPr="00B10EE8" w:rsidRDefault="00062639" w:rsidP="001B13DE">
      <w:pPr>
        <w:pStyle w:val="Ttulo3"/>
        <w:keepNext w:val="0"/>
        <w:spacing w:line="281" w:lineRule="auto"/>
        <w:rPr>
          <w:rFonts w:ascii="Arial" w:hAnsi="Arial" w:cs="Arial"/>
          <w:color w:val="auto"/>
          <w:sz w:val="22"/>
          <w:szCs w:val="22"/>
        </w:rPr>
      </w:pPr>
      <w:r w:rsidRPr="00B10EE8">
        <w:rPr>
          <w:rFonts w:ascii="Arial" w:hAnsi="Arial" w:cs="Arial"/>
          <w:color w:val="auto"/>
          <w:sz w:val="22"/>
          <w:szCs w:val="22"/>
        </w:rPr>
        <w:t>Lineamientos para los Foros de Debate</w:t>
      </w:r>
    </w:p>
    <w:p w14:paraId="0721DD27" w14:textId="51E15F1F" w:rsidR="00062639" w:rsidRPr="00B10EE8" w:rsidRDefault="00062639" w:rsidP="001B13DE">
      <w:pPr>
        <w:widowControl w:val="0"/>
        <w:spacing w:line="281" w:lineRule="auto"/>
        <w:rPr>
          <w:rFonts w:ascii="Arial" w:hAnsi="Arial" w:cs="Arial"/>
          <w:sz w:val="22"/>
          <w:szCs w:val="22"/>
        </w:rPr>
      </w:pPr>
      <w:r w:rsidRPr="00B10EE8">
        <w:rPr>
          <w:rFonts w:ascii="Arial" w:hAnsi="Arial" w:cs="Arial"/>
          <w:sz w:val="22"/>
          <w:szCs w:val="22"/>
        </w:rPr>
        <w:t>Como medida adicional, se formula la implementación de los Lineamientos para los Foros de Debate, los cuales contienen la propuesta de reglas básicas con el objeto de establecer, de manera oportuna, los criterios, condiciones y reglas específicas en que deberán realizarse los Foros de Debate.</w:t>
      </w:r>
    </w:p>
    <w:p w14:paraId="19DA9469" w14:textId="30EB545C" w:rsidR="00062639" w:rsidRPr="00B10EE8" w:rsidRDefault="00062639" w:rsidP="001B13DE">
      <w:pPr>
        <w:pStyle w:val="Ttulo3"/>
        <w:keepNext w:val="0"/>
        <w:spacing w:line="281" w:lineRule="auto"/>
        <w:rPr>
          <w:rFonts w:ascii="Arial" w:hAnsi="Arial" w:cs="Arial"/>
          <w:color w:val="auto"/>
          <w:sz w:val="22"/>
          <w:szCs w:val="22"/>
        </w:rPr>
      </w:pPr>
      <w:r w:rsidRPr="00B10EE8">
        <w:rPr>
          <w:rFonts w:ascii="Arial" w:hAnsi="Arial" w:cs="Arial"/>
          <w:color w:val="auto"/>
          <w:sz w:val="22"/>
          <w:szCs w:val="22"/>
        </w:rPr>
        <w:t>Identidad gráfica</w:t>
      </w:r>
    </w:p>
    <w:p w14:paraId="1352D35F" w14:textId="54941655" w:rsidR="00062639" w:rsidRPr="00B10EE8" w:rsidRDefault="00062639" w:rsidP="001B13DE">
      <w:pPr>
        <w:widowControl w:val="0"/>
        <w:spacing w:line="281" w:lineRule="auto"/>
        <w:rPr>
          <w:rFonts w:ascii="Arial" w:hAnsi="Arial" w:cs="Arial"/>
          <w:sz w:val="22"/>
          <w:szCs w:val="22"/>
        </w:rPr>
      </w:pPr>
      <w:r w:rsidRPr="00B10EE8">
        <w:rPr>
          <w:rFonts w:ascii="Arial" w:hAnsi="Arial" w:cs="Arial"/>
          <w:sz w:val="22"/>
          <w:szCs w:val="22"/>
        </w:rPr>
        <w:t xml:space="preserve">Con el objetivo de distinguir las actividades y acciones que se desarrollen para promocionar </w:t>
      </w:r>
      <w:r w:rsidRPr="00B10EE8">
        <w:rPr>
          <w:rFonts w:ascii="Arial" w:hAnsi="Arial" w:cs="Arial"/>
          <w:sz w:val="22"/>
          <w:szCs w:val="22"/>
        </w:rPr>
        <w:lastRenderedPageBreak/>
        <w:t xml:space="preserve">y difundir los foros de debates públicos y virtuales entre las personas candidatas a las Magistraturas del Poder Judicial del Estado de Tabasco, se propone la identidad gráfica que se utilizará para su organización y desarrollo. </w:t>
      </w:r>
    </w:p>
    <w:p w14:paraId="5D8FFAAD" w14:textId="77777777" w:rsidR="00062639" w:rsidRPr="00B10EE8" w:rsidRDefault="00062639" w:rsidP="001B13DE">
      <w:pPr>
        <w:widowControl w:val="0"/>
        <w:spacing w:line="281" w:lineRule="auto"/>
        <w:rPr>
          <w:rFonts w:ascii="Arial" w:hAnsi="Arial" w:cs="Arial"/>
          <w:sz w:val="22"/>
          <w:szCs w:val="22"/>
        </w:rPr>
      </w:pPr>
      <w:r w:rsidRPr="00B10EE8">
        <w:rPr>
          <w:rFonts w:ascii="Arial" w:hAnsi="Arial" w:cs="Arial"/>
          <w:sz w:val="22"/>
          <w:szCs w:val="22"/>
        </w:rPr>
        <w:t>Además, la identidad gráfica contribuirá a promover la participación ciudadana y establecer los elementos visuales que permitan a ésta, distinguir los Foros de Debates que se lleven a cabo en el contexto del Proceso Electoral Extraordinario.</w:t>
      </w:r>
    </w:p>
    <w:p w14:paraId="0343D256" w14:textId="794C8A56" w:rsidR="00062639" w:rsidRPr="00B10EE8" w:rsidRDefault="00062639" w:rsidP="001B13DE">
      <w:pPr>
        <w:widowControl w:val="0"/>
        <w:spacing w:line="281" w:lineRule="auto"/>
        <w:rPr>
          <w:rFonts w:ascii="Arial" w:hAnsi="Arial" w:cs="Arial"/>
          <w:sz w:val="22"/>
          <w:szCs w:val="22"/>
        </w:rPr>
      </w:pPr>
      <w:r w:rsidRPr="00B10EE8">
        <w:rPr>
          <w:rFonts w:ascii="Arial" w:hAnsi="Arial" w:cs="Arial"/>
          <w:sz w:val="22"/>
          <w:szCs w:val="22"/>
        </w:rPr>
        <w:t xml:space="preserve">La implementación de estas medidas contribuye con </w:t>
      </w:r>
      <w:r w:rsidR="007112C8" w:rsidRPr="00B10EE8">
        <w:rPr>
          <w:rFonts w:ascii="Arial" w:hAnsi="Arial" w:cs="Arial"/>
          <w:sz w:val="22"/>
          <w:szCs w:val="22"/>
        </w:rPr>
        <w:t xml:space="preserve">los fines del Instituto pues se cumple </w:t>
      </w:r>
      <w:r w:rsidRPr="00B10EE8">
        <w:rPr>
          <w:rFonts w:ascii="Arial" w:hAnsi="Arial" w:cs="Arial"/>
          <w:sz w:val="22"/>
          <w:szCs w:val="22"/>
        </w:rPr>
        <w:t>el propósito de informar a la sociedad de las ideas, propuestas, programas de acción y perfiles de las y los candidatos a los cargos de elección en el Poder Judicial del Estado, garantizando con ello el más amplio ejercicio de la libertad de expresión en condiciones de equidad y con un formato y trato igualitario.</w:t>
      </w:r>
    </w:p>
    <w:p w14:paraId="30224EE7" w14:textId="3375B2CB" w:rsidR="00062639" w:rsidRPr="00B10EE8" w:rsidRDefault="00062639" w:rsidP="001B13DE">
      <w:pPr>
        <w:widowControl w:val="0"/>
        <w:spacing w:line="281" w:lineRule="auto"/>
        <w:rPr>
          <w:rFonts w:ascii="Arial" w:hAnsi="Arial" w:cs="Arial"/>
          <w:sz w:val="22"/>
          <w:szCs w:val="22"/>
        </w:rPr>
      </w:pPr>
      <w:r w:rsidRPr="00B10EE8">
        <w:rPr>
          <w:rFonts w:ascii="Arial" w:hAnsi="Arial" w:cs="Arial"/>
          <w:sz w:val="22"/>
          <w:szCs w:val="22"/>
        </w:rPr>
        <w:t>Cabe señalar que, este Instituto supervisará que el formato y estructura de los foros de debate que, en su caso, organicen las instituciones del sector público, privado o social, vigilando que su desarrollo se lleve a cabo en condiciones de equidad para todas las personas que participen en éstos.</w:t>
      </w:r>
    </w:p>
    <w:p w14:paraId="7DB018E5" w14:textId="141808A1" w:rsidR="00062639" w:rsidRPr="00B10EE8" w:rsidRDefault="00621321" w:rsidP="001B13DE">
      <w:pPr>
        <w:widowControl w:val="0"/>
        <w:spacing w:line="281" w:lineRule="auto"/>
        <w:rPr>
          <w:rFonts w:ascii="Arial" w:hAnsi="Arial" w:cs="Arial"/>
          <w:sz w:val="22"/>
          <w:szCs w:val="22"/>
        </w:rPr>
      </w:pPr>
      <w:r w:rsidRPr="00B10EE8">
        <w:rPr>
          <w:rFonts w:ascii="Arial" w:hAnsi="Arial" w:cs="Arial"/>
          <w:sz w:val="22"/>
          <w:szCs w:val="22"/>
        </w:rPr>
        <w:t>Sobre la base de las consideraciones señaladas, esta Comisión emite el siguiente:</w:t>
      </w:r>
    </w:p>
    <w:p w14:paraId="6B89B5E3" w14:textId="0240733B" w:rsidR="00621321" w:rsidRPr="00B10EE8" w:rsidRDefault="00621321" w:rsidP="001B13DE">
      <w:pPr>
        <w:pStyle w:val="Ttulo1"/>
        <w:keepNext w:val="0"/>
        <w:widowControl w:val="0"/>
        <w:spacing w:line="281" w:lineRule="auto"/>
        <w:rPr>
          <w:rFonts w:ascii="Arial" w:hAnsi="Arial" w:cs="Arial"/>
          <w:color w:val="auto"/>
          <w:sz w:val="24"/>
        </w:rPr>
      </w:pPr>
      <w:r w:rsidRPr="00B10EE8">
        <w:rPr>
          <w:rFonts w:ascii="Arial" w:hAnsi="Arial" w:cs="Arial"/>
          <w:color w:val="auto"/>
          <w:sz w:val="24"/>
        </w:rPr>
        <w:t>Acuerdo</w:t>
      </w:r>
    </w:p>
    <w:p w14:paraId="4BF77531" w14:textId="2BFB8941" w:rsidR="00621321" w:rsidRPr="00B10EE8" w:rsidRDefault="00621321" w:rsidP="001B13DE">
      <w:pPr>
        <w:widowControl w:val="0"/>
        <w:spacing w:line="281" w:lineRule="auto"/>
        <w:rPr>
          <w:rFonts w:ascii="Arial" w:hAnsi="Arial" w:cs="Arial"/>
          <w:sz w:val="22"/>
          <w:szCs w:val="22"/>
        </w:rPr>
      </w:pPr>
      <w:r w:rsidRPr="00B10EE8">
        <w:rPr>
          <w:rFonts w:ascii="Arial" w:hAnsi="Arial" w:cs="Arial"/>
          <w:b/>
          <w:bCs/>
          <w:sz w:val="22"/>
          <w:szCs w:val="22"/>
        </w:rPr>
        <w:t>Primero.</w:t>
      </w:r>
      <w:r w:rsidRPr="00B10EE8">
        <w:rPr>
          <w:rFonts w:ascii="Arial" w:hAnsi="Arial" w:cs="Arial"/>
          <w:sz w:val="22"/>
          <w:szCs w:val="22"/>
        </w:rPr>
        <w:t xml:space="preserve"> Se aprueba </w:t>
      </w:r>
      <w:r w:rsidR="0098320E" w:rsidRPr="00B10EE8">
        <w:rPr>
          <w:rFonts w:ascii="Arial" w:hAnsi="Arial" w:cs="Arial"/>
          <w:sz w:val="22"/>
          <w:szCs w:val="22"/>
        </w:rPr>
        <w:t xml:space="preserve">la </w:t>
      </w:r>
      <w:r w:rsidRPr="00B10EE8">
        <w:rPr>
          <w:rFonts w:ascii="Arial" w:hAnsi="Arial" w:cs="Arial"/>
          <w:sz w:val="22"/>
          <w:szCs w:val="22"/>
        </w:rPr>
        <w:t xml:space="preserve">organización de Foros de Debate Virtuales, </w:t>
      </w:r>
      <w:r w:rsidR="00DE790B" w:rsidRPr="00B10EE8">
        <w:rPr>
          <w:rFonts w:ascii="Arial" w:hAnsi="Arial" w:cs="Arial"/>
          <w:sz w:val="22"/>
          <w:szCs w:val="22"/>
        </w:rPr>
        <w:t xml:space="preserve">el Plan de Trabajo, </w:t>
      </w:r>
      <w:r w:rsidRPr="00B10EE8">
        <w:rPr>
          <w:rFonts w:ascii="Arial" w:hAnsi="Arial" w:cs="Arial"/>
          <w:sz w:val="22"/>
          <w:szCs w:val="22"/>
        </w:rPr>
        <w:t xml:space="preserve">los Lineamientos para su organización, desarrollo y difusión, y la identidad gráfica </w:t>
      </w:r>
      <w:r w:rsidR="0098320E" w:rsidRPr="00B10EE8">
        <w:rPr>
          <w:rFonts w:ascii="Arial" w:hAnsi="Arial" w:cs="Arial"/>
          <w:sz w:val="22"/>
          <w:szCs w:val="22"/>
        </w:rPr>
        <w:t xml:space="preserve">propuestos por la Comisión Temporal de Foros de Debates, </w:t>
      </w:r>
      <w:r w:rsidRPr="00B10EE8">
        <w:rPr>
          <w:rFonts w:ascii="Arial" w:hAnsi="Arial" w:cs="Arial"/>
          <w:sz w:val="22"/>
          <w:szCs w:val="22"/>
        </w:rPr>
        <w:t>para el Proceso Electoral Local Extraordinario para personas Juzgadoras del Poder Judicial del Estado de Tabasco 2024 – 2025 anexos al presente acuerdo.</w:t>
      </w:r>
    </w:p>
    <w:p w14:paraId="156F0DF2" w14:textId="77777777" w:rsidR="005A420B" w:rsidRPr="00B10EE8" w:rsidRDefault="005A420B" w:rsidP="005A420B">
      <w:pPr>
        <w:rPr>
          <w:rFonts w:ascii="Arial" w:hAnsi="Arial" w:cs="Arial"/>
          <w:sz w:val="22"/>
          <w:szCs w:val="22"/>
        </w:rPr>
      </w:pPr>
      <w:r w:rsidRPr="00B10EE8">
        <w:rPr>
          <w:rFonts w:ascii="Arial" w:hAnsi="Arial" w:cs="Arial"/>
          <w:b/>
          <w:bCs/>
          <w:sz w:val="22"/>
          <w:szCs w:val="22"/>
        </w:rPr>
        <w:t>Segundo.</w:t>
      </w:r>
      <w:r w:rsidRPr="00B10EE8">
        <w:rPr>
          <w:rFonts w:ascii="Arial" w:hAnsi="Arial" w:cs="Arial"/>
          <w:sz w:val="22"/>
          <w:szCs w:val="22"/>
        </w:rPr>
        <w:t xml:space="preserve"> Se instruye al Secretario Ejecutivo haga del conocimiento de las juntas electorales distritales el contenido del presente acuerdo. Asimismo, en términos del artículo 387 numeral 9 de la Ley Electoral, lo notifique a las personas candidatas.</w:t>
      </w:r>
    </w:p>
    <w:p w14:paraId="6076AD64" w14:textId="77777777" w:rsidR="005A420B" w:rsidRPr="00B10EE8" w:rsidRDefault="005A420B" w:rsidP="005A420B">
      <w:pPr>
        <w:rPr>
          <w:rFonts w:ascii="Arial" w:hAnsi="Arial" w:cs="Arial"/>
          <w:sz w:val="22"/>
          <w:szCs w:val="22"/>
        </w:rPr>
      </w:pPr>
      <w:r w:rsidRPr="00B10EE8">
        <w:rPr>
          <w:rFonts w:ascii="Arial" w:hAnsi="Arial" w:cs="Arial"/>
          <w:b/>
          <w:bCs/>
          <w:sz w:val="22"/>
          <w:szCs w:val="22"/>
        </w:rPr>
        <w:t xml:space="preserve">Tercero. </w:t>
      </w:r>
      <w:r w:rsidRPr="00B10EE8">
        <w:rPr>
          <w:rFonts w:ascii="Arial" w:hAnsi="Arial" w:cs="Arial"/>
          <w:sz w:val="22"/>
          <w:szCs w:val="22"/>
        </w:rPr>
        <w:t>Asimismo,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399141A" w14:textId="2EBD5319" w:rsidR="00717F56" w:rsidRPr="00B10EE8" w:rsidRDefault="005A420B" w:rsidP="001B13DE">
      <w:pPr>
        <w:spacing w:line="281" w:lineRule="auto"/>
        <w:rPr>
          <w:rFonts w:ascii="Arial" w:hAnsi="Arial" w:cs="Arial"/>
          <w:sz w:val="22"/>
          <w:szCs w:val="22"/>
        </w:rPr>
      </w:pPr>
      <w:r w:rsidRPr="00B10EE8">
        <w:rPr>
          <w:rFonts w:ascii="Arial" w:hAnsi="Arial" w:cs="Arial"/>
          <w:b/>
          <w:bCs/>
          <w:sz w:val="22"/>
          <w:szCs w:val="22"/>
        </w:rPr>
        <w:t>Cuarto</w:t>
      </w:r>
      <w:r w:rsidR="00717F56" w:rsidRPr="00B10EE8">
        <w:rPr>
          <w:rFonts w:ascii="Arial" w:hAnsi="Arial" w:cs="Arial"/>
          <w:b/>
          <w:bCs/>
          <w:sz w:val="22"/>
          <w:szCs w:val="22"/>
        </w:rPr>
        <w:t>.</w:t>
      </w:r>
      <w:r w:rsidR="00717F56" w:rsidRPr="00B10EE8">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61232A0" w14:textId="77777777" w:rsidR="00B10EE8" w:rsidRDefault="00B10EE8" w:rsidP="001B13DE">
      <w:pPr>
        <w:spacing w:line="281" w:lineRule="auto"/>
        <w:rPr>
          <w:rFonts w:ascii="Arial" w:hAnsi="Arial" w:cs="Arial"/>
          <w:sz w:val="22"/>
          <w:szCs w:val="22"/>
        </w:rPr>
      </w:pPr>
    </w:p>
    <w:p w14:paraId="42A4F858" w14:textId="1459FDC0" w:rsidR="00717F56" w:rsidRPr="00B10EE8" w:rsidRDefault="00717F56" w:rsidP="001B13DE">
      <w:pPr>
        <w:spacing w:line="281" w:lineRule="auto"/>
        <w:rPr>
          <w:rFonts w:ascii="Arial" w:hAnsi="Arial" w:cs="Arial"/>
          <w:sz w:val="22"/>
          <w:szCs w:val="22"/>
        </w:rPr>
      </w:pPr>
      <w:r w:rsidRPr="00B10EE8">
        <w:rPr>
          <w:rFonts w:ascii="Arial" w:hAnsi="Arial" w:cs="Arial"/>
          <w:sz w:val="22"/>
          <w:szCs w:val="22"/>
        </w:rPr>
        <w:t xml:space="preserve">El presente acuerdo fue aprobado en sesión </w:t>
      </w:r>
      <w:r w:rsidR="00B10EE8">
        <w:rPr>
          <w:rFonts w:ascii="Arial" w:hAnsi="Arial" w:cs="Arial"/>
          <w:sz w:val="22"/>
          <w:szCs w:val="22"/>
        </w:rPr>
        <w:t>extraordinaria</w:t>
      </w:r>
      <w:r w:rsidRPr="00B10EE8">
        <w:rPr>
          <w:rFonts w:ascii="Arial" w:hAnsi="Arial" w:cs="Arial"/>
          <w:sz w:val="22"/>
          <w:szCs w:val="22"/>
        </w:rPr>
        <w:t xml:space="preserve"> efectuada el </w:t>
      </w:r>
      <w:r w:rsidR="00B10EE8">
        <w:rPr>
          <w:rFonts w:ascii="Arial" w:hAnsi="Arial" w:cs="Arial"/>
          <w:sz w:val="22"/>
          <w:szCs w:val="22"/>
        </w:rPr>
        <w:t>cuatro</w:t>
      </w:r>
      <w:r w:rsidRPr="00B10EE8">
        <w:rPr>
          <w:rFonts w:ascii="Arial" w:hAnsi="Arial" w:cs="Arial"/>
          <w:sz w:val="22"/>
          <w:szCs w:val="22"/>
        </w:rPr>
        <w:t xml:space="preserve"> de </w:t>
      </w:r>
      <w:r w:rsidR="00B10EE8">
        <w:rPr>
          <w:rFonts w:ascii="Arial" w:hAnsi="Arial" w:cs="Arial"/>
          <w:sz w:val="22"/>
          <w:szCs w:val="22"/>
        </w:rPr>
        <w:t>abril</w:t>
      </w:r>
      <w:r w:rsidRPr="00B10EE8">
        <w:rPr>
          <w:rFonts w:ascii="Arial" w:hAnsi="Arial" w:cs="Arial"/>
          <w:sz w:val="22"/>
          <w:szCs w:val="22"/>
        </w:rPr>
        <w:t xml:space="preserve"> del año dos mil veinticinco, por votación </w:t>
      </w:r>
      <w:bookmarkStart w:id="0" w:name="_GoBack"/>
      <w:r w:rsidR="00B10EE8" w:rsidRPr="0083424B">
        <w:rPr>
          <w:rFonts w:ascii="Arial" w:hAnsi="Arial" w:cs="Arial"/>
          <w:sz w:val="22"/>
          <w:szCs w:val="22"/>
        </w:rPr>
        <w:t>unánime</w:t>
      </w:r>
      <w:r w:rsidRPr="0083424B">
        <w:rPr>
          <w:rFonts w:ascii="Arial" w:hAnsi="Arial" w:cs="Arial"/>
          <w:sz w:val="22"/>
          <w:szCs w:val="22"/>
        </w:rPr>
        <w:t xml:space="preserve"> de las y los Consejeros Electorales del Consejo Estatal del Instituto Electoral y de Participación</w:t>
      </w:r>
      <w:r w:rsidRPr="00B10EE8">
        <w:rPr>
          <w:rFonts w:ascii="Arial" w:hAnsi="Arial" w:cs="Arial"/>
          <w:sz w:val="22"/>
          <w:szCs w:val="22"/>
        </w:rPr>
        <w:t xml:space="preserve"> </w:t>
      </w:r>
      <w:bookmarkEnd w:id="0"/>
      <w:r w:rsidRPr="00B10EE8">
        <w:rPr>
          <w:rFonts w:ascii="Arial" w:hAnsi="Arial" w:cs="Arial"/>
          <w:sz w:val="22"/>
          <w:szCs w:val="22"/>
        </w:rPr>
        <w:t xml:space="preserve">Ciudadana de Tabasco: Licda. María Elvia Magaña Sandoval, Lic. Hernán González Sala, Lic. Vladimir Hernández Venegas, Licda. Ángela Guadalupe Araujo Segura, Licda. Monserrat Martínez </w:t>
      </w:r>
      <w:proofErr w:type="spellStart"/>
      <w:r w:rsidRPr="00B10EE8">
        <w:rPr>
          <w:rFonts w:ascii="Arial" w:hAnsi="Arial" w:cs="Arial"/>
          <w:sz w:val="22"/>
          <w:szCs w:val="22"/>
        </w:rPr>
        <w:t>Beaurregard</w:t>
      </w:r>
      <w:proofErr w:type="spellEnd"/>
      <w:r w:rsidRPr="00B10EE8">
        <w:rPr>
          <w:rFonts w:ascii="Arial" w:hAnsi="Arial" w:cs="Arial"/>
          <w:sz w:val="22"/>
          <w:szCs w:val="22"/>
        </w:rPr>
        <w:t>, Mtra. Ruth Lizette Toledo Peral y la Consejera Presidenta, Mtra. Elizabeth Nava Gutiérrez.</w:t>
      </w:r>
    </w:p>
    <w:p w14:paraId="7FD1C1FA" w14:textId="77777777" w:rsidR="00614AE0" w:rsidRPr="00B10EE8" w:rsidRDefault="00614AE0" w:rsidP="001B13DE">
      <w:pPr>
        <w:spacing w:line="281" w:lineRule="auto"/>
        <w:rPr>
          <w:rFonts w:ascii="Arial" w:hAnsi="Arial" w:cs="Arial"/>
          <w:sz w:val="22"/>
          <w:szCs w:val="22"/>
        </w:rPr>
      </w:pPr>
    </w:p>
    <w:p w14:paraId="4DD82C13" w14:textId="463FE1C0" w:rsidR="00717F56" w:rsidRDefault="00717F56" w:rsidP="001B13DE">
      <w:pPr>
        <w:spacing w:line="281" w:lineRule="auto"/>
        <w:rPr>
          <w:rFonts w:ascii="Arial" w:hAnsi="Arial" w:cs="Arial"/>
          <w:sz w:val="22"/>
          <w:szCs w:val="22"/>
        </w:rPr>
      </w:pPr>
    </w:p>
    <w:p w14:paraId="75CFF0CF" w14:textId="77777777" w:rsidR="00B10EE8" w:rsidRPr="00B10EE8" w:rsidRDefault="00B10EE8" w:rsidP="001B13DE">
      <w:pPr>
        <w:spacing w:line="281" w:lineRule="auto"/>
        <w:rPr>
          <w:rFonts w:ascii="Arial" w:hAnsi="Arial" w:cs="Arial"/>
          <w:sz w:val="22"/>
          <w:szCs w:val="22"/>
        </w:rPr>
      </w:pPr>
    </w:p>
    <w:tbl>
      <w:tblPr>
        <w:tblStyle w:val="Tablaconcuadrcula"/>
        <w:tblW w:w="9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7"/>
        <w:gridCol w:w="241"/>
        <w:gridCol w:w="4294"/>
      </w:tblGrid>
      <w:tr w:rsidR="00717F56" w:rsidRPr="00B10EE8" w14:paraId="4AA4FB07" w14:textId="77777777" w:rsidTr="008A75ED">
        <w:trPr>
          <w:trHeight w:val="824"/>
        </w:trPr>
        <w:tc>
          <w:tcPr>
            <w:tcW w:w="4487" w:type="dxa"/>
          </w:tcPr>
          <w:p w14:paraId="791FA226" w14:textId="77777777" w:rsidR="00717F56" w:rsidRPr="00B10EE8" w:rsidRDefault="00717F56" w:rsidP="001B13DE">
            <w:pPr>
              <w:spacing w:before="0" w:after="0" w:line="281" w:lineRule="auto"/>
              <w:jc w:val="center"/>
              <w:rPr>
                <w:rFonts w:ascii="Arial" w:hAnsi="Arial" w:cs="Arial"/>
                <w:b/>
                <w:bCs/>
              </w:rPr>
            </w:pPr>
            <w:r w:rsidRPr="00B10EE8">
              <w:rPr>
                <w:rFonts w:ascii="Arial" w:hAnsi="Arial" w:cs="Arial"/>
                <w:b/>
                <w:bCs/>
              </w:rPr>
              <w:t>MTRA. ELIZABETH NAVA GUTIÉRREZ</w:t>
            </w:r>
          </w:p>
          <w:p w14:paraId="4D9C966C" w14:textId="77777777" w:rsidR="00717F56" w:rsidRPr="00B10EE8" w:rsidRDefault="00717F56" w:rsidP="001B13DE">
            <w:pPr>
              <w:spacing w:before="0" w:after="0" w:line="281" w:lineRule="auto"/>
              <w:jc w:val="center"/>
              <w:rPr>
                <w:rFonts w:ascii="Arial" w:hAnsi="Arial" w:cs="Arial"/>
                <w:b/>
                <w:bCs/>
              </w:rPr>
            </w:pPr>
            <w:r w:rsidRPr="00B10EE8">
              <w:rPr>
                <w:rFonts w:ascii="Arial" w:hAnsi="Arial" w:cs="Arial"/>
                <w:b/>
                <w:bCs/>
              </w:rPr>
              <w:t>CONSEJERA PRESIDENTA</w:t>
            </w:r>
          </w:p>
        </w:tc>
        <w:tc>
          <w:tcPr>
            <w:tcW w:w="241" w:type="dxa"/>
          </w:tcPr>
          <w:p w14:paraId="0B438893" w14:textId="77777777" w:rsidR="00717F56" w:rsidRPr="00B10EE8" w:rsidRDefault="00717F56" w:rsidP="001B13DE">
            <w:pPr>
              <w:spacing w:before="0" w:after="0" w:line="281" w:lineRule="auto"/>
              <w:rPr>
                <w:rFonts w:ascii="Arial" w:hAnsi="Arial" w:cs="Arial"/>
                <w:b/>
                <w:bCs/>
              </w:rPr>
            </w:pPr>
          </w:p>
        </w:tc>
        <w:tc>
          <w:tcPr>
            <w:tcW w:w="4294" w:type="dxa"/>
          </w:tcPr>
          <w:p w14:paraId="38DB32FD" w14:textId="77777777" w:rsidR="00717F56" w:rsidRPr="00B10EE8" w:rsidRDefault="00717F56" w:rsidP="001B13DE">
            <w:pPr>
              <w:spacing w:before="0" w:after="0" w:line="281" w:lineRule="auto"/>
              <w:jc w:val="center"/>
              <w:rPr>
                <w:rFonts w:ascii="Arial" w:hAnsi="Arial" w:cs="Arial"/>
                <w:b/>
                <w:bCs/>
              </w:rPr>
            </w:pPr>
            <w:r w:rsidRPr="00B10EE8">
              <w:rPr>
                <w:rFonts w:ascii="Arial" w:hAnsi="Arial" w:cs="Arial"/>
                <w:b/>
                <w:bCs/>
              </w:rPr>
              <w:t>LIC. JORGE ALBERTO ZAVALA FRÍAS</w:t>
            </w:r>
          </w:p>
          <w:p w14:paraId="4C3FE79B" w14:textId="77777777" w:rsidR="00717F56" w:rsidRPr="00B10EE8" w:rsidRDefault="00717F56" w:rsidP="001B13DE">
            <w:pPr>
              <w:spacing w:before="0" w:after="0" w:line="281" w:lineRule="auto"/>
              <w:jc w:val="center"/>
              <w:rPr>
                <w:rFonts w:ascii="Arial" w:hAnsi="Arial" w:cs="Arial"/>
                <w:b/>
                <w:bCs/>
              </w:rPr>
            </w:pPr>
            <w:r w:rsidRPr="00B10EE8">
              <w:rPr>
                <w:rFonts w:ascii="Arial" w:hAnsi="Arial" w:cs="Arial"/>
                <w:b/>
                <w:bCs/>
              </w:rPr>
              <w:t>SECRETARIO DEL CONSEJO</w:t>
            </w:r>
          </w:p>
        </w:tc>
      </w:tr>
    </w:tbl>
    <w:p w14:paraId="363F0D97" w14:textId="77777777" w:rsidR="00717F56" w:rsidRPr="00B10EE8" w:rsidRDefault="00717F56" w:rsidP="00717F56">
      <w:pPr>
        <w:rPr>
          <w:rFonts w:ascii="Arial" w:hAnsi="Arial" w:cs="Arial"/>
          <w:sz w:val="22"/>
          <w:szCs w:val="22"/>
        </w:rPr>
      </w:pPr>
    </w:p>
    <w:p w14:paraId="2BF92FBA" w14:textId="77777777" w:rsidR="00717F56" w:rsidRPr="00B10EE8" w:rsidRDefault="00717F56" w:rsidP="00717F56">
      <w:pPr>
        <w:widowControl w:val="0"/>
        <w:rPr>
          <w:rFonts w:ascii="Arial" w:hAnsi="Arial" w:cs="Arial"/>
          <w:sz w:val="22"/>
          <w:szCs w:val="22"/>
        </w:rPr>
      </w:pPr>
    </w:p>
    <w:p w14:paraId="07971B3D" w14:textId="11A8AC31" w:rsidR="00621321" w:rsidRPr="00B10EE8" w:rsidRDefault="00621321" w:rsidP="00717F56">
      <w:pPr>
        <w:widowControl w:val="0"/>
        <w:rPr>
          <w:rFonts w:ascii="Arial" w:hAnsi="Arial" w:cs="Arial"/>
          <w:sz w:val="22"/>
          <w:szCs w:val="22"/>
        </w:rPr>
      </w:pPr>
    </w:p>
    <w:sectPr w:rsidR="00621321" w:rsidRPr="00B10EE8" w:rsidSect="001B13DE">
      <w:headerReference w:type="default" r:id="rId8"/>
      <w:footerReference w:type="default" r:id="rId9"/>
      <w:pgSz w:w="12240" w:h="15840" w:code="1"/>
      <w:pgMar w:top="2410"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F7C8B" w14:textId="77777777" w:rsidR="0044518E" w:rsidRDefault="0044518E" w:rsidP="00621321">
      <w:pPr>
        <w:spacing w:before="0" w:after="0" w:line="240" w:lineRule="auto"/>
      </w:pPr>
      <w:r>
        <w:separator/>
      </w:r>
    </w:p>
  </w:endnote>
  <w:endnote w:type="continuationSeparator" w:id="0">
    <w:p w14:paraId="74EE5D9E" w14:textId="77777777" w:rsidR="0044518E" w:rsidRDefault="0044518E" w:rsidP="006213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4BB86CA6-2A55-4316-9A1F-FCB413C2FA73}"/>
    <w:embedBold r:id="rId2" w:fontKey="{30A2E382-6DA3-4820-95A3-EEC4F86F833B}"/>
    <w:embedItalic r:id="rId3" w:fontKey="{E737694C-952F-49CC-AA02-6B9BDC97489E}"/>
  </w:font>
  <w:font w:name="Exo">
    <w:altName w:val="Times New Roman"/>
    <w:charset w:val="00"/>
    <w:family w:val="auto"/>
    <w:pitch w:val="variable"/>
    <w:sig w:usb0="A00000FF" w:usb1="4000204B" w:usb2="00000000" w:usb3="00000000" w:csb0="00000193" w:csb1="00000000"/>
    <w:embedRegular r:id="rId4" w:fontKey="{1C966869-0481-42B0-BEB7-E4E2E2A77F03}"/>
    <w:embedBold r:id="rId5" w:fontKey="{1C647E13-8FA8-4291-BE87-213D08D2A47F}"/>
    <w:embedItalic r:id="rId6" w:fontKey="{72271156-EE7A-47DA-B040-636CE82DE5E5}"/>
  </w:font>
  <w:font w:name="Aptos Display">
    <w:altName w:val="Arial"/>
    <w:charset w:val="00"/>
    <w:family w:val="swiss"/>
    <w:pitch w:val="variable"/>
    <w:sig w:usb0="20000287" w:usb1="00000003" w:usb2="00000000" w:usb3="00000000" w:csb0="0000019F" w:csb1="00000000"/>
    <w:embedRegular r:id="rId7" w:fontKey="{FCBC70ED-6EEA-442E-939C-68B992D01378}"/>
  </w:font>
  <w:font w:name="Segoe UI">
    <w:panose1 w:val="020B0502040204020203"/>
    <w:charset w:val="00"/>
    <w:family w:val="swiss"/>
    <w:pitch w:val="variable"/>
    <w:sig w:usb0="E4002EFF" w:usb1="C000E47F" w:usb2="00000009" w:usb3="00000000" w:csb0="000001FF" w:csb1="00000000"/>
    <w:embedRegular r:id="rId8" w:fontKey="{DCA714A9-7443-49E4-902B-FB3FD9A8DD20}"/>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901525023"/>
      <w:docPartObj>
        <w:docPartGallery w:val="Page Numbers (Top of Page)"/>
        <w:docPartUnique/>
      </w:docPartObj>
    </w:sdtPr>
    <w:sdtEndPr/>
    <w:sdtContent>
      <w:p w14:paraId="732FF4A9" w14:textId="1E26C33E" w:rsidR="00621321" w:rsidRPr="00621321" w:rsidRDefault="00621321" w:rsidP="00621321">
        <w:pPr>
          <w:pStyle w:val="Piedepgina"/>
          <w:spacing w:before="120"/>
          <w:jc w:val="right"/>
          <w:rPr>
            <w:color w:val="993366"/>
            <w:sz w:val="20"/>
            <w:szCs w:val="20"/>
          </w:rPr>
        </w:pPr>
        <w:r w:rsidRPr="00B33A23">
          <w:rPr>
            <w:b/>
            <w:bCs/>
            <w:color w:val="993366"/>
          </w:rPr>
          <w:t xml:space="preserve">Página </w:t>
        </w:r>
        <w:r w:rsidRPr="00B33A23">
          <w:rPr>
            <w:b/>
            <w:bCs/>
            <w:color w:val="993366"/>
          </w:rPr>
          <w:fldChar w:fldCharType="begin"/>
        </w:r>
        <w:r w:rsidRPr="00B33A23">
          <w:rPr>
            <w:b/>
            <w:bCs/>
            <w:color w:val="993366"/>
          </w:rPr>
          <w:instrText>PAGE</w:instrText>
        </w:r>
        <w:r w:rsidRPr="00B33A23">
          <w:rPr>
            <w:b/>
            <w:bCs/>
            <w:color w:val="993366"/>
          </w:rPr>
          <w:fldChar w:fldCharType="separate"/>
        </w:r>
        <w:r w:rsidR="0083424B">
          <w:rPr>
            <w:b/>
            <w:bCs/>
            <w:noProof/>
            <w:color w:val="993366"/>
          </w:rPr>
          <w:t>10</w:t>
        </w:r>
        <w:r w:rsidRPr="00B33A23">
          <w:rPr>
            <w:b/>
            <w:bCs/>
            <w:color w:val="993366"/>
          </w:rPr>
          <w:fldChar w:fldCharType="end"/>
        </w:r>
        <w:r w:rsidRPr="00B33A23">
          <w:rPr>
            <w:b/>
            <w:bCs/>
            <w:color w:val="993366"/>
          </w:rPr>
          <w:t xml:space="preserve"> | </w:t>
        </w:r>
        <w:r w:rsidRPr="00B33A23">
          <w:rPr>
            <w:b/>
            <w:bCs/>
            <w:color w:val="993366"/>
          </w:rPr>
          <w:fldChar w:fldCharType="begin"/>
        </w:r>
        <w:r w:rsidRPr="00B33A23">
          <w:rPr>
            <w:b/>
            <w:bCs/>
            <w:color w:val="993366"/>
          </w:rPr>
          <w:instrText>NUMPAGES</w:instrText>
        </w:r>
        <w:r w:rsidRPr="00B33A23">
          <w:rPr>
            <w:b/>
            <w:bCs/>
            <w:color w:val="993366"/>
          </w:rPr>
          <w:fldChar w:fldCharType="separate"/>
        </w:r>
        <w:r w:rsidR="0083424B">
          <w:rPr>
            <w:b/>
            <w:bCs/>
            <w:noProof/>
            <w:color w:val="993366"/>
          </w:rPr>
          <w:t>12</w:t>
        </w:r>
        <w:r w:rsidRPr="00B33A23">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AA2AA" w14:textId="77777777" w:rsidR="0044518E" w:rsidRDefault="0044518E" w:rsidP="00621321">
      <w:pPr>
        <w:spacing w:before="0" w:after="0" w:line="240" w:lineRule="auto"/>
      </w:pPr>
      <w:r>
        <w:separator/>
      </w:r>
    </w:p>
  </w:footnote>
  <w:footnote w:type="continuationSeparator" w:id="0">
    <w:p w14:paraId="42C2D40B" w14:textId="77777777" w:rsidR="0044518E" w:rsidRDefault="0044518E" w:rsidP="00621321">
      <w:pPr>
        <w:spacing w:before="0" w:after="0" w:line="240" w:lineRule="auto"/>
      </w:pPr>
      <w:r>
        <w:continuationSeparator/>
      </w:r>
    </w:p>
  </w:footnote>
  <w:footnote w:id="1">
    <w:p w14:paraId="267E8CAF" w14:textId="32914B78" w:rsidR="00F52DE5" w:rsidRPr="00F52DE5" w:rsidRDefault="00F52DE5">
      <w:pPr>
        <w:pStyle w:val="Textonotapie"/>
        <w:rPr>
          <w:lang w:val="es-ES"/>
        </w:rPr>
      </w:pPr>
      <w:r>
        <w:rPr>
          <w:rStyle w:val="Refdenotaalpie"/>
        </w:rPr>
        <w:footnoteRef/>
      </w:r>
      <w:r>
        <w:t xml:space="preserve"> </w:t>
      </w:r>
      <w:r>
        <w:rPr>
          <w:lang w:val="es-ES"/>
        </w:rPr>
        <w:t xml:space="preserve">Véase la tesis </w:t>
      </w:r>
      <w:r w:rsidRPr="0051327C">
        <w:rPr>
          <w:lang w:val="es-ES"/>
        </w:rPr>
        <w:t>L/2015, con rubro “ACTOS PROSELITISTAS. LOS SERVIDORES PÚBLICOS DEBEN ABSTENERSE DE ACUDIR A ELLOS EN DÍAS HÁBILES”.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003A36" w14:paraId="725DAB99" w14:textId="77777777" w:rsidTr="002D3AE7">
      <w:tc>
        <w:tcPr>
          <w:tcW w:w="1813" w:type="dxa"/>
        </w:tcPr>
        <w:p w14:paraId="2300D018" w14:textId="77777777" w:rsidR="00003A36" w:rsidRDefault="00003A36" w:rsidP="00003A36">
          <w:pPr>
            <w:pStyle w:val="Encabezado"/>
          </w:pPr>
          <w:r>
            <w:rPr>
              <w:b/>
              <w:noProof/>
              <w:sz w:val="32"/>
              <w:lang w:eastAsia="es-MX"/>
            </w:rPr>
            <w:drawing>
              <wp:inline distT="0" distB="0" distL="0" distR="0" wp14:anchorId="0E8CFEDA" wp14:editId="5219A4D2">
                <wp:extent cx="1014331" cy="1199403"/>
                <wp:effectExtent l="0" t="0" r="0" b="1270"/>
                <wp:docPr id="2116775955" name="Imagen 211677595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713C00D5" w14:textId="77777777" w:rsidR="00003A36" w:rsidRPr="00B33A23" w:rsidRDefault="00003A36" w:rsidP="00003A36">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25F8DC99" w14:textId="77777777" w:rsidR="00003A36" w:rsidRDefault="00003A36" w:rsidP="00003A36">
          <w:pPr>
            <w:pStyle w:val="Encabezado"/>
            <w:spacing w:before="60"/>
            <w:jc w:val="center"/>
          </w:pPr>
          <w:r w:rsidRPr="00B33A23">
            <w:rPr>
              <w:rFonts w:ascii="Arial" w:hAnsi="Arial" w:cs="Arial"/>
              <w:b/>
              <w:bCs/>
              <w:sz w:val="28"/>
              <w:szCs w:val="28"/>
            </w:rPr>
            <w:t>CONSEJO ESTATAL</w:t>
          </w:r>
        </w:p>
      </w:tc>
      <w:tc>
        <w:tcPr>
          <w:tcW w:w="1560" w:type="dxa"/>
        </w:tcPr>
        <w:p w14:paraId="57339EBD" w14:textId="77777777" w:rsidR="00003A36" w:rsidRDefault="00003A36" w:rsidP="00003A36">
          <w:pPr>
            <w:pStyle w:val="Encabezado"/>
            <w:spacing w:before="480"/>
            <w:jc w:val="right"/>
          </w:pPr>
          <w:r>
            <w:rPr>
              <w:noProof/>
              <w:lang w:eastAsia="es-MX"/>
            </w:rPr>
            <w:drawing>
              <wp:inline distT="0" distB="0" distL="0" distR="0" wp14:anchorId="3CD4EBE6" wp14:editId="4F6AA7B4">
                <wp:extent cx="921600" cy="756000"/>
                <wp:effectExtent l="0" t="0" r="0" b="6350"/>
                <wp:docPr id="68503038"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084E4C0" w14:textId="2FE31429" w:rsidR="000B5098" w:rsidRPr="00B10EE8" w:rsidRDefault="00B10EE8" w:rsidP="00B10EE8">
    <w:pPr>
      <w:pStyle w:val="Encabezado"/>
      <w:jc w:val="right"/>
      <w:rPr>
        <w:rFonts w:ascii="Arial" w:hAnsi="Arial" w:cs="Arial"/>
        <w:b/>
      </w:rPr>
    </w:pPr>
    <w:r>
      <w:rPr>
        <w:rFonts w:ascii="Arial" w:hAnsi="Arial" w:cs="Arial"/>
        <w:b/>
      </w:rPr>
      <w:t>CE/2025/042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1546A"/>
    <w:multiLevelType w:val="hybridMultilevel"/>
    <w:tmpl w:val="3A52DCD0"/>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BD840C9"/>
    <w:multiLevelType w:val="hybridMultilevel"/>
    <w:tmpl w:val="1CB83EDC"/>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73C23B5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03"/>
    <w:rsid w:val="00003A36"/>
    <w:rsid w:val="00062639"/>
    <w:rsid w:val="000B5098"/>
    <w:rsid w:val="000E3142"/>
    <w:rsid w:val="00112C95"/>
    <w:rsid w:val="001B13DE"/>
    <w:rsid w:val="001B4D3F"/>
    <w:rsid w:val="001C3721"/>
    <w:rsid w:val="001F674D"/>
    <w:rsid w:val="00211140"/>
    <w:rsid w:val="00233361"/>
    <w:rsid w:val="002C4410"/>
    <w:rsid w:val="00315B96"/>
    <w:rsid w:val="0032344A"/>
    <w:rsid w:val="00374705"/>
    <w:rsid w:val="00434F3D"/>
    <w:rsid w:val="0044518E"/>
    <w:rsid w:val="004C4B83"/>
    <w:rsid w:val="004F6112"/>
    <w:rsid w:val="0051327C"/>
    <w:rsid w:val="00530664"/>
    <w:rsid w:val="00553870"/>
    <w:rsid w:val="00553F8B"/>
    <w:rsid w:val="005A420B"/>
    <w:rsid w:val="005C12F6"/>
    <w:rsid w:val="005F00C3"/>
    <w:rsid w:val="005F4DCD"/>
    <w:rsid w:val="005F7591"/>
    <w:rsid w:val="00614AE0"/>
    <w:rsid w:val="00621321"/>
    <w:rsid w:val="006321CC"/>
    <w:rsid w:val="007112C8"/>
    <w:rsid w:val="00717F56"/>
    <w:rsid w:val="00756803"/>
    <w:rsid w:val="00765266"/>
    <w:rsid w:val="00765AAE"/>
    <w:rsid w:val="0079468E"/>
    <w:rsid w:val="007A2273"/>
    <w:rsid w:val="007B6820"/>
    <w:rsid w:val="007C28C3"/>
    <w:rsid w:val="007E33CF"/>
    <w:rsid w:val="0083424B"/>
    <w:rsid w:val="00852609"/>
    <w:rsid w:val="00882E4F"/>
    <w:rsid w:val="008A75ED"/>
    <w:rsid w:val="0098320E"/>
    <w:rsid w:val="00996B09"/>
    <w:rsid w:val="009B0DEE"/>
    <w:rsid w:val="00A76A02"/>
    <w:rsid w:val="00AC0A5F"/>
    <w:rsid w:val="00AD4C82"/>
    <w:rsid w:val="00AE04A3"/>
    <w:rsid w:val="00B10EE8"/>
    <w:rsid w:val="00B17832"/>
    <w:rsid w:val="00B6256A"/>
    <w:rsid w:val="00BD4C29"/>
    <w:rsid w:val="00C03049"/>
    <w:rsid w:val="00C07859"/>
    <w:rsid w:val="00C30311"/>
    <w:rsid w:val="00C41FA0"/>
    <w:rsid w:val="00CB31CA"/>
    <w:rsid w:val="00D03FF7"/>
    <w:rsid w:val="00DE790B"/>
    <w:rsid w:val="00DF1E6C"/>
    <w:rsid w:val="00E16F52"/>
    <w:rsid w:val="00E83E72"/>
    <w:rsid w:val="00E86283"/>
    <w:rsid w:val="00EB1983"/>
    <w:rsid w:val="00EC33E1"/>
    <w:rsid w:val="00ED70A0"/>
    <w:rsid w:val="00ED7EA4"/>
    <w:rsid w:val="00F52DE5"/>
    <w:rsid w:val="00F548FA"/>
    <w:rsid w:val="00F662BD"/>
    <w:rsid w:val="00FB5F53"/>
    <w:rsid w:val="00FD62E3"/>
    <w:rsid w:val="00FE5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CE40A"/>
  <w15:chartTrackingRefBased/>
  <w15:docId w15:val="{00BD590D-4B3D-4CC7-B150-4013F1D4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803"/>
    <w:pPr>
      <w:spacing w:before="240" w:after="240" w:line="276" w:lineRule="auto"/>
      <w:jc w:val="both"/>
    </w:pPr>
    <w:rPr>
      <w:rFonts w:ascii="Exo" w:hAnsi="Exo"/>
    </w:rPr>
  </w:style>
  <w:style w:type="paragraph" w:styleId="Ttulo1">
    <w:name w:val="heading 1"/>
    <w:basedOn w:val="Normal"/>
    <w:next w:val="Normal"/>
    <w:link w:val="Ttulo1Car"/>
    <w:uiPriority w:val="9"/>
    <w:qFormat/>
    <w:rsid w:val="00756803"/>
    <w:pPr>
      <w:keepNext/>
      <w:keepLines/>
      <w:numPr>
        <w:numId w:val="4"/>
      </w:numPr>
      <w:spacing w:before="60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756803"/>
    <w:pPr>
      <w:keepNext/>
      <w:keepLines/>
      <w:widowControl w:val="0"/>
      <w:numPr>
        <w:ilvl w:val="1"/>
        <w:numId w:val="4"/>
      </w:numPr>
      <w:spacing w:before="480"/>
      <w:outlineLvl w:val="1"/>
    </w:pPr>
    <w:rPr>
      <w:rFonts w:eastAsiaTheme="majorEastAsia" w:cstheme="majorBidi"/>
      <w:b/>
      <w:bCs/>
      <w:color w:val="0F4761" w:themeColor="accent1" w:themeShade="BF"/>
    </w:rPr>
  </w:style>
  <w:style w:type="paragraph" w:styleId="Ttulo3">
    <w:name w:val="heading 3"/>
    <w:basedOn w:val="Ttulo2"/>
    <w:next w:val="Normal"/>
    <w:link w:val="Ttulo3Car"/>
    <w:uiPriority w:val="9"/>
    <w:unhideWhenUsed/>
    <w:qFormat/>
    <w:rsid w:val="00C41FA0"/>
    <w:pPr>
      <w:numPr>
        <w:ilvl w:val="2"/>
      </w:numPr>
      <w:outlineLvl w:val="2"/>
    </w:pPr>
  </w:style>
  <w:style w:type="paragraph" w:styleId="Ttulo4">
    <w:name w:val="heading 4"/>
    <w:basedOn w:val="Normal"/>
    <w:next w:val="Normal"/>
    <w:link w:val="Ttulo4Car"/>
    <w:uiPriority w:val="9"/>
    <w:semiHidden/>
    <w:unhideWhenUsed/>
    <w:qFormat/>
    <w:rsid w:val="00756803"/>
    <w:pPr>
      <w:keepNext/>
      <w:keepLines/>
      <w:numPr>
        <w:ilvl w:val="3"/>
        <w:numId w:val="4"/>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56803"/>
    <w:pPr>
      <w:keepNext/>
      <w:keepLines/>
      <w:numPr>
        <w:ilvl w:val="4"/>
        <w:numId w:val="4"/>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56803"/>
    <w:pPr>
      <w:keepNext/>
      <w:keepLines/>
      <w:numPr>
        <w:ilvl w:val="5"/>
        <w:numId w:val="4"/>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56803"/>
    <w:pPr>
      <w:keepNext/>
      <w:keepLines/>
      <w:numPr>
        <w:ilvl w:val="6"/>
        <w:numId w:val="4"/>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6803"/>
    <w:pPr>
      <w:keepNext/>
      <w:keepLines/>
      <w:numPr>
        <w:ilvl w:val="7"/>
        <w:numId w:val="4"/>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6803"/>
    <w:pPr>
      <w:keepNext/>
      <w:keepLines/>
      <w:numPr>
        <w:ilvl w:val="8"/>
        <w:numId w:val="4"/>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6803"/>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756803"/>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rsid w:val="00C41FA0"/>
    <w:rPr>
      <w:rFonts w:ascii="Exo" w:eastAsiaTheme="majorEastAsia" w:hAnsi="Exo" w:cstheme="majorBidi"/>
      <w:b/>
      <w:bCs/>
      <w:color w:val="0F4761" w:themeColor="accent1" w:themeShade="BF"/>
    </w:rPr>
  </w:style>
  <w:style w:type="character" w:customStyle="1" w:styleId="Ttulo4Car">
    <w:name w:val="Título 4 Car"/>
    <w:basedOn w:val="Fuentedeprrafopredeter"/>
    <w:link w:val="Ttulo4"/>
    <w:uiPriority w:val="9"/>
    <w:semiHidden/>
    <w:rsid w:val="0075680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5680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5680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680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680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6803"/>
    <w:rPr>
      <w:rFonts w:eastAsiaTheme="majorEastAsia" w:cstheme="majorBidi"/>
      <w:color w:val="272727" w:themeColor="text1" w:themeTint="D8"/>
    </w:rPr>
  </w:style>
  <w:style w:type="paragraph" w:styleId="Ttulo">
    <w:name w:val="Title"/>
    <w:basedOn w:val="Normal"/>
    <w:next w:val="Normal"/>
    <w:link w:val="TtuloCar"/>
    <w:uiPriority w:val="10"/>
    <w:qFormat/>
    <w:rsid w:val="00756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680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5680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5680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6803"/>
    <w:pPr>
      <w:spacing w:before="160"/>
      <w:jc w:val="center"/>
    </w:pPr>
    <w:rPr>
      <w:i/>
      <w:iCs/>
      <w:color w:val="404040" w:themeColor="text1" w:themeTint="BF"/>
    </w:rPr>
  </w:style>
  <w:style w:type="character" w:customStyle="1" w:styleId="CitaCar">
    <w:name w:val="Cita Car"/>
    <w:basedOn w:val="Fuentedeprrafopredeter"/>
    <w:link w:val="Cita"/>
    <w:uiPriority w:val="29"/>
    <w:rsid w:val="00756803"/>
    <w:rPr>
      <w:i/>
      <w:iCs/>
      <w:color w:val="404040" w:themeColor="text1" w:themeTint="BF"/>
    </w:rPr>
  </w:style>
  <w:style w:type="paragraph" w:styleId="Prrafodelista">
    <w:name w:val="List Paragraph"/>
    <w:basedOn w:val="Normal"/>
    <w:uiPriority w:val="34"/>
    <w:qFormat/>
    <w:rsid w:val="00756803"/>
    <w:pPr>
      <w:ind w:left="720"/>
      <w:contextualSpacing/>
    </w:pPr>
  </w:style>
  <w:style w:type="character" w:styleId="nfasisintenso">
    <w:name w:val="Intense Emphasis"/>
    <w:basedOn w:val="Fuentedeprrafopredeter"/>
    <w:uiPriority w:val="21"/>
    <w:qFormat/>
    <w:rsid w:val="00756803"/>
    <w:rPr>
      <w:i/>
      <w:iCs/>
      <w:color w:val="0F4761" w:themeColor="accent1" w:themeShade="BF"/>
    </w:rPr>
  </w:style>
  <w:style w:type="paragraph" w:styleId="Citadestacada">
    <w:name w:val="Intense Quote"/>
    <w:basedOn w:val="Normal"/>
    <w:next w:val="Normal"/>
    <w:link w:val="CitadestacadaCar"/>
    <w:uiPriority w:val="30"/>
    <w:qFormat/>
    <w:rsid w:val="00756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56803"/>
    <w:rPr>
      <w:i/>
      <w:iCs/>
      <w:color w:val="0F4761" w:themeColor="accent1" w:themeShade="BF"/>
    </w:rPr>
  </w:style>
  <w:style w:type="character" w:styleId="Referenciaintensa">
    <w:name w:val="Intense Reference"/>
    <w:basedOn w:val="Fuentedeprrafopredeter"/>
    <w:uiPriority w:val="32"/>
    <w:qFormat/>
    <w:rsid w:val="00756803"/>
    <w:rPr>
      <w:b/>
      <w:bCs/>
      <w:smallCaps/>
      <w:color w:val="0F4761" w:themeColor="accent1" w:themeShade="BF"/>
      <w:spacing w:val="5"/>
    </w:rPr>
  </w:style>
  <w:style w:type="table" w:styleId="Tablaconcuadrcula">
    <w:name w:val="Table Grid"/>
    <w:basedOn w:val="Tablanormal"/>
    <w:uiPriority w:val="39"/>
    <w:rsid w:val="0062132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2132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21321"/>
    <w:rPr>
      <w:rFonts w:ascii="Exo" w:hAnsi="Exo"/>
    </w:rPr>
  </w:style>
  <w:style w:type="paragraph" w:styleId="Piedepgina">
    <w:name w:val="footer"/>
    <w:basedOn w:val="Normal"/>
    <w:link w:val="PiedepginaCar"/>
    <w:uiPriority w:val="99"/>
    <w:unhideWhenUsed/>
    <w:rsid w:val="0062132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21321"/>
    <w:rPr>
      <w:rFonts w:ascii="Exo" w:hAnsi="Exo"/>
    </w:rPr>
  </w:style>
  <w:style w:type="paragraph" w:styleId="Textonotapie">
    <w:name w:val="footnote text"/>
    <w:basedOn w:val="Normal"/>
    <w:link w:val="TextonotapieCar"/>
    <w:uiPriority w:val="99"/>
    <w:semiHidden/>
    <w:unhideWhenUsed/>
    <w:rsid w:val="0051327C"/>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1327C"/>
    <w:rPr>
      <w:rFonts w:ascii="Exo" w:hAnsi="Exo"/>
      <w:sz w:val="20"/>
      <w:szCs w:val="20"/>
    </w:rPr>
  </w:style>
  <w:style w:type="character" w:styleId="Refdenotaalpie">
    <w:name w:val="footnote reference"/>
    <w:basedOn w:val="Fuentedeprrafopredeter"/>
    <w:uiPriority w:val="99"/>
    <w:semiHidden/>
    <w:unhideWhenUsed/>
    <w:rsid w:val="0051327C"/>
    <w:rPr>
      <w:vertAlign w:val="superscript"/>
    </w:rPr>
  </w:style>
  <w:style w:type="paragraph" w:styleId="Textodeglobo">
    <w:name w:val="Balloon Text"/>
    <w:basedOn w:val="Normal"/>
    <w:link w:val="TextodegloboCar"/>
    <w:uiPriority w:val="99"/>
    <w:semiHidden/>
    <w:unhideWhenUsed/>
    <w:rsid w:val="008A75ED"/>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75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6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33A2A-3228-47BB-A35B-30DBC5727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3849</Words>
  <Characters>21172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22</cp:revision>
  <cp:lastPrinted>2025-04-05T00:03:00Z</cp:lastPrinted>
  <dcterms:created xsi:type="dcterms:W3CDTF">2025-04-02T21:37:00Z</dcterms:created>
  <dcterms:modified xsi:type="dcterms:W3CDTF">2025-04-05T00:29:00Z</dcterms:modified>
</cp:coreProperties>
</file>