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309E1" w14:textId="3073BBB9" w:rsidR="00F158C7" w:rsidRPr="00AB453F" w:rsidRDefault="00AB453F" w:rsidP="00F158C7">
      <w:pPr>
        <w:rPr>
          <w:rFonts w:ascii="Arial" w:hAnsi="Arial" w:cs="Arial"/>
          <w:b/>
          <w:bCs/>
        </w:rPr>
      </w:pPr>
      <w:r w:rsidRPr="00AB453F">
        <w:rPr>
          <w:rFonts w:ascii="Arial" w:hAnsi="Arial" w:cs="Arial"/>
          <w:b/>
          <w:bCs/>
        </w:rPr>
        <w:t xml:space="preserve">ACUERDO QUE, A PROPUESTA DE LA </w:t>
      </w:r>
      <w:bookmarkStart w:id="0" w:name="_Hlk194576633"/>
      <w:r w:rsidRPr="00AB453F">
        <w:rPr>
          <w:rFonts w:ascii="Arial" w:hAnsi="Arial" w:cs="Arial"/>
          <w:b/>
          <w:bCs/>
        </w:rPr>
        <w:t>COMISIÓN TEMPORAL PARA LA DIFUSIÓN DE PERSONAS CANDIDATAS A UN CARGO DE ELECCIÓN EN EL PODER JUDICIAL DEL ESTADO</w:t>
      </w:r>
      <w:bookmarkEnd w:id="0"/>
      <w:r w:rsidRPr="00AB453F">
        <w:rPr>
          <w:rFonts w:ascii="Arial" w:hAnsi="Arial" w:cs="Arial"/>
          <w:b/>
          <w:bCs/>
        </w:rPr>
        <w:t xml:space="preserve">, EMITE EL CONSEJO ESTATAL DEL INSTITUTO ELECTORAL Y DE PARTICIPACIÓN CIUDADANA DE TABASCO, POR EL QUE APRUEBA EL PROGRAMA DE TRABAJO Y LOS LINEAMIENTOS PARA EL USO DEL SISTEMA “CANDIDATAS Y CANDIDATOS: CONÓCELES” PARA EL PROCESO ELECTORAL LOCAL EXTRAORDINARIO PARA PERSONAS JUZGADORAS DEL PODER JUDICIAL DEL ESTADO DE TABASCO 2024 – 2025 </w:t>
      </w:r>
    </w:p>
    <w:p w14:paraId="4FCFA1EC" w14:textId="77777777" w:rsidR="00F158C7" w:rsidRPr="00A14F7E" w:rsidRDefault="00F158C7" w:rsidP="00F158C7">
      <w:pPr>
        <w:rPr>
          <w:rFonts w:ascii="Arial" w:hAnsi="Arial" w:cs="Arial"/>
          <w:sz w:val="22"/>
          <w:szCs w:val="22"/>
        </w:rPr>
      </w:pPr>
      <w:r w:rsidRPr="00A14F7E">
        <w:rPr>
          <w:rFonts w:ascii="Arial" w:hAnsi="Arial" w:cs="Arial"/>
          <w:sz w:val="22"/>
          <w:szCs w:val="22"/>
        </w:rPr>
        <w:t>Para efectos del presente acuerdo se usarán las abreviaturas y definiciones siguientes:</w:t>
      </w:r>
    </w:p>
    <w:tbl>
      <w:tblPr>
        <w:tblW w:w="7348" w:type="dxa"/>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ayout w:type="fixed"/>
        <w:tblLook w:val="0400" w:firstRow="0" w:lastRow="0" w:firstColumn="0" w:lastColumn="0" w:noHBand="0" w:noVBand="1"/>
      </w:tblPr>
      <w:tblGrid>
        <w:gridCol w:w="3001"/>
        <w:gridCol w:w="4347"/>
      </w:tblGrid>
      <w:tr w:rsidR="00AB453F" w:rsidRPr="00A14F7E" w14:paraId="5E6A03D8" w14:textId="77777777" w:rsidTr="00C0146A">
        <w:trPr>
          <w:trHeight w:val="624"/>
          <w:jc w:val="center"/>
        </w:trPr>
        <w:tc>
          <w:tcPr>
            <w:tcW w:w="3001" w:type="dxa"/>
            <w:shd w:val="clear" w:color="auto" w:fill="auto"/>
            <w:vAlign w:val="center"/>
          </w:tcPr>
          <w:p w14:paraId="00015933"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t>Comisión:</w:t>
            </w:r>
          </w:p>
        </w:tc>
        <w:tc>
          <w:tcPr>
            <w:tcW w:w="4347" w:type="dxa"/>
            <w:shd w:val="clear" w:color="auto" w:fill="auto"/>
            <w:vAlign w:val="center"/>
          </w:tcPr>
          <w:p w14:paraId="4EC7B4A5" w14:textId="77777777" w:rsidR="00573CFA" w:rsidRPr="00A14F7E" w:rsidRDefault="00573CFA" w:rsidP="00C0146A">
            <w:pPr>
              <w:spacing w:before="120" w:after="120"/>
              <w:rPr>
                <w:rFonts w:ascii="Arial" w:eastAsia="Arial" w:hAnsi="Arial" w:cs="Arial"/>
                <w:sz w:val="20"/>
                <w:szCs w:val="20"/>
              </w:rPr>
            </w:pPr>
            <w:r w:rsidRPr="00A14F7E">
              <w:rPr>
                <w:rFonts w:ascii="Arial" w:eastAsia="Arial" w:hAnsi="Arial" w:cs="Arial"/>
                <w:sz w:val="20"/>
                <w:szCs w:val="20"/>
              </w:rPr>
              <w:t>Comisión Temporal para la Difusión de Personas Candidatas a un cargo de elección en el Poder Judicial del Estado.</w:t>
            </w:r>
          </w:p>
        </w:tc>
      </w:tr>
      <w:tr w:rsidR="00AB453F" w:rsidRPr="00A14F7E" w14:paraId="558C48EC" w14:textId="77777777" w:rsidTr="00C0146A">
        <w:trPr>
          <w:trHeight w:val="624"/>
          <w:jc w:val="center"/>
        </w:trPr>
        <w:tc>
          <w:tcPr>
            <w:tcW w:w="3001" w:type="dxa"/>
            <w:shd w:val="clear" w:color="auto" w:fill="auto"/>
            <w:vAlign w:val="center"/>
          </w:tcPr>
          <w:p w14:paraId="24225E5F"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t>Consejo Estatal:</w:t>
            </w:r>
          </w:p>
        </w:tc>
        <w:tc>
          <w:tcPr>
            <w:tcW w:w="4347" w:type="dxa"/>
            <w:shd w:val="clear" w:color="auto" w:fill="auto"/>
            <w:vAlign w:val="center"/>
          </w:tcPr>
          <w:p w14:paraId="558B2160" w14:textId="77777777" w:rsidR="00573CFA" w:rsidRPr="00A14F7E" w:rsidRDefault="00573CFA" w:rsidP="00C0146A">
            <w:pPr>
              <w:spacing w:before="120" w:after="120"/>
              <w:rPr>
                <w:rFonts w:ascii="Arial" w:eastAsia="Arial" w:hAnsi="Arial" w:cs="Arial"/>
                <w:sz w:val="20"/>
                <w:szCs w:val="20"/>
              </w:rPr>
            </w:pPr>
            <w:r w:rsidRPr="00A14F7E">
              <w:rPr>
                <w:rFonts w:ascii="Arial" w:eastAsia="Arial" w:hAnsi="Arial" w:cs="Arial"/>
                <w:sz w:val="20"/>
                <w:szCs w:val="20"/>
              </w:rPr>
              <w:t>Consejo Estatal del Instituto Electoral y de Participación Ciudadana de Tabasco.</w:t>
            </w:r>
          </w:p>
        </w:tc>
      </w:tr>
      <w:tr w:rsidR="00AB453F" w:rsidRPr="00A14F7E" w14:paraId="5259ED56" w14:textId="77777777" w:rsidTr="00C0146A">
        <w:trPr>
          <w:trHeight w:val="624"/>
          <w:jc w:val="center"/>
        </w:trPr>
        <w:tc>
          <w:tcPr>
            <w:tcW w:w="3001" w:type="dxa"/>
            <w:shd w:val="clear" w:color="auto" w:fill="auto"/>
            <w:vAlign w:val="center"/>
          </w:tcPr>
          <w:p w14:paraId="01D678E7"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t>Constitución Federal:</w:t>
            </w:r>
          </w:p>
        </w:tc>
        <w:tc>
          <w:tcPr>
            <w:tcW w:w="4347" w:type="dxa"/>
            <w:shd w:val="clear" w:color="auto" w:fill="auto"/>
            <w:vAlign w:val="center"/>
          </w:tcPr>
          <w:p w14:paraId="1BE8F05D" w14:textId="77777777" w:rsidR="00573CFA" w:rsidRPr="00A14F7E" w:rsidRDefault="00573CFA" w:rsidP="00C0146A">
            <w:pPr>
              <w:spacing w:before="120" w:after="120"/>
              <w:rPr>
                <w:rFonts w:ascii="Arial" w:eastAsia="Arial" w:hAnsi="Arial" w:cs="Arial"/>
                <w:sz w:val="20"/>
                <w:szCs w:val="20"/>
              </w:rPr>
            </w:pPr>
            <w:r w:rsidRPr="00A14F7E">
              <w:rPr>
                <w:rFonts w:ascii="Arial" w:eastAsia="Arial" w:hAnsi="Arial" w:cs="Arial"/>
                <w:sz w:val="20"/>
                <w:szCs w:val="20"/>
              </w:rPr>
              <w:t>Constitución Política de los Estados Unidos Mexicanos.</w:t>
            </w:r>
          </w:p>
        </w:tc>
      </w:tr>
      <w:tr w:rsidR="00AB453F" w:rsidRPr="00A14F7E" w14:paraId="1D61B6E8" w14:textId="77777777" w:rsidTr="00C0146A">
        <w:trPr>
          <w:trHeight w:val="624"/>
          <w:jc w:val="center"/>
        </w:trPr>
        <w:tc>
          <w:tcPr>
            <w:tcW w:w="3001" w:type="dxa"/>
            <w:shd w:val="clear" w:color="auto" w:fill="auto"/>
            <w:vAlign w:val="center"/>
          </w:tcPr>
          <w:p w14:paraId="5EF2ED02"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t>Constitución Local:</w:t>
            </w:r>
          </w:p>
        </w:tc>
        <w:tc>
          <w:tcPr>
            <w:tcW w:w="4347" w:type="dxa"/>
            <w:shd w:val="clear" w:color="auto" w:fill="auto"/>
            <w:vAlign w:val="center"/>
          </w:tcPr>
          <w:p w14:paraId="287B4DBB" w14:textId="77777777" w:rsidR="00573CFA" w:rsidRPr="00A14F7E" w:rsidRDefault="00573CFA" w:rsidP="00C0146A">
            <w:pPr>
              <w:spacing w:before="120" w:after="120"/>
              <w:rPr>
                <w:rFonts w:ascii="Arial" w:eastAsia="Arial" w:hAnsi="Arial" w:cs="Arial"/>
                <w:sz w:val="20"/>
                <w:szCs w:val="20"/>
              </w:rPr>
            </w:pPr>
            <w:r w:rsidRPr="00A14F7E">
              <w:rPr>
                <w:rFonts w:ascii="Arial" w:eastAsia="Arial" w:hAnsi="Arial" w:cs="Arial"/>
                <w:sz w:val="20"/>
                <w:szCs w:val="20"/>
              </w:rPr>
              <w:t>Constitución Política del Estado Libre y Soberano de Tabasco.</w:t>
            </w:r>
          </w:p>
        </w:tc>
      </w:tr>
      <w:tr w:rsidR="00AB453F" w:rsidRPr="00A14F7E" w14:paraId="7AE58BD0" w14:textId="77777777" w:rsidTr="00C0146A">
        <w:trPr>
          <w:trHeight w:val="624"/>
          <w:jc w:val="center"/>
        </w:trPr>
        <w:tc>
          <w:tcPr>
            <w:tcW w:w="3001" w:type="dxa"/>
            <w:shd w:val="clear" w:color="auto" w:fill="auto"/>
            <w:vAlign w:val="center"/>
          </w:tcPr>
          <w:p w14:paraId="48B2B00E"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t>Instituto:</w:t>
            </w:r>
          </w:p>
        </w:tc>
        <w:tc>
          <w:tcPr>
            <w:tcW w:w="4347" w:type="dxa"/>
            <w:shd w:val="clear" w:color="auto" w:fill="auto"/>
          </w:tcPr>
          <w:p w14:paraId="0A18F7C2" w14:textId="77777777" w:rsidR="00573CFA" w:rsidRPr="00A14F7E" w:rsidRDefault="00573CFA" w:rsidP="00C0146A">
            <w:pPr>
              <w:spacing w:before="120" w:after="120"/>
              <w:rPr>
                <w:rFonts w:ascii="Arial" w:eastAsia="Arial" w:hAnsi="Arial" w:cs="Arial"/>
                <w:sz w:val="20"/>
                <w:szCs w:val="20"/>
              </w:rPr>
            </w:pPr>
            <w:r w:rsidRPr="00A14F7E">
              <w:rPr>
                <w:rFonts w:ascii="Arial" w:eastAsia="Arial" w:hAnsi="Arial" w:cs="Arial"/>
                <w:sz w:val="20"/>
                <w:szCs w:val="20"/>
              </w:rPr>
              <w:t>Instituto Electoral y de Participación Ciudadana de Tabasco.</w:t>
            </w:r>
          </w:p>
        </w:tc>
      </w:tr>
      <w:tr w:rsidR="00AB453F" w:rsidRPr="00A14F7E" w14:paraId="20BFADA4" w14:textId="77777777" w:rsidTr="00C0146A">
        <w:trPr>
          <w:trHeight w:val="624"/>
          <w:jc w:val="center"/>
        </w:trPr>
        <w:tc>
          <w:tcPr>
            <w:tcW w:w="3001" w:type="dxa"/>
            <w:shd w:val="clear" w:color="auto" w:fill="auto"/>
            <w:vAlign w:val="center"/>
          </w:tcPr>
          <w:p w14:paraId="5331AF8F"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t>Ley Electoral:</w:t>
            </w:r>
          </w:p>
        </w:tc>
        <w:tc>
          <w:tcPr>
            <w:tcW w:w="4347" w:type="dxa"/>
            <w:shd w:val="clear" w:color="auto" w:fill="auto"/>
            <w:vAlign w:val="center"/>
          </w:tcPr>
          <w:p w14:paraId="3428EAAD" w14:textId="77777777" w:rsidR="00573CFA" w:rsidRPr="00A14F7E" w:rsidRDefault="00573CFA" w:rsidP="00C0146A">
            <w:pPr>
              <w:spacing w:before="120" w:after="120"/>
              <w:rPr>
                <w:rFonts w:ascii="Arial" w:eastAsia="Arial" w:hAnsi="Arial" w:cs="Arial"/>
                <w:sz w:val="20"/>
                <w:szCs w:val="20"/>
              </w:rPr>
            </w:pPr>
            <w:r w:rsidRPr="00A14F7E">
              <w:rPr>
                <w:rFonts w:ascii="Arial" w:eastAsia="Arial" w:hAnsi="Arial" w:cs="Arial"/>
                <w:sz w:val="20"/>
                <w:szCs w:val="20"/>
              </w:rPr>
              <w:t>Ley Electoral y de Partidos Políticos del Estado de Tabasco.</w:t>
            </w:r>
          </w:p>
        </w:tc>
      </w:tr>
      <w:tr w:rsidR="00AB453F" w:rsidRPr="00A14F7E" w14:paraId="51288DD7" w14:textId="77777777" w:rsidTr="00C0146A">
        <w:trPr>
          <w:trHeight w:val="624"/>
          <w:jc w:val="center"/>
        </w:trPr>
        <w:tc>
          <w:tcPr>
            <w:tcW w:w="3001" w:type="dxa"/>
            <w:shd w:val="clear" w:color="auto" w:fill="auto"/>
            <w:vAlign w:val="center"/>
          </w:tcPr>
          <w:p w14:paraId="7475284B"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t>Ley General:</w:t>
            </w:r>
          </w:p>
        </w:tc>
        <w:tc>
          <w:tcPr>
            <w:tcW w:w="4347" w:type="dxa"/>
            <w:shd w:val="clear" w:color="auto" w:fill="auto"/>
            <w:vAlign w:val="center"/>
          </w:tcPr>
          <w:p w14:paraId="4D97BC88" w14:textId="77777777" w:rsidR="00573CFA" w:rsidRPr="00A14F7E" w:rsidRDefault="00573CFA" w:rsidP="00C0146A">
            <w:pPr>
              <w:spacing w:before="120" w:after="120"/>
              <w:rPr>
                <w:rFonts w:ascii="Arial" w:eastAsia="Arial" w:hAnsi="Arial" w:cs="Arial"/>
                <w:sz w:val="20"/>
                <w:szCs w:val="20"/>
              </w:rPr>
            </w:pPr>
            <w:r w:rsidRPr="00A14F7E">
              <w:rPr>
                <w:rFonts w:ascii="Arial" w:eastAsia="Arial" w:hAnsi="Arial" w:cs="Arial"/>
                <w:sz w:val="20"/>
                <w:szCs w:val="20"/>
              </w:rPr>
              <w:t>Ley General de Instituciones y Procedimientos Electorales.</w:t>
            </w:r>
          </w:p>
        </w:tc>
      </w:tr>
      <w:tr w:rsidR="00AB453F" w:rsidRPr="00A14F7E" w14:paraId="24C9A9AD" w14:textId="77777777" w:rsidTr="00C0146A">
        <w:trPr>
          <w:trHeight w:val="624"/>
          <w:jc w:val="center"/>
        </w:trPr>
        <w:tc>
          <w:tcPr>
            <w:tcW w:w="3001" w:type="dxa"/>
            <w:shd w:val="clear" w:color="auto" w:fill="auto"/>
            <w:vAlign w:val="center"/>
          </w:tcPr>
          <w:p w14:paraId="1BD6422E"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t>Proceso Electoral Extraordinario:</w:t>
            </w:r>
          </w:p>
        </w:tc>
        <w:tc>
          <w:tcPr>
            <w:tcW w:w="4347" w:type="dxa"/>
            <w:shd w:val="clear" w:color="auto" w:fill="auto"/>
            <w:vAlign w:val="center"/>
          </w:tcPr>
          <w:p w14:paraId="05B5A6B9" w14:textId="77777777" w:rsidR="00573CFA" w:rsidRPr="00A14F7E" w:rsidRDefault="00573CFA" w:rsidP="00C0146A">
            <w:pPr>
              <w:spacing w:before="120" w:after="120"/>
              <w:rPr>
                <w:rFonts w:ascii="Arial" w:eastAsia="Arial" w:hAnsi="Arial" w:cs="Arial"/>
                <w:sz w:val="20"/>
                <w:szCs w:val="20"/>
              </w:rPr>
            </w:pPr>
            <w:r w:rsidRPr="00A14F7E">
              <w:rPr>
                <w:rFonts w:ascii="Arial" w:hAnsi="Arial" w:cs="Arial"/>
                <w:sz w:val="20"/>
                <w:szCs w:val="20"/>
              </w:rPr>
              <w:t>Proceso Electoral Local Extraordinario para personas juzgadoras del Poder Judicial del Estado de Tabasco 2024 – 2025.</w:t>
            </w:r>
          </w:p>
        </w:tc>
      </w:tr>
      <w:tr w:rsidR="00AB453F" w:rsidRPr="00A14F7E" w14:paraId="4D887AFD" w14:textId="77777777" w:rsidTr="00C0146A">
        <w:trPr>
          <w:trHeight w:val="624"/>
          <w:jc w:val="center"/>
        </w:trPr>
        <w:tc>
          <w:tcPr>
            <w:tcW w:w="3001" w:type="dxa"/>
            <w:shd w:val="clear" w:color="auto" w:fill="auto"/>
            <w:vAlign w:val="center"/>
          </w:tcPr>
          <w:p w14:paraId="677F1A9A"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lastRenderedPageBreak/>
              <w:t>Reglamento de Comisiones:</w:t>
            </w:r>
          </w:p>
        </w:tc>
        <w:tc>
          <w:tcPr>
            <w:tcW w:w="4347" w:type="dxa"/>
            <w:shd w:val="clear" w:color="auto" w:fill="auto"/>
            <w:vAlign w:val="center"/>
          </w:tcPr>
          <w:p w14:paraId="122C6E19" w14:textId="77777777" w:rsidR="00573CFA" w:rsidRPr="00A14F7E" w:rsidRDefault="00573CFA" w:rsidP="00C0146A">
            <w:pPr>
              <w:spacing w:before="120" w:after="120"/>
              <w:rPr>
                <w:rFonts w:ascii="Arial" w:eastAsia="Arial" w:hAnsi="Arial" w:cs="Arial"/>
                <w:sz w:val="20"/>
                <w:szCs w:val="20"/>
              </w:rPr>
            </w:pPr>
            <w:r w:rsidRPr="00A14F7E">
              <w:rPr>
                <w:rFonts w:ascii="Arial" w:eastAsia="Arial" w:hAnsi="Arial" w:cs="Arial"/>
                <w:sz w:val="20"/>
                <w:szCs w:val="20"/>
              </w:rPr>
              <w:t>Reglamento de Comisiones del Consejo Estatal del Instituto Electoral y de Participación Ciudadana de Tabasco.</w:t>
            </w:r>
          </w:p>
        </w:tc>
      </w:tr>
      <w:tr w:rsidR="00AB453F" w:rsidRPr="00A14F7E" w14:paraId="78B91045" w14:textId="77777777" w:rsidTr="00C0146A">
        <w:trPr>
          <w:trHeight w:val="949"/>
          <w:jc w:val="center"/>
        </w:trPr>
        <w:tc>
          <w:tcPr>
            <w:tcW w:w="3001" w:type="dxa"/>
            <w:shd w:val="clear" w:color="auto" w:fill="auto"/>
            <w:vAlign w:val="center"/>
          </w:tcPr>
          <w:p w14:paraId="07E327D0"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t>Reglamento de Elecciones:</w:t>
            </w:r>
          </w:p>
        </w:tc>
        <w:tc>
          <w:tcPr>
            <w:tcW w:w="4347" w:type="dxa"/>
            <w:shd w:val="clear" w:color="auto" w:fill="auto"/>
            <w:vAlign w:val="center"/>
          </w:tcPr>
          <w:p w14:paraId="307AF941" w14:textId="77777777" w:rsidR="00573CFA" w:rsidRPr="00A14F7E" w:rsidRDefault="00573CFA" w:rsidP="00C0146A">
            <w:pPr>
              <w:spacing w:before="120" w:after="120"/>
              <w:rPr>
                <w:rFonts w:ascii="Arial" w:eastAsia="Arial" w:hAnsi="Arial" w:cs="Arial"/>
                <w:sz w:val="20"/>
                <w:szCs w:val="20"/>
              </w:rPr>
            </w:pPr>
            <w:r w:rsidRPr="00A14F7E">
              <w:rPr>
                <w:rFonts w:ascii="Arial" w:eastAsia="Arial" w:hAnsi="Arial" w:cs="Arial"/>
                <w:sz w:val="20"/>
                <w:szCs w:val="20"/>
              </w:rPr>
              <w:t>Reglamento de Elecciones del Instituto Nacional Electoral.</w:t>
            </w:r>
          </w:p>
        </w:tc>
      </w:tr>
      <w:tr w:rsidR="00AB453F" w:rsidRPr="00A14F7E" w14:paraId="1F57F428" w14:textId="77777777" w:rsidTr="00C0146A">
        <w:trPr>
          <w:trHeight w:val="624"/>
          <w:jc w:val="center"/>
        </w:trPr>
        <w:tc>
          <w:tcPr>
            <w:tcW w:w="3001" w:type="dxa"/>
            <w:shd w:val="clear" w:color="auto" w:fill="auto"/>
            <w:vAlign w:val="center"/>
          </w:tcPr>
          <w:p w14:paraId="6EB22937" w14:textId="77777777" w:rsidR="00573CFA" w:rsidRPr="00A14F7E" w:rsidRDefault="00573CFA" w:rsidP="00C0146A">
            <w:pPr>
              <w:spacing w:before="120" w:after="120"/>
              <w:jc w:val="right"/>
              <w:rPr>
                <w:rFonts w:ascii="Arial" w:eastAsia="Arial" w:hAnsi="Arial" w:cs="Arial"/>
                <w:b/>
                <w:sz w:val="20"/>
                <w:szCs w:val="20"/>
              </w:rPr>
            </w:pPr>
            <w:r w:rsidRPr="00A14F7E">
              <w:rPr>
                <w:rFonts w:ascii="Arial" w:eastAsia="Arial" w:hAnsi="Arial" w:cs="Arial"/>
                <w:b/>
                <w:sz w:val="20"/>
                <w:szCs w:val="20"/>
              </w:rPr>
              <w:t>Secretaría Ejecutiva:</w:t>
            </w:r>
          </w:p>
        </w:tc>
        <w:tc>
          <w:tcPr>
            <w:tcW w:w="4347" w:type="dxa"/>
            <w:shd w:val="clear" w:color="auto" w:fill="auto"/>
            <w:vAlign w:val="center"/>
          </w:tcPr>
          <w:p w14:paraId="43E41073" w14:textId="77777777" w:rsidR="00573CFA" w:rsidRPr="00A14F7E" w:rsidRDefault="00573CFA" w:rsidP="00C0146A">
            <w:pPr>
              <w:spacing w:before="120" w:after="120"/>
              <w:rPr>
                <w:rFonts w:ascii="Arial" w:eastAsia="Arial" w:hAnsi="Arial" w:cs="Arial"/>
                <w:sz w:val="20"/>
                <w:szCs w:val="20"/>
              </w:rPr>
            </w:pPr>
            <w:r w:rsidRPr="00A14F7E">
              <w:rPr>
                <w:rFonts w:ascii="Arial" w:eastAsia="Arial" w:hAnsi="Arial" w:cs="Arial"/>
                <w:sz w:val="20"/>
                <w:szCs w:val="20"/>
              </w:rPr>
              <w:t>Secretaría Ejecutiva del Instituto Electoral y de Participación Ciudadana de Tabasco.</w:t>
            </w:r>
          </w:p>
        </w:tc>
      </w:tr>
    </w:tbl>
    <w:p w14:paraId="6C70BF95" w14:textId="77777777" w:rsidR="00F158C7" w:rsidRPr="00A14F7E" w:rsidRDefault="00F158C7" w:rsidP="0052174D">
      <w:pPr>
        <w:pStyle w:val="Ttulo1"/>
        <w:rPr>
          <w:rFonts w:ascii="Arial" w:hAnsi="Arial" w:cs="Arial"/>
          <w:sz w:val="24"/>
          <w:szCs w:val="24"/>
        </w:rPr>
      </w:pPr>
      <w:r w:rsidRPr="00A14F7E">
        <w:rPr>
          <w:rFonts w:ascii="Arial" w:hAnsi="Arial" w:cs="Arial"/>
          <w:sz w:val="24"/>
          <w:szCs w:val="24"/>
        </w:rPr>
        <w:t>Antecedentes</w:t>
      </w:r>
    </w:p>
    <w:p w14:paraId="3C72A294" w14:textId="77777777" w:rsidR="00F158C7" w:rsidRPr="00A14F7E" w:rsidRDefault="00F158C7" w:rsidP="00BD0B7F">
      <w:pPr>
        <w:pStyle w:val="Ttulo2"/>
        <w:keepNext w:val="0"/>
        <w:widowControl w:val="0"/>
        <w:rPr>
          <w:rFonts w:ascii="Arial" w:hAnsi="Arial" w:cs="Arial"/>
          <w:sz w:val="22"/>
          <w:szCs w:val="22"/>
        </w:rPr>
      </w:pPr>
      <w:r w:rsidRPr="00A14F7E">
        <w:rPr>
          <w:rFonts w:ascii="Arial" w:hAnsi="Arial" w:cs="Arial"/>
          <w:sz w:val="22"/>
          <w:szCs w:val="22"/>
        </w:rPr>
        <w:t>Fines del Instituto</w:t>
      </w:r>
    </w:p>
    <w:p w14:paraId="14D3CD87"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488C5213" w14:textId="77777777" w:rsidR="00164310" w:rsidRPr="00A14F7E" w:rsidRDefault="00164310" w:rsidP="00164310">
      <w:pPr>
        <w:widowControl w:val="0"/>
        <w:rPr>
          <w:rFonts w:ascii="Arial" w:hAnsi="Arial" w:cs="Arial"/>
          <w:sz w:val="22"/>
          <w:szCs w:val="22"/>
        </w:rPr>
      </w:pPr>
      <w:r w:rsidRPr="00A14F7E">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05AE43E1"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 xml:space="preserve">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w:t>
      </w:r>
      <w:r w:rsidRPr="00A14F7E">
        <w:rPr>
          <w:rFonts w:ascii="Arial" w:hAnsi="Arial" w:cs="Arial"/>
          <w:sz w:val="22"/>
          <w:szCs w:val="22"/>
        </w:rPr>
        <w:lastRenderedPageBreak/>
        <w:t>los ejercicios de consultas populares y demás formas de participación ciudadana.</w:t>
      </w:r>
    </w:p>
    <w:p w14:paraId="096EC54A" w14:textId="77777777" w:rsidR="00F158C7" w:rsidRPr="00A14F7E" w:rsidRDefault="00F158C7" w:rsidP="00BD0B7F">
      <w:pPr>
        <w:pStyle w:val="Ttulo2"/>
        <w:keepNext w:val="0"/>
        <w:widowControl w:val="0"/>
        <w:rPr>
          <w:rFonts w:ascii="Arial" w:hAnsi="Arial" w:cs="Arial"/>
          <w:sz w:val="22"/>
          <w:szCs w:val="22"/>
        </w:rPr>
      </w:pPr>
      <w:r w:rsidRPr="00A14F7E">
        <w:rPr>
          <w:rFonts w:ascii="Arial" w:hAnsi="Arial" w:cs="Arial"/>
          <w:sz w:val="22"/>
          <w:szCs w:val="22"/>
        </w:rPr>
        <w:t>Integración del órgano superior de dirección</w:t>
      </w:r>
    </w:p>
    <w:p w14:paraId="79936459"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267D9A94"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Dicho órgano electoral, de conformidad con los artículos 99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3B9FD723"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No obstante, de acuerdo con el artículo segundo transitorio del decreto 080 de reforma publicado el 16 de diciembre de 2024 en el Periódico Oficial del Estado de Tabasco, se estableció que las y los representantes de los partidos políticos ante el Consejo Estatal no podrán participar en las acciones, actividades y sesiones relacionadas con el Proceso Electoral Extraordinario.</w:t>
      </w:r>
    </w:p>
    <w:p w14:paraId="7E0D3C78" w14:textId="77777777" w:rsidR="00F158C7" w:rsidRPr="00A14F7E" w:rsidRDefault="00F158C7" w:rsidP="00BD0B7F">
      <w:pPr>
        <w:pStyle w:val="Ttulo2"/>
        <w:keepNext w:val="0"/>
        <w:widowControl w:val="0"/>
        <w:rPr>
          <w:rFonts w:ascii="Arial" w:hAnsi="Arial" w:cs="Arial"/>
          <w:sz w:val="22"/>
          <w:szCs w:val="22"/>
        </w:rPr>
      </w:pPr>
      <w:r w:rsidRPr="00A14F7E">
        <w:rPr>
          <w:rFonts w:ascii="Arial" w:hAnsi="Arial" w:cs="Arial"/>
          <w:sz w:val="22"/>
          <w:szCs w:val="22"/>
        </w:rPr>
        <w:t>Órganos centrales del Instituto</w:t>
      </w:r>
    </w:p>
    <w:p w14:paraId="5CD5B0DE"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De acuerdo con el artículo 105 numeral 1 de la Ley Electoral los órganos centrales del Instituto son los siguientes:</w:t>
      </w:r>
    </w:p>
    <w:p w14:paraId="0CEF166F" w14:textId="77777777" w:rsidR="00F158C7" w:rsidRPr="00A14F7E" w:rsidRDefault="00F158C7" w:rsidP="00BD0B7F">
      <w:pPr>
        <w:pStyle w:val="Prrafodelista"/>
        <w:widowControl w:val="0"/>
        <w:numPr>
          <w:ilvl w:val="0"/>
          <w:numId w:val="1"/>
        </w:numPr>
        <w:ind w:left="703" w:hanging="703"/>
        <w:rPr>
          <w:rFonts w:ascii="Arial" w:hAnsi="Arial" w:cs="Arial"/>
          <w:sz w:val="22"/>
          <w:szCs w:val="22"/>
        </w:rPr>
      </w:pPr>
      <w:r w:rsidRPr="00A14F7E">
        <w:rPr>
          <w:rFonts w:ascii="Arial" w:hAnsi="Arial" w:cs="Arial"/>
          <w:sz w:val="22"/>
          <w:szCs w:val="22"/>
        </w:rPr>
        <w:t>Consejo Estatal;</w:t>
      </w:r>
    </w:p>
    <w:p w14:paraId="4B3C5560" w14:textId="77777777" w:rsidR="00F158C7" w:rsidRPr="00A14F7E" w:rsidRDefault="00F158C7" w:rsidP="00BD0B7F">
      <w:pPr>
        <w:pStyle w:val="Prrafodelista"/>
        <w:widowControl w:val="0"/>
        <w:numPr>
          <w:ilvl w:val="0"/>
          <w:numId w:val="1"/>
        </w:numPr>
        <w:ind w:left="703" w:hanging="703"/>
        <w:rPr>
          <w:rFonts w:ascii="Arial" w:hAnsi="Arial" w:cs="Arial"/>
          <w:sz w:val="22"/>
          <w:szCs w:val="22"/>
        </w:rPr>
      </w:pPr>
      <w:r w:rsidRPr="00A14F7E">
        <w:rPr>
          <w:rFonts w:ascii="Arial" w:hAnsi="Arial" w:cs="Arial"/>
          <w:sz w:val="22"/>
          <w:szCs w:val="22"/>
        </w:rPr>
        <w:t>Presidencia del Consejo Estatal;</w:t>
      </w:r>
    </w:p>
    <w:p w14:paraId="64A40E6D" w14:textId="77777777" w:rsidR="00F158C7" w:rsidRPr="00A14F7E" w:rsidRDefault="00F158C7" w:rsidP="00BD0B7F">
      <w:pPr>
        <w:pStyle w:val="Prrafodelista"/>
        <w:widowControl w:val="0"/>
        <w:numPr>
          <w:ilvl w:val="0"/>
          <w:numId w:val="1"/>
        </w:numPr>
        <w:ind w:left="703" w:hanging="703"/>
        <w:rPr>
          <w:rFonts w:ascii="Arial" w:hAnsi="Arial" w:cs="Arial"/>
          <w:sz w:val="22"/>
          <w:szCs w:val="22"/>
        </w:rPr>
      </w:pPr>
      <w:r w:rsidRPr="00A14F7E">
        <w:rPr>
          <w:rFonts w:ascii="Arial" w:hAnsi="Arial" w:cs="Arial"/>
          <w:sz w:val="22"/>
          <w:szCs w:val="22"/>
        </w:rPr>
        <w:t>Junta Estatal Ejecutiva;</w:t>
      </w:r>
    </w:p>
    <w:p w14:paraId="04CA618A" w14:textId="77777777" w:rsidR="00F158C7" w:rsidRPr="00A14F7E" w:rsidRDefault="00F158C7" w:rsidP="00BD0B7F">
      <w:pPr>
        <w:pStyle w:val="Prrafodelista"/>
        <w:widowControl w:val="0"/>
        <w:numPr>
          <w:ilvl w:val="0"/>
          <w:numId w:val="1"/>
        </w:numPr>
        <w:ind w:left="703" w:hanging="703"/>
        <w:rPr>
          <w:rFonts w:ascii="Arial" w:hAnsi="Arial" w:cs="Arial"/>
          <w:sz w:val="22"/>
          <w:szCs w:val="22"/>
        </w:rPr>
      </w:pPr>
      <w:r w:rsidRPr="00A14F7E">
        <w:rPr>
          <w:rFonts w:ascii="Arial" w:hAnsi="Arial" w:cs="Arial"/>
          <w:sz w:val="22"/>
          <w:szCs w:val="22"/>
        </w:rPr>
        <w:t>Secretaría Ejecutiva, y</w:t>
      </w:r>
    </w:p>
    <w:p w14:paraId="630C9ADC" w14:textId="77777777" w:rsidR="00F158C7" w:rsidRPr="00A14F7E" w:rsidRDefault="00F158C7" w:rsidP="00BD0B7F">
      <w:pPr>
        <w:pStyle w:val="Prrafodelista"/>
        <w:widowControl w:val="0"/>
        <w:numPr>
          <w:ilvl w:val="0"/>
          <w:numId w:val="1"/>
        </w:numPr>
        <w:ind w:left="703" w:hanging="703"/>
        <w:rPr>
          <w:rFonts w:ascii="Arial" w:hAnsi="Arial" w:cs="Arial"/>
          <w:sz w:val="22"/>
          <w:szCs w:val="22"/>
        </w:rPr>
      </w:pPr>
      <w:r w:rsidRPr="00A14F7E">
        <w:rPr>
          <w:rFonts w:ascii="Arial" w:hAnsi="Arial" w:cs="Arial"/>
          <w:sz w:val="22"/>
          <w:szCs w:val="22"/>
        </w:rPr>
        <w:t>Órgano Técnico de Fiscalización.</w:t>
      </w:r>
    </w:p>
    <w:p w14:paraId="759DDECF" w14:textId="77777777" w:rsidR="00F158C7" w:rsidRPr="00A14F7E" w:rsidRDefault="00F158C7" w:rsidP="00BD0B7F">
      <w:pPr>
        <w:pStyle w:val="Ttulo2"/>
        <w:keepNext w:val="0"/>
        <w:widowControl w:val="0"/>
        <w:rPr>
          <w:rFonts w:ascii="Arial" w:hAnsi="Arial" w:cs="Arial"/>
          <w:sz w:val="22"/>
          <w:szCs w:val="22"/>
        </w:rPr>
      </w:pPr>
      <w:r w:rsidRPr="00A14F7E">
        <w:rPr>
          <w:rFonts w:ascii="Arial" w:hAnsi="Arial" w:cs="Arial"/>
          <w:sz w:val="22"/>
          <w:szCs w:val="22"/>
        </w:rPr>
        <w:t xml:space="preserve">Reforma Constitucional </w:t>
      </w:r>
    </w:p>
    <w:p w14:paraId="447992D3"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 xml:space="preserve">El 16 de diciembre de 2024 se publicó en el Periódico Oficial del Estado de Tabasco, el decreto 080 mediante el cual, el Congreso Local reformó los artículos 9, párrafo tercero, la fracción I de su Apartado C, y las fracciones VI y VII del Apartado D; 36, fracciones </w:t>
      </w:r>
      <w:r w:rsidRPr="00A14F7E">
        <w:rPr>
          <w:rFonts w:ascii="Arial" w:hAnsi="Arial" w:cs="Arial"/>
          <w:sz w:val="22"/>
          <w:szCs w:val="22"/>
        </w:rPr>
        <w:lastRenderedPageBreak/>
        <w:t>XIV, XIX y XXI; 55, párrafos primero y segundo; 55 Bis; 55 Ter; 56; 57; 59, párrafo primero; 62; 63; 68, párrafo primero; 73 Ter, párrafo segundo, fracción VII; 75, párrafo primero y 79; asimismo, adicionó la fracción VIII del Apartado D del artículo 9 y derogó el párrafo segundo de la fracción XXI del artículo 36, la fracción IV del artículo 39; el inciso b) de la fracción I del artículo 55; y el artículo 61; todos de la Constitución Local.  Dicha reforma entró en vigor el 17 de diciembre de 2024.</w:t>
      </w:r>
    </w:p>
    <w:p w14:paraId="07028A96"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Con la reforma mencionada se determinó que la renovación de los Poderes Legislativo, Ejecutivo, Judicial y de los gobiernos municipales, se realizará mediante elecciones libres, auténticas y periódicas, a través del sufragio universal, libre, secreto, directo, personal e intransferible, cuyo ejercicio está garantizado por la propia Constitución Local.</w:t>
      </w:r>
    </w:p>
    <w:p w14:paraId="078B5F7B" w14:textId="77777777" w:rsidR="00F158C7" w:rsidRPr="00A14F7E" w:rsidRDefault="00F158C7" w:rsidP="00BD0B7F">
      <w:pPr>
        <w:pStyle w:val="Ttulo2"/>
        <w:keepNext w:val="0"/>
        <w:widowControl w:val="0"/>
        <w:rPr>
          <w:rFonts w:ascii="Arial" w:hAnsi="Arial" w:cs="Arial"/>
          <w:sz w:val="22"/>
          <w:szCs w:val="22"/>
        </w:rPr>
      </w:pPr>
      <w:r w:rsidRPr="00A14F7E">
        <w:rPr>
          <w:rFonts w:ascii="Arial" w:hAnsi="Arial" w:cs="Arial"/>
          <w:sz w:val="22"/>
          <w:szCs w:val="22"/>
        </w:rPr>
        <w:t>Inicio del Proceso Electoral Extraordinario</w:t>
      </w:r>
    </w:p>
    <w:p w14:paraId="08DAB400"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El 20 de diciembre de 2024, en cumplimiento al artículo segundo transitorio del decreto 080, el Consejo Estatal declaró el inicio del Proceso Electoral Extraordinario en el que se elegirán a las Magistradas y Magistrados que integran el Tribunal de Disciplina Judicial, el cincuenta por ciento de las Magistradas y Magistrados que integran el Pleno del Tribunal Superior de Justicia, así como el cincuenta por ciento de las Juezas y Jueces del Poder Judicial del Estado.</w:t>
      </w:r>
    </w:p>
    <w:p w14:paraId="28D0186D" w14:textId="17E7890F" w:rsidR="00BD0B7F" w:rsidRPr="00A14F7E" w:rsidRDefault="004C7465" w:rsidP="00BD0B7F">
      <w:pPr>
        <w:pStyle w:val="Ttulo2"/>
        <w:rPr>
          <w:rFonts w:ascii="Arial" w:hAnsi="Arial" w:cs="Arial"/>
          <w:sz w:val="22"/>
          <w:szCs w:val="22"/>
        </w:rPr>
      </w:pPr>
      <w:r w:rsidRPr="00A14F7E">
        <w:rPr>
          <w:rFonts w:ascii="Arial" w:hAnsi="Arial" w:cs="Arial"/>
          <w:sz w:val="22"/>
          <w:szCs w:val="22"/>
        </w:rPr>
        <w:t xml:space="preserve">Lineamientos del </w:t>
      </w:r>
      <w:r w:rsidR="00BD0B7F" w:rsidRPr="00A14F7E">
        <w:rPr>
          <w:rFonts w:ascii="Arial" w:hAnsi="Arial" w:cs="Arial"/>
          <w:sz w:val="22"/>
          <w:szCs w:val="22"/>
        </w:rPr>
        <w:t>Sistema “Candidatas y Candidatos: Conóceles”</w:t>
      </w:r>
      <w:r w:rsidRPr="00A14F7E">
        <w:rPr>
          <w:rFonts w:ascii="Arial" w:hAnsi="Arial" w:cs="Arial"/>
          <w:sz w:val="22"/>
          <w:szCs w:val="22"/>
        </w:rPr>
        <w:t xml:space="preserve"> aprobados por el INE</w:t>
      </w:r>
    </w:p>
    <w:p w14:paraId="3198088D" w14:textId="04DF32D6" w:rsidR="00BD0B7F" w:rsidRPr="00A14F7E" w:rsidRDefault="00BD0B7F" w:rsidP="00BD0B7F">
      <w:pPr>
        <w:widowControl w:val="0"/>
        <w:rPr>
          <w:rFonts w:ascii="Arial" w:hAnsi="Arial" w:cs="Arial"/>
          <w:sz w:val="22"/>
          <w:szCs w:val="22"/>
        </w:rPr>
      </w:pPr>
      <w:r w:rsidRPr="00A14F7E">
        <w:rPr>
          <w:rFonts w:ascii="Arial" w:hAnsi="Arial" w:cs="Arial"/>
          <w:sz w:val="22"/>
          <w:szCs w:val="22"/>
        </w:rPr>
        <w:t>El 13 de enero de 2025, mediante acuerdo INE/</w:t>
      </w:r>
      <w:proofErr w:type="spellStart"/>
      <w:r w:rsidRPr="00A14F7E">
        <w:rPr>
          <w:rFonts w:ascii="Arial" w:hAnsi="Arial" w:cs="Arial"/>
          <w:sz w:val="22"/>
          <w:szCs w:val="22"/>
        </w:rPr>
        <w:t>CG03</w:t>
      </w:r>
      <w:proofErr w:type="spellEnd"/>
      <w:r w:rsidRPr="00A14F7E">
        <w:rPr>
          <w:rFonts w:ascii="Arial" w:hAnsi="Arial" w:cs="Arial"/>
          <w:sz w:val="22"/>
          <w:szCs w:val="22"/>
        </w:rPr>
        <w:t xml:space="preserve">/2025, el Consejo General del INE aprobó el </w:t>
      </w:r>
      <w:proofErr w:type="spellStart"/>
      <w:r w:rsidRPr="00A14F7E">
        <w:rPr>
          <w:rFonts w:ascii="Arial" w:hAnsi="Arial" w:cs="Arial"/>
          <w:sz w:val="22"/>
          <w:szCs w:val="22"/>
        </w:rPr>
        <w:t>micrositio</w:t>
      </w:r>
      <w:proofErr w:type="spellEnd"/>
      <w:r w:rsidRPr="00A14F7E">
        <w:rPr>
          <w:rFonts w:ascii="Arial" w:hAnsi="Arial" w:cs="Arial"/>
          <w:sz w:val="22"/>
          <w:szCs w:val="22"/>
        </w:rPr>
        <w:t xml:space="preserve"> “Sistema Conóceles para la Elección de Integrantes del Poder judicial de la Federación” y los lineamientos para su uso.</w:t>
      </w:r>
    </w:p>
    <w:p w14:paraId="49380DF6" w14:textId="77777777" w:rsidR="00F158C7" w:rsidRPr="00A14F7E" w:rsidRDefault="00F158C7" w:rsidP="00BD0B7F">
      <w:pPr>
        <w:pStyle w:val="Ttulo2"/>
        <w:keepNext w:val="0"/>
        <w:widowControl w:val="0"/>
        <w:rPr>
          <w:rFonts w:ascii="Arial" w:hAnsi="Arial" w:cs="Arial"/>
          <w:sz w:val="22"/>
          <w:szCs w:val="22"/>
        </w:rPr>
      </w:pPr>
      <w:r w:rsidRPr="00A14F7E">
        <w:rPr>
          <w:rFonts w:ascii="Arial" w:hAnsi="Arial" w:cs="Arial"/>
          <w:sz w:val="22"/>
          <w:szCs w:val="22"/>
        </w:rPr>
        <w:t>Reforma a la Ley Electoral</w:t>
      </w:r>
    </w:p>
    <w:p w14:paraId="067C656C"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El 18 de enero de 2025, se publicó en el Periódico Oficial del Estado de Tabasco, el decreto 083, mediante el cual, el H. Congreso del Estado reformó los artículos 1 fracción IV, 101 fracción IV, 115 numeral 1 fracciones XXXVIII y XXXIX, 116 fracción III, 127 numeral 4, 128, 335 numeral 1 fracción III y adicionó las fracciones II bis y II ter del numeral 1 del artículo 2, la fracción XL al numeral 1 del artículo 115, el numeral 5 del artículo 115, segundo párrafo al numeral 1 del artículo 127, el libro noveno que comprenden los artículos 384 al 419, todos de la Ley Electoral.</w:t>
      </w:r>
    </w:p>
    <w:p w14:paraId="7FB3AD4C" w14:textId="77777777" w:rsidR="00C132B5" w:rsidRPr="00A14F7E" w:rsidRDefault="00C132B5" w:rsidP="00BD0B7F">
      <w:pPr>
        <w:pStyle w:val="Ttulo2"/>
        <w:keepNext w:val="0"/>
        <w:widowControl w:val="0"/>
        <w:rPr>
          <w:rFonts w:ascii="Arial" w:hAnsi="Arial" w:cs="Arial"/>
          <w:sz w:val="22"/>
          <w:szCs w:val="22"/>
        </w:rPr>
      </w:pPr>
      <w:r w:rsidRPr="00A14F7E">
        <w:rPr>
          <w:rFonts w:ascii="Arial" w:hAnsi="Arial" w:cs="Arial"/>
          <w:sz w:val="22"/>
          <w:szCs w:val="22"/>
        </w:rPr>
        <w:lastRenderedPageBreak/>
        <w:t>Directrices emitidas por el INE</w:t>
      </w:r>
    </w:p>
    <w:p w14:paraId="2C18B26D" w14:textId="32FE1CDC" w:rsidR="00C132B5" w:rsidRPr="00A14F7E" w:rsidRDefault="00C132B5" w:rsidP="00BD0B7F">
      <w:pPr>
        <w:widowControl w:val="0"/>
        <w:rPr>
          <w:rFonts w:ascii="Arial" w:hAnsi="Arial" w:cs="Arial"/>
          <w:sz w:val="22"/>
          <w:szCs w:val="22"/>
        </w:rPr>
      </w:pPr>
      <w:r w:rsidRPr="00A14F7E">
        <w:rPr>
          <w:rFonts w:ascii="Arial" w:hAnsi="Arial" w:cs="Arial"/>
          <w:sz w:val="22"/>
          <w:szCs w:val="22"/>
        </w:rPr>
        <w:t>El 30 de enero de 2025, mediante acuerdo INE/</w:t>
      </w:r>
      <w:proofErr w:type="spellStart"/>
      <w:r w:rsidRPr="00A14F7E">
        <w:rPr>
          <w:rFonts w:ascii="Arial" w:hAnsi="Arial" w:cs="Arial"/>
          <w:sz w:val="22"/>
          <w:szCs w:val="22"/>
        </w:rPr>
        <w:t>CG52</w:t>
      </w:r>
      <w:proofErr w:type="spellEnd"/>
      <w:r w:rsidRPr="00A14F7E">
        <w:rPr>
          <w:rFonts w:ascii="Arial" w:hAnsi="Arial" w:cs="Arial"/>
          <w:sz w:val="22"/>
          <w:szCs w:val="22"/>
        </w:rPr>
        <w:t>/2025, el Consejo General del INE emitió directrices generales para la organización de los procesos electorales de los poderes judiciales de las entidades federativas en el proceso extraordinario 2025, en los que, entre otras, se determinó que los Lineamientos del Sistema “Candidatas y Candidatos</w:t>
      </w:r>
      <w:r w:rsidR="00281CA8" w:rsidRPr="00A14F7E">
        <w:rPr>
          <w:rFonts w:ascii="Arial" w:hAnsi="Arial" w:cs="Arial"/>
          <w:sz w:val="22"/>
          <w:szCs w:val="22"/>
        </w:rPr>
        <w:t>: Conóceles</w:t>
      </w:r>
      <w:r w:rsidRPr="00A14F7E">
        <w:rPr>
          <w:rFonts w:ascii="Arial" w:hAnsi="Arial" w:cs="Arial"/>
          <w:sz w:val="22"/>
          <w:szCs w:val="22"/>
        </w:rPr>
        <w:t xml:space="preserve">” podrán ser utilizados por los organismos electorales que así lo requieran, como referencia para que en el marco de sus atribuciones emitan sus propias directrices para las elecciones locales, en donde se recomienda prever que será obligación de las personas candidatas que suban su información a los </w:t>
      </w:r>
      <w:proofErr w:type="spellStart"/>
      <w:r w:rsidRPr="00A14F7E">
        <w:rPr>
          <w:rFonts w:ascii="Arial" w:hAnsi="Arial" w:cs="Arial"/>
          <w:sz w:val="22"/>
          <w:szCs w:val="22"/>
        </w:rPr>
        <w:t>micrositios</w:t>
      </w:r>
      <w:proofErr w:type="spellEnd"/>
      <w:r w:rsidRPr="00A14F7E">
        <w:rPr>
          <w:rFonts w:ascii="Arial" w:hAnsi="Arial" w:cs="Arial"/>
          <w:sz w:val="22"/>
          <w:szCs w:val="22"/>
        </w:rPr>
        <w:t xml:space="preserve"> o plataformas dispuestas para tal efecto.</w:t>
      </w:r>
    </w:p>
    <w:p w14:paraId="70FAB8F3" w14:textId="77777777" w:rsidR="00C57AD7" w:rsidRPr="00A14F7E" w:rsidRDefault="00C57AD7" w:rsidP="00C57AD7">
      <w:pPr>
        <w:pStyle w:val="Ttulo2"/>
        <w:keepNext w:val="0"/>
        <w:spacing w:line="281" w:lineRule="auto"/>
        <w:rPr>
          <w:rFonts w:ascii="Arial" w:hAnsi="Arial" w:cs="Arial"/>
          <w:sz w:val="22"/>
          <w:szCs w:val="22"/>
        </w:rPr>
      </w:pPr>
      <w:r w:rsidRPr="00A14F7E">
        <w:rPr>
          <w:rFonts w:ascii="Arial" w:hAnsi="Arial" w:cs="Arial"/>
          <w:sz w:val="22"/>
          <w:szCs w:val="22"/>
        </w:rPr>
        <w:t xml:space="preserve">Integración de la Comisión </w:t>
      </w:r>
    </w:p>
    <w:p w14:paraId="5D963B6F" w14:textId="33D691B8" w:rsidR="00C57AD7" w:rsidRPr="00A14F7E" w:rsidRDefault="00C57AD7" w:rsidP="00C57AD7">
      <w:pPr>
        <w:widowControl w:val="0"/>
        <w:spacing w:line="281" w:lineRule="auto"/>
        <w:rPr>
          <w:rFonts w:ascii="Arial" w:hAnsi="Arial" w:cs="Arial"/>
          <w:sz w:val="22"/>
          <w:szCs w:val="22"/>
        </w:rPr>
      </w:pPr>
      <w:r w:rsidRPr="00A14F7E">
        <w:rPr>
          <w:rFonts w:ascii="Arial" w:hAnsi="Arial" w:cs="Arial"/>
          <w:sz w:val="22"/>
          <w:szCs w:val="22"/>
        </w:rPr>
        <w:t xml:space="preserve">El 30 de enero de 2025, mediante acuerdo CE/2025/007, el Consejo Estatal constituyó, entre otras, la Comisión Temporal para la Difusión de Personas Candidatas a un cargo de elección en el Poder Judicial del Estado, la cual quedó integrada por el Consejero Electoral Mtro. Vladimir Hernández Venegas y las Consejeras Electorales, Mtra. Elizabeth Nava Gutiérrez y Mtra. Ruth </w:t>
      </w:r>
      <w:proofErr w:type="spellStart"/>
      <w:r w:rsidRPr="00A14F7E">
        <w:rPr>
          <w:rFonts w:ascii="Arial" w:hAnsi="Arial" w:cs="Arial"/>
          <w:sz w:val="22"/>
          <w:szCs w:val="22"/>
        </w:rPr>
        <w:t>Lizette</w:t>
      </w:r>
      <w:proofErr w:type="spellEnd"/>
      <w:r w:rsidRPr="00A14F7E">
        <w:rPr>
          <w:rFonts w:ascii="Arial" w:hAnsi="Arial" w:cs="Arial"/>
          <w:sz w:val="22"/>
          <w:szCs w:val="22"/>
        </w:rPr>
        <w:t xml:space="preserve"> Toledo Peral, ésta última Presidenta de la Comisión.</w:t>
      </w:r>
    </w:p>
    <w:p w14:paraId="6D4B858C" w14:textId="77777777" w:rsidR="00F158C7" w:rsidRPr="00A14F7E" w:rsidRDefault="00F158C7" w:rsidP="00BD0B7F">
      <w:pPr>
        <w:pStyle w:val="Ttulo2"/>
        <w:keepNext w:val="0"/>
        <w:widowControl w:val="0"/>
        <w:rPr>
          <w:rFonts w:ascii="Arial" w:hAnsi="Arial" w:cs="Arial"/>
          <w:sz w:val="22"/>
          <w:szCs w:val="22"/>
        </w:rPr>
      </w:pPr>
      <w:r w:rsidRPr="00A14F7E">
        <w:rPr>
          <w:rFonts w:ascii="Arial" w:hAnsi="Arial" w:cs="Arial"/>
          <w:sz w:val="22"/>
          <w:szCs w:val="22"/>
        </w:rPr>
        <w:t>Jornada electoral</w:t>
      </w:r>
    </w:p>
    <w:p w14:paraId="054F373C"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En términos del artículo segundo transitorio del decreto 080, la jornada electoral se celebrará el primer domingo de junio del año de la elección; que, en el caso del Proceso Electoral Extraordinario, corresponde al 1 de junio de 2025. Asimismo, podrán participar como observadoras las personas o agrupaciones acreditadas por el Instituto, con excepción de las y los representantes o militantes de un partido político.</w:t>
      </w:r>
    </w:p>
    <w:p w14:paraId="14AB673F" w14:textId="77777777" w:rsidR="00BE65D8" w:rsidRPr="00A14F7E" w:rsidRDefault="00BE65D8" w:rsidP="00BE65D8">
      <w:pPr>
        <w:pStyle w:val="Ttulo2"/>
        <w:keepNext w:val="0"/>
        <w:spacing w:line="281" w:lineRule="auto"/>
        <w:rPr>
          <w:rFonts w:ascii="Arial" w:hAnsi="Arial" w:cs="Arial"/>
          <w:sz w:val="22"/>
          <w:szCs w:val="22"/>
        </w:rPr>
      </w:pPr>
      <w:r w:rsidRPr="00A14F7E">
        <w:rPr>
          <w:rFonts w:ascii="Arial" w:hAnsi="Arial" w:cs="Arial"/>
          <w:sz w:val="22"/>
          <w:szCs w:val="22"/>
        </w:rPr>
        <w:t>Presentación de la propuesta</w:t>
      </w:r>
    </w:p>
    <w:p w14:paraId="0EA4A146" w14:textId="2EC9E871" w:rsidR="00BE65D8" w:rsidRPr="00A14F7E" w:rsidRDefault="00BE65D8" w:rsidP="00BE65D8">
      <w:pPr>
        <w:widowControl w:val="0"/>
        <w:spacing w:line="281" w:lineRule="auto"/>
        <w:rPr>
          <w:rFonts w:ascii="Arial" w:hAnsi="Arial" w:cs="Arial"/>
          <w:sz w:val="22"/>
          <w:szCs w:val="22"/>
        </w:rPr>
      </w:pPr>
      <w:r w:rsidRPr="00A14F7E">
        <w:rPr>
          <w:rFonts w:ascii="Arial" w:hAnsi="Arial" w:cs="Arial"/>
          <w:sz w:val="22"/>
          <w:szCs w:val="22"/>
        </w:rPr>
        <w:t>El 3 de abril de 2025, la Secretaria Técnica de la Comisión remitió a la Presidencia del Consejo, la propuesta relativa al Programa de Trabajo y los Lineamientos para el uso del Sistema “Candidatas y Candidatos: Conóceles” para el Proceso Electoral Extraordinario, formulados por dicha Comisión; lo anterior, para efectos de someterlo a la deliberación de este Consejo Estatal.</w:t>
      </w:r>
    </w:p>
    <w:p w14:paraId="4B06B783" w14:textId="77777777" w:rsidR="00F158C7" w:rsidRPr="00A14F7E" w:rsidRDefault="00F158C7" w:rsidP="00BD0B7F">
      <w:pPr>
        <w:pStyle w:val="Ttulo1"/>
        <w:keepNext w:val="0"/>
        <w:widowControl w:val="0"/>
        <w:rPr>
          <w:rFonts w:ascii="Arial" w:hAnsi="Arial" w:cs="Arial"/>
          <w:sz w:val="24"/>
          <w:szCs w:val="24"/>
        </w:rPr>
      </w:pPr>
      <w:r w:rsidRPr="00A14F7E">
        <w:rPr>
          <w:rFonts w:ascii="Arial" w:hAnsi="Arial" w:cs="Arial"/>
          <w:sz w:val="24"/>
          <w:szCs w:val="24"/>
        </w:rPr>
        <w:lastRenderedPageBreak/>
        <w:t>Considerando</w:t>
      </w:r>
    </w:p>
    <w:p w14:paraId="5BBAF7B4" w14:textId="77777777" w:rsidR="00F158C7" w:rsidRPr="00A14F7E" w:rsidRDefault="00F158C7" w:rsidP="00BD0B7F">
      <w:pPr>
        <w:pStyle w:val="Ttulo2"/>
        <w:keepNext w:val="0"/>
        <w:widowControl w:val="0"/>
        <w:rPr>
          <w:rFonts w:ascii="Arial" w:hAnsi="Arial" w:cs="Arial"/>
          <w:sz w:val="22"/>
          <w:szCs w:val="22"/>
        </w:rPr>
      </w:pPr>
      <w:r w:rsidRPr="00A14F7E">
        <w:rPr>
          <w:rFonts w:ascii="Arial" w:hAnsi="Arial" w:cs="Arial"/>
          <w:sz w:val="22"/>
          <w:szCs w:val="22"/>
        </w:rPr>
        <w:t xml:space="preserve">Competencia del Consejo Estatal </w:t>
      </w:r>
    </w:p>
    <w:p w14:paraId="61C11326" w14:textId="0AC185A4" w:rsidR="00F158C7" w:rsidRPr="00A14F7E" w:rsidRDefault="00F158C7" w:rsidP="00BD0B7F">
      <w:pPr>
        <w:widowControl w:val="0"/>
        <w:rPr>
          <w:rFonts w:ascii="Arial" w:hAnsi="Arial" w:cs="Arial"/>
          <w:sz w:val="22"/>
          <w:szCs w:val="22"/>
        </w:rPr>
      </w:pPr>
      <w:r w:rsidRPr="00A14F7E">
        <w:rPr>
          <w:rFonts w:ascii="Arial" w:hAnsi="Arial" w:cs="Arial"/>
          <w:sz w:val="22"/>
          <w:szCs w:val="22"/>
        </w:rPr>
        <w:t>Que, de conformidad con los artículos 115 numeral 1, fracción XL y 393 numeral 1, fracción XI de la Ley Electoral, el Consejo Estatal es competente para organizar el proceso electivo de las personas juzgadoras, su jornada electoral y los cómputos de los resultados electorales, en los términos que determine la Ley General y dicha Ley, así como coadyuvar en la difusión equitativa de las propuestas de personas candidatas y promover la participación ciudadana en el proceso electivo.</w:t>
      </w:r>
    </w:p>
    <w:p w14:paraId="375A8FE3" w14:textId="77777777" w:rsidR="00F158C7" w:rsidRPr="00A14F7E" w:rsidRDefault="00F158C7" w:rsidP="00BD0B7F">
      <w:pPr>
        <w:widowControl w:val="0"/>
        <w:rPr>
          <w:rFonts w:ascii="Arial" w:hAnsi="Arial" w:cs="Arial"/>
          <w:sz w:val="22"/>
          <w:szCs w:val="22"/>
        </w:rPr>
      </w:pPr>
      <w:r w:rsidRPr="00A14F7E">
        <w:rPr>
          <w:rFonts w:ascii="Arial" w:hAnsi="Arial" w:cs="Arial"/>
          <w:sz w:val="22"/>
          <w:szCs w:val="22"/>
        </w:rPr>
        <w:t>Acorde a lo anterior, el artículo 115 numeral 5 de la Ley Electoral establece que, el Consejo Estatal podrá emitir los acuerdos que estime necesarios para la organización, integración de la estructura, desarrollo, cómputo, vigilancia y fiscalización de los procesos electorales de las personas juzgadoras, garantizando el cumplimiento de las disposiciones constitucionales y legales aplicables para los procesos electorales estatales, observando los principios de certeza, legalidad, independencia, imparcialidad, máxima publicidad, objetividad y paridad de género.</w:t>
      </w:r>
    </w:p>
    <w:p w14:paraId="1EE7DFE8" w14:textId="77777777" w:rsidR="005D2D73" w:rsidRPr="00A14F7E" w:rsidRDefault="005D2D73" w:rsidP="00BD0B7F">
      <w:pPr>
        <w:pStyle w:val="Ttulo2"/>
        <w:keepNext w:val="0"/>
        <w:widowControl w:val="0"/>
        <w:rPr>
          <w:rFonts w:ascii="Arial" w:hAnsi="Arial" w:cs="Arial"/>
          <w:sz w:val="22"/>
          <w:szCs w:val="22"/>
        </w:rPr>
      </w:pPr>
      <w:r w:rsidRPr="00A14F7E">
        <w:rPr>
          <w:rFonts w:ascii="Arial" w:hAnsi="Arial" w:cs="Arial"/>
          <w:sz w:val="22"/>
          <w:szCs w:val="22"/>
        </w:rPr>
        <w:t>Órganos auxiliares del Consejo Estatal</w:t>
      </w:r>
    </w:p>
    <w:p w14:paraId="408595F5"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Que, el artículo 113 numeral 1 de la Ley Electoral establece que el Consejo Estatal, además de las comisiones permanentes de Vinculación con el INE, de Organización Electoral y Educación Cívica, de Denuncias y Quejas, y de Igualdad de Género y no Discriminación; podrá constituir las comisiones temporales que considere pertinentes para el desempeño de sus atribuciones, las que siempre serán presididas por una Consejera o un Consejero Electoral, salvo la de Vinculación con el Instituto Nacional Electoral, que será presidida por la Consejera o el Consejero Presidente.</w:t>
      </w:r>
    </w:p>
    <w:p w14:paraId="5FD6A734" w14:textId="580214ED" w:rsidR="005D2D73" w:rsidRDefault="005D2D73" w:rsidP="00BD0B7F">
      <w:pPr>
        <w:widowControl w:val="0"/>
        <w:rPr>
          <w:rFonts w:ascii="Arial" w:hAnsi="Arial" w:cs="Arial"/>
          <w:sz w:val="22"/>
          <w:szCs w:val="22"/>
        </w:rPr>
      </w:pPr>
      <w:r w:rsidRPr="00A14F7E">
        <w:rPr>
          <w:rFonts w:ascii="Arial" w:hAnsi="Arial" w:cs="Arial"/>
          <w:sz w:val="22"/>
          <w:szCs w:val="22"/>
        </w:rPr>
        <w:t>Asimismo, en términos del numeral 2 del artículo mencionado, todas las comisiones se integrarán con un máximo de tres consejeras y consejeros electorales bajo el principio de paridad de género; podrán participar en ellas, con voz, pero sin voto, las consejeras y los consejeros representantes de los partidos políticos.</w:t>
      </w:r>
    </w:p>
    <w:p w14:paraId="62E9B38B" w14:textId="3D576AFF" w:rsidR="00A14F7E" w:rsidRDefault="00A14F7E" w:rsidP="00BD0B7F">
      <w:pPr>
        <w:widowControl w:val="0"/>
        <w:rPr>
          <w:rFonts w:ascii="Arial" w:hAnsi="Arial" w:cs="Arial"/>
          <w:sz w:val="22"/>
          <w:szCs w:val="22"/>
        </w:rPr>
      </w:pPr>
    </w:p>
    <w:p w14:paraId="5DB097B8" w14:textId="77777777" w:rsidR="00A14F7E" w:rsidRPr="00A14F7E" w:rsidRDefault="00A14F7E" w:rsidP="00BD0B7F">
      <w:pPr>
        <w:widowControl w:val="0"/>
        <w:rPr>
          <w:rFonts w:ascii="Arial" w:hAnsi="Arial" w:cs="Arial"/>
          <w:sz w:val="22"/>
          <w:szCs w:val="22"/>
        </w:rPr>
      </w:pPr>
    </w:p>
    <w:p w14:paraId="48D94F81" w14:textId="77777777" w:rsidR="005D2D73" w:rsidRPr="00A14F7E" w:rsidRDefault="005D2D73" w:rsidP="00BD0B7F">
      <w:pPr>
        <w:pStyle w:val="Ttulo2"/>
        <w:keepNext w:val="0"/>
        <w:widowControl w:val="0"/>
        <w:rPr>
          <w:rFonts w:ascii="Arial" w:hAnsi="Arial" w:cs="Arial"/>
          <w:sz w:val="22"/>
          <w:szCs w:val="22"/>
        </w:rPr>
      </w:pPr>
      <w:r w:rsidRPr="00A14F7E">
        <w:rPr>
          <w:rFonts w:ascii="Arial" w:hAnsi="Arial" w:cs="Arial"/>
          <w:sz w:val="22"/>
          <w:szCs w:val="22"/>
        </w:rPr>
        <w:lastRenderedPageBreak/>
        <w:t>Atribuciones de la Comisión</w:t>
      </w:r>
    </w:p>
    <w:p w14:paraId="719F0BA2" w14:textId="27FCC4F3" w:rsidR="005D2D73" w:rsidRPr="00A14F7E" w:rsidRDefault="005D2D73" w:rsidP="00BD0B7F">
      <w:pPr>
        <w:widowControl w:val="0"/>
        <w:rPr>
          <w:rFonts w:ascii="Arial" w:hAnsi="Arial" w:cs="Arial"/>
          <w:sz w:val="22"/>
          <w:szCs w:val="22"/>
        </w:rPr>
      </w:pPr>
      <w:r w:rsidRPr="00A14F7E">
        <w:rPr>
          <w:rFonts w:ascii="Arial" w:hAnsi="Arial" w:cs="Arial"/>
          <w:sz w:val="22"/>
          <w:szCs w:val="22"/>
        </w:rPr>
        <w:t xml:space="preserve">Que, de conformidad con lo previsto por los artículos 113 numerales 1 y 3 de la Ley Electoral; 11, numeral 1, fracción I, 12 numeral 1 fracción I y 17 numeral 3 del Reglamento de Comisiones y acorde a lo señalado en el acuerdo CE/2025/07, la Comisión tiene como objetivo supervisar la metodología para la difusión y promoción de la participación ciudadana en el proceso de elección, la implementación del portal o </w:t>
      </w:r>
      <w:proofErr w:type="spellStart"/>
      <w:r w:rsidRPr="00A14F7E">
        <w:rPr>
          <w:rFonts w:ascii="Arial" w:hAnsi="Arial" w:cs="Arial"/>
          <w:sz w:val="22"/>
          <w:szCs w:val="22"/>
        </w:rPr>
        <w:t>micrositio</w:t>
      </w:r>
      <w:proofErr w:type="spellEnd"/>
      <w:r w:rsidRPr="00A14F7E">
        <w:rPr>
          <w:rFonts w:ascii="Arial" w:hAnsi="Arial" w:cs="Arial"/>
          <w:sz w:val="22"/>
          <w:szCs w:val="22"/>
        </w:rPr>
        <w:t xml:space="preserve"> que se utilice para difundir la identidad, perfil e información curricular de las personas candidatas y dar seguimiento a la implementación del Sistema “Candidatas y Candidatos: Conóceles” con motivo del Proceso Electoral Extraordinario.</w:t>
      </w:r>
    </w:p>
    <w:p w14:paraId="5102F806" w14:textId="77777777" w:rsidR="005D2D73" w:rsidRPr="00A14F7E" w:rsidRDefault="005D2D73" w:rsidP="00BD0B7F">
      <w:pPr>
        <w:pStyle w:val="Ttulo2"/>
        <w:keepNext w:val="0"/>
        <w:widowControl w:val="0"/>
        <w:rPr>
          <w:rFonts w:ascii="Arial" w:hAnsi="Arial" w:cs="Arial"/>
          <w:sz w:val="22"/>
          <w:szCs w:val="22"/>
        </w:rPr>
      </w:pPr>
      <w:r w:rsidRPr="00A14F7E">
        <w:rPr>
          <w:rFonts w:ascii="Arial" w:hAnsi="Arial" w:cs="Arial"/>
          <w:sz w:val="22"/>
          <w:szCs w:val="22"/>
        </w:rPr>
        <w:t>Proceso electoral de las personas juzgadoras</w:t>
      </w:r>
    </w:p>
    <w:p w14:paraId="79F1F1A4"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Que, el artículo 386 numeral 1 de la Ley Electoral dispone que, el proceso electoral de las personas juzgadoras del Poder Judicial es el conjunto de actos ordenados por la Constitución Local y la Ley Electoral, realizado por las autoridades electorales, el Congreso del Estado, así como la ciudadanía, que tiene por objeto la renovación periódica de las personas juzgadoras que integran el Poder Judicial.</w:t>
      </w:r>
    </w:p>
    <w:p w14:paraId="51D01D42" w14:textId="77777777" w:rsidR="005D2D73" w:rsidRPr="00A14F7E" w:rsidRDefault="005D2D73" w:rsidP="00BD0B7F">
      <w:pPr>
        <w:pStyle w:val="Ttulo2"/>
        <w:keepNext w:val="0"/>
        <w:widowControl w:val="0"/>
        <w:rPr>
          <w:rFonts w:ascii="Arial" w:hAnsi="Arial" w:cs="Arial"/>
          <w:sz w:val="22"/>
          <w:szCs w:val="22"/>
        </w:rPr>
      </w:pPr>
      <w:r w:rsidRPr="00A14F7E">
        <w:rPr>
          <w:rFonts w:ascii="Arial" w:hAnsi="Arial" w:cs="Arial"/>
          <w:sz w:val="22"/>
          <w:szCs w:val="22"/>
        </w:rPr>
        <w:t>Etapas del proceso electoral de las personas juzgadoras</w:t>
      </w:r>
    </w:p>
    <w:p w14:paraId="37FF5068"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Que, el artículo 387 numeral 1 de la Ley Electoral establece que, el proceso de elección de las personas juzgadoras del Poder Judicial comprende las siguientes etapas:</w:t>
      </w:r>
    </w:p>
    <w:p w14:paraId="58BC810B" w14:textId="77777777" w:rsidR="005D2D73" w:rsidRPr="00A14F7E" w:rsidRDefault="005D2D73" w:rsidP="00BD0B7F">
      <w:pPr>
        <w:pStyle w:val="Prrafodelista"/>
        <w:widowControl w:val="0"/>
        <w:numPr>
          <w:ilvl w:val="0"/>
          <w:numId w:val="2"/>
        </w:numPr>
        <w:ind w:left="703" w:hanging="703"/>
        <w:rPr>
          <w:rFonts w:ascii="Arial" w:hAnsi="Arial" w:cs="Arial"/>
          <w:sz w:val="22"/>
          <w:szCs w:val="22"/>
        </w:rPr>
      </w:pPr>
      <w:r w:rsidRPr="00A14F7E">
        <w:rPr>
          <w:rFonts w:ascii="Arial" w:hAnsi="Arial" w:cs="Arial"/>
          <w:sz w:val="22"/>
          <w:szCs w:val="22"/>
        </w:rPr>
        <w:t>Preparación de la elección;</w:t>
      </w:r>
    </w:p>
    <w:p w14:paraId="52AF65FA" w14:textId="77777777" w:rsidR="005D2D73" w:rsidRPr="00A14F7E" w:rsidRDefault="005D2D73" w:rsidP="00BD0B7F">
      <w:pPr>
        <w:pStyle w:val="Prrafodelista"/>
        <w:widowControl w:val="0"/>
        <w:numPr>
          <w:ilvl w:val="0"/>
          <w:numId w:val="2"/>
        </w:numPr>
        <w:ind w:left="703" w:hanging="703"/>
        <w:rPr>
          <w:rFonts w:ascii="Arial" w:hAnsi="Arial" w:cs="Arial"/>
          <w:sz w:val="22"/>
          <w:szCs w:val="22"/>
        </w:rPr>
      </w:pPr>
      <w:r w:rsidRPr="00A14F7E">
        <w:rPr>
          <w:rFonts w:ascii="Arial" w:hAnsi="Arial" w:cs="Arial"/>
          <w:sz w:val="22"/>
          <w:szCs w:val="22"/>
        </w:rPr>
        <w:t>Convocatoria y postulación de candidaturas;</w:t>
      </w:r>
    </w:p>
    <w:p w14:paraId="2DE7FFA3" w14:textId="77777777" w:rsidR="005D2D73" w:rsidRPr="00A14F7E" w:rsidRDefault="005D2D73" w:rsidP="00BD0B7F">
      <w:pPr>
        <w:pStyle w:val="Prrafodelista"/>
        <w:widowControl w:val="0"/>
        <w:numPr>
          <w:ilvl w:val="0"/>
          <w:numId w:val="2"/>
        </w:numPr>
        <w:ind w:left="703" w:hanging="703"/>
        <w:rPr>
          <w:rFonts w:ascii="Arial" w:hAnsi="Arial" w:cs="Arial"/>
          <w:sz w:val="22"/>
          <w:szCs w:val="22"/>
        </w:rPr>
      </w:pPr>
      <w:r w:rsidRPr="00A14F7E">
        <w:rPr>
          <w:rFonts w:ascii="Arial" w:hAnsi="Arial" w:cs="Arial"/>
          <w:sz w:val="22"/>
          <w:szCs w:val="22"/>
        </w:rPr>
        <w:t>Jornada electoral;</w:t>
      </w:r>
    </w:p>
    <w:p w14:paraId="3846E58F" w14:textId="77777777" w:rsidR="005D2D73" w:rsidRPr="00A14F7E" w:rsidRDefault="005D2D73" w:rsidP="00BD0B7F">
      <w:pPr>
        <w:pStyle w:val="Prrafodelista"/>
        <w:widowControl w:val="0"/>
        <w:numPr>
          <w:ilvl w:val="0"/>
          <w:numId w:val="2"/>
        </w:numPr>
        <w:ind w:left="703" w:hanging="703"/>
        <w:rPr>
          <w:rFonts w:ascii="Arial" w:hAnsi="Arial" w:cs="Arial"/>
          <w:sz w:val="22"/>
          <w:szCs w:val="22"/>
        </w:rPr>
      </w:pPr>
      <w:r w:rsidRPr="00A14F7E">
        <w:rPr>
          <w:rFonts w:ascii="Arial" w:hAnsi="Arial" w:cs="Arial"/>
          <w:sz w:val="22"/>
          <w:szCs w:val="22"/>
        </w:rPr>
        <w:t>Cómputos y sumatoria;</w:t>
      </w:r>
    </w:p>
    <w:p w14:paraId="12E17485" w14:textId="77777777" w:rsidR="005D2D73" w:rsidRPr="00A14F7E" w:rsidRDefault="005D2D73" w:rsidP="00BD0B7F">
      <w:pPr>
        <w:pStyle w:val="Prrafodelista"/>
        <w:widowControl w:val="0"/>
        <w:numPr>
          <w:ilvl w:val="0"/>
          <w:numId w:val="2"/>
        </w:numPr>
        <w:ind w:left="703" w:hanging="703"/>
        <w:rPr>
          <w:rFonts w:ascii="Arial" w:hAnsi="Arial" w:cs="Arial"/>
          <w:sz w:val="22"/>
          <w:szCs w:val="22"/>
        </w:rPr>
      </w:pPr>
      <w:r w:rsidRPr="00A14F7E">
        <w:rPr>
          <w:rFonts w:ascii="Arial" w:hAnsi="Arial" w:cs="Arial"/>
          <w:sz w:val="22"/>
          <w:szCs w:val="22"/>
        </w:rPr>
        <w:t>Asignación de cargos, y</w:t>
      </w:r>
    </w:p>
    <w:p w14:paraId="6E3FD66C" w14:textId="77777777" w:rsidR="005D2D73" w:rsidRPr="00A14F7E" w:rsidRDefault="005D2D73" w:rsidP="00BD0B7F">
      <w:pPr>
        <w:pStyle w:val="Prrafodelista"/>
        <w:widowControl w:val="0"/>
        <w:numPr>
          <w:ilvl w:val="0"/>
          <w:numId w:val="2"/>
        </w:numPr>
        <w:ind w:left="703" w:hanging="703"/>
        <w:rPr>
          <w:rFonts w:ascii="Arial" w:hAnsi="Arial" w:cs="Arial"/>
          <w:sz w:val="22"/>
          <w:szCs w:val="22"/>
        </w:rPr>
      </w:pPr>
      <w:r w:rsidRPr="00A14F7E">
        <w:rPr>
          <w:rFonts w:ascii="Arial" w:hAnsi="Arial" w:cs="Arial"/>
          <w:sz w:val="22"/>
          <w:szCs w:val="22"/>
        </w:rPr>
        <w:t>La entrega de constancias de mayoría y declaración de validez de la elección.</w:t>
      </w:r>
    </w:p>
    <w:p w14:paraId="2211F1B6"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En términos del numeral 2 del artículo en cita, la etapa de preparación de la elección inicia con la primera sesión que el Instituto celebre en los primeros siete días del mes de septiembre del año anterior a la elección, y concluye al iniciarse la jornada electoral.</w:t>
      </w:r>
    </w:p>
    <w:p w14:paraId="25728BFD"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 xml:space="preserve">Por su parte, el numeral 3 del artículo 387 de la Ley Electoral refiere que, la etapa de convocatoria y postulación de candidaturas inicia con la publicación de la convocatoria que emita el Congreso Local conforme a la fracción I del primer párrafo del artículo 56 de la Constitución Local, y concluye con la remisión por dicho órgano legislativo del </w:t>
      </w:r>
      <w:r w:rsidRPr="00A14F7E">
        <w:rPr>
          <w:rFonts w:ascii="Arial" w:hAnsi="Arial" w:cs="Arial"/>
          <w:sz w:val="22"/>
          <w:szCs w:val="22"/>
        </w:rPr>
        <w:lastRenderedPageBreak/>
        <w:t>listado de candidaturas al Instituto.</w:t>
      </w:r>
    </w:p>
    <w:p w14:paraId="36713D94"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En el caso de la jornada electoral, ésta inicia a las 8:00 horas del primer domingo de junio del año que corresponda y concluye con el cómputo de los votos en casilla, de conformidad con el numeral 4 del artículo 387 de la Ley Electoral.</w:t>
      </w:r>
    </w:p>
    <w:p w14:paraId="31543A59"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De acuerdo con el numeral 5 del artículo referido, la etapa de cómputos y sumatoria inicia con la remisión de la documentación y los expedientes electorales a los Consejos Distritales y concluye con la sumatoria de los cómputos de la elección que realice el Consejo Estatal.</w:t>
      </w:r>
    </w:p>
    <w:p w14:paraId="074F2B2C"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Respecto a la etapa de asignación de cargos, conforme al numeral 6 del artículo 387 de la Ley Electoral inicia con la identificación por el Instituto de las candidaturas que hayan obtenido el mayor número de votos y la asignación de estas en cada cargo, en función de su especialización por materia y alternando entre mujeres y hombres. Concluye con la entrega por el Instituto de las constancias de mayoría a las candidaturas que resulten ganadoras y la emisión de la declaración de validez respectiva.</w:t>
      </w:r>
    </w:p>
    <w:p w14:paraId="0337EB5D"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Finalmente, en términos del numeral 7 del artículo citado, la etapa de calificación y declaración de validez inicia al resolverse el último de los medios de impugnación que se hubiesen interpuesto en contra de las elecciones respectivas o cuando se tenga constancia de que no se presentó ninguno, y concluye al aprobar el Tribunal Electoral el dictamen que contenga el cómputo final de la elección.</w:t>
      </w:r>
    </w:p>
    <w:p w14:paraId="134D00FD" w14:textId="77777777" w:rsidR="005D2D73" w:rsidRPr="00A14F7E" w:rsidRDefault="005D2D73" w:rsidP="00BD0B7F">
      <w:pPr>
        <w:pStyle w:val="Ttulo2"/>
        <w:keepNext w:val="0"/>
        <w:widowControl w:val="0"/>
        <w:rPr>
          <w:rFonts w:ascii="Arial" w:hAnsi="Arial" w:cs="Arial"/>
          <w:sz w:val="22"/>
          <w:szCs w:val="22"/>
        </w:rPr>
      </w:pPr>
      <w:r w:rsidRPr="00A14F7E">
        <w:rPr>
          <w:rFonts w:ascii="Arial" w:hAnsi="Arial" w:cs="Arial"/>
          <w:sz w:val="22"/>
          <w:szCs w:val="22"/>
        </w:rPr>
        <w:t>Derecho de la ciudadanía a participar en los procesos de selección y evaluación de candidaturas</w:t>
      </w:r>
    </w:p>
    <w:p w14:paraId="0C2BB837" w14:textId="34E4173F" w:rsidR="005D2D73" w:rsidRDefault="005D2D73" w:rsidP="00BD0B7F">
      <w:pPr>
        <w:widowControl w:val="0"/>
        <w:rPr>
          <w:rFonts w:ascii="Arial" w:hAnsi="Arial" w:cs="Arial"/>
          <w:sz w:val="22"/>
          <w:szCs w:val="22"/>
        </w:rPr>
      </w:pPr>
      <w:r w:rsidRPr="00A14F7E">
        <w:rPr>
          <w:rFonts w:ascii="Arial" w:hAnsi="Arial" w:cs="Arial"/>
          <w:sz w:val="22"/>
          <w:szCs w:val="22"/>
        </w:rPr>
        <w:t>Que, de conformidad con el artículo 389 numeral 1 de la Ley Electoral, es derecho de la ciudadanía participar en igualdad de condiciones en los procesos de evaluación y selección de candidaturas para todos los cargos de elección del Poder Judicial. Dichos procesos serán públicos, abiertos, transparentes, inclusivos, accesibles y deberán garantizar la participación de todas las personas interesadas que cumplan con los requisitos, condiciones y términos que determine la Constitución Federal, la Constitución Local y la propia Ley Electoral.</w:t>
      </w:r>
    </w:p>
    <w:p w14:paraId="2D5C9E02" w14:textId="0D906982" w:rsidR="00A14F7E" w:rsidRDefault="00A14F7E" w:rsidP="00BD0B7F">
      <w:pPr>
        <w:widowControl w:val="0"/>
        <w:rPr>
          <w:rFonts w:ascii="Arial" w:hAnsi="Arial" w:cs="Arial"/>
          <w:sz w:val="22"/>
          <w:szCs w:val="22"/>
        </w:rPr>
      </w:pPr>
    </w:p>
    <w:p w14:paraId="782C5BCB" w14:textId="77777777" w:rsidR="00A14F7E" w:rsidRPr="00A14F7E" w:rsidRDefault="00A14F7E" w:rsidP="00BD0B7F">
      <w:pPr>
        <w:widowControl w:val="0"/>
        <w:rPr>
          <w:rFonts w:ascii="Arial" w:hAnsi="Arial" w:cs="Arial"/>
          <w:sz w:val="22"/>
          <w:szCs w:val="22"/>
        </w:rPr>
      </w:pPr>
    </w:p>
    <w:p w14:paraId="0446D958" w14:textId="77777777" w:rsidR="005D2D73" w:rsidRPr="00A14F7E" w:rsidRDefault="005D2D73" w:rsidP="00BD0B7F">
      <w:pPr>
        <w:pStyle w:val="Ttulo2"/>
        <w:keepNext w:val="0"/>
        <w:widowControl w:val="0"/>
        <w:rPr>
          <w:rFonts w:ascii="Arial" w:hAnsi="Arial" w:cs="Arial"/>
          <w:sz w:val="22"/>
          <w:szCs w:val="22"/>
        </w:rPr>
      </w:pPr>
      <w:r w:rsidRPr="00A14F7E">
        <w:rPr>
          <w:rFonts w:ascii="Arial" w:hAnsi="Arial" w:cs="Arial"/>
          <w:sz w:val="22"/>
          <w:szCs w:val="22"/>
        </w:rPr>
        <w:lastRenderedPageBreak/>
        <w:t>Cargos por elegir en el Proceso Electoral Extraordinario</w:t>
      </w:r>
    </w:p>
    <w:p w14:paraId="2D0CC3C3"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De acuerdo con el Segundo Transitorio del Decreto 080 constitucional, en el Proceso Electoral Extraordinario se elegirán a las Magistradas y Magistrados integrantes del Tribunal de Disciplina Judicial, el cincuenta por ciento de las Magistradas y Magistrados integrantes del Pleno del Tribunal Superior de Justicia, así como el cincuenta por ciento de las Juezas y Jueces del Poder Judicial del Estado.</w:t>
      </w:r>
    </w:p>
    <w:p w14:paraId="5DBECB8E" w14:textId="77777777" w:rsidR="005D2D73" w:rsidRPr="00A14F7E" w:rsidRDefault="005D2D73" w:rsidP="00BD0B7F">
      <w:pPr>
        <w:widowControl w:val="0"/>
        <w:rPr>
          <w:rFonts w:ascii="Arial" w:hAnsi="Arial" w:cs="Arial"/>
          <w:sz w:val="22"/>
          <w:szCs w:val="22"/>
        </w:rPr>
      </w:pPr>
      <w:r w:rsidRPr="00A14F7E">
        <w:rPr>
          <w:rFonts w:ascii="Arial" w:hAnsi="Arial" w:cs="Arial"/>
          <w:sz w:val="22"/>
          <w:szCs w:val="22"/>
        </w:rPr>
        <w:t>En ese sentido, para el Proceso Electoral Extraordinario se elegirán 72 cargos de elección, distribuidos de acuerdo con la siguiente forma y especialidad:</w:t>
      </w:r>
    </w:p>
    <w:p w14:paraId="7B93FDDE" w14:textId="77777777" w:rsidR="005D2D73" w:rsidRPr="00A14F7E" w:rsidRDefault="005D2D73" w:rsidP="00BD0B7F">
      <w:pPr>
        <w:pStyle w:val="Prrafodelista"/>
        <w:widowControl w:val="0"/>
        <w:numPr>
          <w:ilvl w:val="0"/>
          <w:numId w:val="3"/>
        </w:numPr>
        <w:ind w:left="703" w:hanging="703"/>
        <w:rPr>
          <w:rFonts w:ascii="Arial" w:hAnsi="Arial" w:cs="Arial"/>
          <w:sz w:val="22"/>
          <w:szCs w:val="22"/>
        </w:rPr>
      </w:pPr>
      <w:r w:rsidRPr="00A14F7E">
        <w:rPr>
          <w:rFonts w:ascii="Arial" w:hAnsi="Arial" w:cs="Arial"/>
          <w:sz w:val="22"/>
          <w:szCs w:val="22"/>
        </w:rPr>
        <w:t>5 Magistraturas del Tribunal de Disciplina Judicial;</w:t>
      </w:r>
    </w:p>
    <w:p w14:paraId="777F3471" w14:textId="77777777" w:rsidR="005D2D73" w:rsidRPr="00A14F7E" w:rsidRDefault="005D2D73" w:rsidP="00BD0B7F">
      <w:pPr>
        <w:pStyle w:val="Prrafodelista"/>
        <w:widowControl w:val="0"/>
        <w:numPr>
          <w:ilvl w:val="0"/>
          <w:numId w:val="3"/>
        </w:numPr>
        <w:ind w:left="703" w:hanging="703"/>
        <w:rPr>
          <w:rFonts w:ascii="Arial" w:hAnsi="Arial" w:cs="Arial"/>
          <w:sz w:val="22"/>
          <w:szCs w:val="22"/>
        </w:rPr>
      </w:pPr>
      <w:r w:rsidRPr="00A14F7E">
        <w:rPr>
          <w:rFonts w:ascii="Arial" w:hAnsi="Arial" w:cs="Arial"/>
          <w:sz w:val="22"/>
          <w:szCs w:val="22"/>
        </w:rPr>
        <w:t>12 Magistraturas del Pleno del Tribunal Superior de Justicia;</w:t>
      </w:r>
    </w:p>
    <w:p w14:paraId="660BCA8F" w14:textId="77777777" w:rsidR="005D2D73" w:rsidRPr="00A14F7E" w:rsidRDefault="005D2D73" w:rsidP="00BD0B7F">
      <w:pPr>
        <w:pStyle w:val="Prrafodelista"/>
        <w:widowControl w:val="0"/>
        <w:numPr>
          <w:ilvl w:val="0"/>
          <w:numId w:val="3"/>
        </w:numPr>
        <w:ind w:left="703" w:hanging="703"/>
        <w:rPr>
          <w:rFonts w:ascii="Arial" w:hAnsi="Arial" w:cs="Arial"/>
          <w:sz w:val="22"/>
          <w:szCs w:val="22"/>
        </w:rPr>
      </w:pPr>
      <w:r w:rsidRPr="00A14F7E">
        <w:rPr>
          <w:rFonts w:ascii="Arial" w:hAnsi="Arial" w:cs="Arial"/>
          <w:sz w:val="22"/>
          <w:szCs w:val="22"/>
        </w:rPr>
        <w:t>19 juezas y jueces civiles;</w:t>
      </w:r>
    </w:p>
    <w:p w14:paraId="6D66C55C" w14:textId="77777777" w:rsidR="005D2D73" w:rsidRPr="00A14F7E" w:rsidRDefault="005D2D73" w:rsidP="00BD0B7F">
      <w:pPr>
        <w:pStyle w:val="Prrafodelista"/>
        <w:widowControl w:val="0"/>
        <w:numPr>
          <w:ilvl w:val="0"/>
          <w:numId w:val="3"/>
        </w:numPr>
        <w:ind w:left="703" w:hanging="703"/>
        <w:rPr>
          <w:rFonts w:ascii="Arial" w:hAnsi="Arial" w:cs="Arial"/>
          <w:sz w:val="22"/>
          <w:szCs w:val="22"/>
        </w:rPr>
      </w:pPr>
      <w:r w:rsidRPr="00A14F7E">
        <w:rPr>
          <w:rFonts w:ascii="Arial" w:hAnsi="Arial" w:cs="Arial"/>
          <w:sz w:val="22"/>
          <w:szCs w:val="22"/>
        </w:rPr>
        <w:t>27 juezas y jueces en materia de oralidad penal;</w:t>
      </w:r>
    </w:p>
    <w:p w14:paraId="1AAE4C77" w14:textId="77777777" w:rsidR="005D2D73" w:rsidRPr="00A14F7E" w:rsidRDefault="005D2D73" w:rsidP="00BD0B7F">
      <w:pPr>
        <w:pStyle w:val="Prrafodelista"/>
        <w:widowControl w:val="0"/>
        <w:numPr>
          <w:ilvl w:val="0"/>
          <w:numId w:val="3"/>
        </w:numPr>
        <w:ind w:left="703" w:hanging="703"/>
        <w:rPr>
          <w:rFonts w:ascii="Arial" w:hAnsi="Arial" w:cs="Arial"/>
          <w:sz w:val="22"/>
          <w:szCs w:val="22"/>
        </w:rPr>
      </w:pPr>
      <w:r w:rsidRPr="00A14F7E">
        <w:rPr>
          <w:rFonts w:ascii="Arial" w:hAnsi="Arial" w:cs="Arial"/>
          <w:sz w:val="22"/>
          <w:szCs w:val="22"/>
        </w:rPr>
        <w:t>3 juezas y jueces en materia familiar;</w:t>
      </w:r>
    </w:p>
    <w:p w14:paraId="2BB83664" w14:textId="77777777" w:rsidR="005D2D73" w:rsidRPr="00A14F7E" w:rsidRDefault="005D2D73" w:rsidP="00BD0B7F">
      <w:pPr>
        <w:pStyle w:val="Prrafodelista"/>
        <w:widowControl w:val="0"/>
        <w:numPr>
          <w:ilvl w:val="0"/>
          <w:numId w:val="3"/>
        </w:numPr>
        <w:ind w:left="703" w:hanging="703"/>
        <w:rPr>
          <w:rFonts w:ascii="Arial" w:hAnsi="Arial" w:cs="Arial"/>
          <w:sz w:val="22"/>
          <w:szCs w:val="22"/>
        </w:rPr>
      </w:pPr>
      <w:r w:rsidRPr="00A14F7E">
        <w:rPr>
          <w:rFonts w:ascii="Arial" w:hAnsi="Arial" w:cs="Arial"/>
          <w:sz w:val="22"/>
          <w:szCs w:val="22"/>
        </w:rPr>
        <w:t>1 jueza o juez en materia de oralidad mercantil; y</w:t>
      </w:r>
    </w:p>
    <w:p w14:paraId="550B66E7" w14:textId="77777777" w:rsidR="005D2D73" w:rsidRPr="00A14F7E" w:rsidRDefault="005D2D73" w:rsidP="00BD0B7F">
      <w:pPr>
        <w:pStyle w:val="Prrafodelista"/>
        <w:widowControl w:val="0"/>
        <w:numPr>
          <w:ilvl w:val="0"/>
          <w:numId w:val="3"/>
        </w:numPr>
        <w:ind w:left="703" w:hanging="703"/>
        <w:rPr>
          <w:rFonts w:ascii="Arial" w:hAnsi="Arial" w:cs="Arial"/>
          <w:sz w:val="22"/>
          <w:szCs w:val="22"/>
        </w:rPr>
      </w:pPr>
      <w:r w:rsidRPr="00A14F7E">
        <w:rPr>
          <w:rFonts w:ascii="Arial" w:hAnsi="Arial" w:cs="Arial"/>
          <w:sz w:val="22"/>
          <w:szCs w:val="22"/>
        </w:rPr>
        <w:t>5 juezas y jueces en materia laboral.</w:t>
      </w:r>
    </w:p>
    <w:p w14:paraId="1EEF162A" w14:textId="77777777" w:rsidR="00BD0B7F" w:rsidRPr="00A14F7E" w:rsidRDefault="00BD0B7F" w:rsidP="00BD0B7F">
      <w:pPr>
        <w:pStyle w:val="Ttulo2"/>
        <w:keepNext w:val="0"/>
        <w:widowControl w:val="0"/>
        <w:rPr>
          <w:rFonts w:ascii="Arial" w:hAnsi="Arial" w:cs="Arial"/>
          <w:sz w:val="22"/>
          <w:szCs w:val="22"/>
        </w:rPr>
      </w:pPr>
      <w:r w:rsidRPr="00A14F7E">
        <w:rPr>
          <w:rFonts w:ascii="Arial" w:hAnsi="Arial" w:cs="Arial"/>
          <w:sz w:val="22"/>
          <w:szCs w:val="22"/>
        </w:rPr>
        <w:t>Difusión y promoción de la participación ciudadana</w:t>
      </w:r>
    </w:p>
    <w:p w14:paraId="5532172F" w14:textId="77777777" w:rsidR="00BD0B7F" w:rsidRPr="00A14F7E" w:rsidRDefault="00BD0B7F" w:rsidP="00BD0B7F">
      <w:pPr>
        <w:widowControl w:val="0"/>
        <w:rPr>
          <w:rFonts w:ascii="Arial" w:hAnsi="Arial" w:cs="Arial"/>
          <w:sz w:val="22"/>
          <w:szCs w:val="22"/>
        </w:rPr>
      </w:pPr>
      <w:r w:rsidRPr="00A14F7E">
        <w:rPr>
          <w:rFonts w:ascii="Arial" w:hAnsi="Arial" w:cs="Arial"/>
          <w:sz w:val="22"/>
          <w:szCs w:val="22"/>
        </w:rPr>
        <w:t>Que, el artículo 410 numeral 1 de la Ley Electoral establece que, el Consejo Estatal aprobará la metodología para la difusión y promoción de la participación ciudadana en el proceso de elección de personas juzgadoras, privilegiando el uso de las tecnologías de la información y observando al efecto los principios de austeridad, eficacia y eficiencia del gasto público.</w:t>
      </w:r>
    </w:p>
    <w:p w14:paraId="7DB03C50" w14:textId="77777777" w:rsidR="00BD0B7F" w:rsidRPr="00A14F7E" w:rsidRDefault="00BD0B7F" w:rsidP="00BD0B7F">
      <w:pPr>
        <w:widowControl w:val="0"/>
        <w:rPr>
          <w:rFonts w:ascii="Arial" w:hAnsi="Arial" w:cs="Arial"/>
          <w:sz w:val="22"/>
          <w:szCs w:val="22"/>
        </w:rPr>
      </w:pPr>
      <w:r w:rsidRPr="00A14F7E">
        <w:rPr>
          <w:rFonts w:ascii="Arial" w:hAnsi="Arial" w:cs="Arial"/>
          <w:sz w:val="22"/>
          <w:szCs w:val="22"/>
        </w:rPr>
        <w:t xml:space="preserve">La metodología en cuestión, en términos del numeral 2 del artículo citado, deberá ser imparcial, objetiva y con fines informativos, y contemplará por lo menos la creación de un </w:t>
      </w:r>
      <w:proofErr w:type="spellStart"/>
      <w:r w:rsidRPr="00A14F7E">
        <w:rPr>
          <w:rFonts w:ascii="Arial" w:hAnsi="Arial" w:cs="Arial"/>
          <w:sz w:val="22"/>
          <w:szCs w:val="22"/>
        </w:rPr>
        <w:t>micrositio</w:t>
      </w:r>
      <w:proofErr w:type="spellEnd"/>
      <w:r w:rsidRPr="00A14F7E">
        <w:rPr>
          <w:rFonts w:ascii="Arial" w:hAnsi="Arial" w:cs="Arial"/>
          <w:sz w:val="22"/>
          <w:szCs w:val="22"/>
        </w:rPr>
        <w:t xml:space="preserve"> en la página de Internet oficial del Instituto para informar a la ciudadanía sobre el proceso electivo y dar a conocer las candidaturas registradas.</w:t>
      </w:r>
    </w:p>
    <w:p w14:paraId="6D06CBE3" w14:textId="77777777" w:rsidR="00BD0B7F" w:rsidRPr="00A14F7E" w:rsidRDefault="00BD0B7F" w:rsidP="00BD0B7F">
      <w:pPr>
        <w:pStyle w:val="Ttulo2"/>
        <w:keepNext w:val="0"/>
        <w:widowControl w:val="0"/>
        <w:rPr>
          <w:rFonts w:ascii="Arial" w:hAnsi="Arial" w:cs="Arial"/>
          <w:sz w:val="22"/>
          <w:szCs w:val="22"/>
        </w:rPr>
      </w:pPr>
      <w:r w:rsidRPr="00A14F7E">
        <w:rPr>
          <w:rFonts w:ascii="Arial" w:hAnsi="Arial" w:cs="Arial"/>
          <w:sz w:val="22"/>
          <w:szCs w:val="22"/>
        </w:rPr>
        <w:t>Características de la información a difundir</w:t>
      </w:r>
    </w:p>
    <w:p w14:paraId="38C8A300" w14:textId="77777777" w:rsidR="00BD0B7F" w:rsidRPr="00A14F7E" w:rsidRDefault="00BD0B7F" w:rsidP="00BD0B7F">
      <w:pPr>
        <w:widowControl w:val="0"/>
        <w:rPr>
          <w:rFonts w:ascii="Arial" w:hAnsi="Arial" w:cs="Arial"/>
          <w:sz w:val="22"/>
          <w:szCs w:val="22"/>
        </w:rPr>
      </w:pPr>
      <w:r w:rsidRPr="00A14F7E">
        <w:rPr>
          <w:rFonts w:ascii="Arial" w:hAnsi="Arial" w:cs="Arial"/>
          <w:sz w:val="22"/>
          <w:szCs w:val="22"/>
        </w:rPr>
        <w:t xml:space="preserve">Que, de conformidad con el numeral 3 del artículo 410 de la Ley Electoral, el </w:t>
      </w:r>
      <w:proofErr w:type="spellStart"/>
      <w:r w:rsidRPr="00A14F7E">
        <w:rPr>
          <w:rFonts w:ascii="Arial" w:hAnsi="Arial" w:cs="Arial"/>
          <w:sz w:val="22"/>
          <w:szCs w:val="22"/>
        </w:rPr>
        <w:t>micrositio</w:t>
      </w:r>
      <w:proofErr w:type="spellEnd"/>
      <w:r w:rsidRPr="00A14F7E">
        <w:rPr>
          <w:rFonts w:ascii="Arial" w:hAnsi="Arial" w:cs="Arial"/>
          <w:sz w:val="22"/>
          <w:szCs w:val="22"/>
        </w:rPr>
        <w:t xml:space="preserve"> que determine el Consejo Estatal tendrá por objeto difundir la identidad, perfil e información curricular de las personas candidatas, incluyendo la versión pública de los expedientes que acrediten su elegibilidad e idoneidad para el cargo que se trate, así como información relativa al proceso electivo, ajustándose al menos a lo siguiente:</w:t>
      </w:r>
    </w:p>
    <w:p w14:paraId="04220142" w14:textId="77777777" w:rsidR="00BD0B7F" w:rsidRPr="00A14F7E" w:rsidRDefault="00BD0B7F" w:rsidP="00BD0B7F">
      <w:pPr>
        <w:pStyle w:val="Prrafodelista"/>
        <w:widowControl w:val="0"/>
        <w:numPr>
          <w:ilvl w:val="0"/>
          <w:numId w:val="4"/>
        </w:numPr>
        <w:ind w:left="357" w:hanging="357"/>
        <w:contextualSpacing w:val="0"/>
        <w:rPr>
          <w:rFonts w:ascii="Arial" w:hAnsi="Arial" w:cs="Arial"/>
          <w:sz w:val="22"/>
          <w:szCs w:val="22"/>
        </w:rPr>
      </w:pPr>
      <w:r w:rsidRPr="00A14F7E">
        <w:rPr>
          <w:rFonts w:ascii="Arial" w:hAnsi="Arial" w:cs="Arial"/>
          <w:sz w:val="22"/>
          <w:szCs w:val="22"/>
        </w:rPr>
        <w:lastRenderedPageBreak/>
        <w:t>No será un medio de propaganda política;</w:t>
      </w:r>
    </w:p>
    <w:p w14:paraId="2796F4AE" w14:textId="77777777" w:rsidR="00BD0B7F" w:rsidRPr="00A14F7E" w:rsidRDefault="00BD0B7F" w:rsidP="00BD0B7F">
      <w:pPr>
        <w:pStyle w:val="Prrafodelista"/>
        <w:widowControl w:val="0"/>
        <w:numPr>
          <w:ilvl w:val="0"/>
          <w:numId w:val="4"/>
        </w:numPr>
        <w:ind w:left="357" w:hanging="357"/>
        <w:contextualSpacing w:val="0"/>
        <w:rPr>
          <w:rFonts w:ascii="Arial" w:hAnsi="Arial" w:cs="Arial"/>
          <w:sz w:val="22"/>
          <w:szCs w:val="22"/>
        </w:rPr>
      </w:pPr>
      <w:r w:rsidRPr="00A14F7E">
        <w:rPr>
          <w:rFonts w:ascii="Arial" w:hAnsi="Arial" w:cs="Arial"/>
          <w:sz w:val="22"/>
          <w:szCs w:val="22"/>
        </w:rPr>
        <w:t>Proporcionará a la ciudadanía información suficiente y relevante relacionada con el proceso electivo, e incluirá como mínimo el perfil personal, fotografía, medios de contacto público, trayectoria académica e historial profesional y laboral de cada candidatura;</w:t>
      </w:r>
    </w:p>
    <w:p w14:paraId="6535776C" w14:textId="77777777" w:rsidR="00BD0B7F" w:rsidRPr="00A14F7E" w:rsidRDefault="00BD0B7F" w:rsidP="00BD0B7F">
      <w:pPr>
        <w:pStyle w:val="Prrafodelista"/>
        <w:widowControl w:val="0"/>
        <w:numPr>
          <w:ilvl w:val="0"/>
          <w:numId w:val="4"/>
        </w:numPr>
        <w:ind w:left="357" w:hanging="357"/>
        <w:contextualSpacing w:val="0"/>
        <w:rPr>
          <w:rFonts w:ascii="Arial" w:hAnsi="Arial" w:cs="Arial"/>
          <w:sz w:val="22"/>
          <w:szCs w:val="22"/>
        </w:rPr>
      </w:pPr>
      <w:r w:rsidRPr="00A14F7E">
        <w:rPr>
          <w:rFonts w:ascii="Arial" w:hAnsi="Arial" w:cs="Arial"/>
          <w:sz w:val="22"/>
          <w:szCs w:val="22"/>
        </w:rPr>
        <w:t>Incorporará las visiones de las personas candidatas acerca de la función jurisdiccional y la impartición de justicia, así como sus propuestas de mejora;</w:t>
      </w:r>
    </w:p>
    <w:p w14:paraId="4F335DA0" w14:textId="77777777" w:rsidR="00BD0B7F" w:rsidRPr="00A14F7E" w:rsidRDefault="00BD0B7F" w:rsidP="00BD0B7F">
      <w:pPr>
        <w:pStyle w:val="Prrafodelista"/>
        <w:widowControl w:val="0"/>
        <w:numPr>
          <w:ilvl w:val="0"/>
          <w:numId w:val="4"/>
        </w:numPr>
        <w:ind w:left="357" w:hanging="357"/>
        <w:contextualSpacing w:val="0"/>
        <w:rPr>
          <w:rFonts w:ascii="Arial" w:hAnsi="Arial" w:cs="Arial"/>
          <w:sz w:val="22"/>
          <w:szCs w:val="22"/>
        </w:rPr>
      </w:pPr>
      <w:r w:rsidRPr="00A14F7E">
        <w:rPr>
          <w:rFonts w:ascii="Arial" w:hAnsi="Arial" w:cs="Arial"/>
          <w:sz w:val="22"/>
          <w:szCs w:val="22"/>
        </w:rPr>
        <w:t>La información de las candidaturas será proporcionada por las personas candidatas y autorizada por el Instituto Estatal, que deberá supervisar que se ajuste a esta Ley y los parámetros que al efecto determine el Consejo Estatal, y</w:t>
      </w:r>
    </w:p>
    <w:p w14:paraId="009B927A" w14:textId="77777777" w:rsidR="00BD0B7F" w:rsidRPr="00A14F7E" w:rsidRDefault="00BD0B7F" w:rsidP="00BD0B7F">
      <w:pPr>
        <w:pStyle w:val="Prrafodelista"/>
        <w:widowControl w:val="0"/>
        <w:numPr>
          <w:ilvl w:val="0"/>
          <w:numId w:val="4"/>
        </w:numPr>
        <w:ind w:left="357" w:hanging="357"/>
        <w:contextualSpacing w:val="0"/>
        <w:rPr>
          <w:rFonts w:ascii="Arial" w:hAnsi="Arial" w:cs="Arial"/>
          <w:sz w:val="22"/>
          <w:szCs w:val="22"/>
        </w:rPr>
      </w:pPr>
      <w:r w:rsidRPr="00A14F7E">
        <w:rPr>
          <w:rFonts w:ascii="Arial" w:hAnsi="Arial" w:cs="Arial"/>
          <w:sz w:val="22"/>
          <w:szCs w:val="22"/>
        </w:rPr>
        <w:t>La información deberá estar disponible de manera clara, completa y accesible a más tardar en la fecha de inicio del periodo de campañas y hasta el día de la jornada electoral.</w:t>
      </w:r>
    </w:p>
    <w:p w14:paraId="6B4F1381" w14:textId="77777777" w:rsidR="00BD0B7F" w:rsidRPr="00A14F7E" w:rsidRDefault="00BD0B7F" w:rsidP="00BD0B7F">
      <w:pPr>
        <w:widowControl w:val="0"/>
        <w:rPr>
          <w:rFonts w:ascii="Arial" w:hAnsi="Arial" w:cs="Arial"/>
          <w:sz w:val="22"/>
          <w:szCs w:val="22"/>
        </w:rPr>
      </w:pPr>
      <w:r w:rsidRPr="00A14F7E">
        <w:rPr>
          <w:rFonts w:ascii="Arial" w:hAnsi="Arial" w:cs="Arial"/>
          <w:sz w:val="22"/>
          <w:szCs w:val="22"/>
        </w:rPr>
        <w:t>Además, en términos del artículo 410 numeral 4 de la Ley Electoral, las actividades que realice el Instituto para la promoción de la participación ciudadana en el proceso de elección se realizarán privilegiando el uso de medios electrónicos, entre ellos, la página de Internet del propio órgano electoral, los medios electrónicos o digitales institucionales y los periódicos de mayor circulación y cobertura en la entidad que corresponda, entre otros.</w:t>
      </w:r>
    </w:p>
    <w:p w14:paraId="60765800" w14:textId="77777777" w:rsidR="00A65F64" w:rsidRPr="00A14F7E" w:rsidRDefault="00A65F64" w:rsidP="00A65F64">
      <w:pPr>
        <w:pStyle w:val="Ttulo2"/>
        <w:rPr>
          <w:rFonts w:ascii="Arial" w:hAnsi="Arial" w:cs="Arial"/>
          <w:sz w:val="22"/>
          <w:szCs w:val="22"/>
        </w:rPr>
      </w:pPr>
      <w:r w:rsidRPr="00A14F7E">
        <w:rPr>
          <w:rFonts w:ascii="Arial" w:hAnsi="Arial" w:cs="Arial"/>
          <w:sz w:val="22"/>
          <w:szCs w:val="22"/>
        </w:rPr>
        <w:t>Sistema “Candidatas y Candidatos: Conóceles”</w:t>
      </w:r>
    </w:p>
    <w:p w14:paraId="371AD330" w14:textId="77777777" w:rsidR="00A65F64" w:rsidRPr="00A14F7E" w:rsidRDefault="00A65F64" w:rsidP="00A65F64">
      <w:pPr>
        <w:rPr>
          <w:rFonts w:ascii="Arial" w:hAnsi="Arial" w:cs="Arial"/>
          <w:sz w:val="22"/>
          <w:szCs w:val="22"/>
        </w:rPr>
      </w:pPr>
      <w:r w:rsidRPr="00A14F7E">
        <w:rPr>
          <w:rFonts w:ascii="Arial" w:hAnsi="Arial" w:cs="Arial"/>
          <w:sz w:val="22"/>
          <w:szCs w:val="22"/>
        </w:rPr>
        <w:t>Que, de acuerdo con las consideraciones señaladas, la Comisión propone a este Consejo Estatal, la implementación del Sistema informático denominado “Candidatas y Candidatos: Conóceles”, a través del cual se realizará la captura y difusión de la información de las personas candidatas en el Proceso Electoral Extraordinario.</w:t>
      </w:r>
    </w:p>
    <w:p w14:paraId="1B24B474" w14:textId="77777777" w:rsidR="00A65F64" w:rsidRPr="00A14F7E" w:rsidRDefault="00A65F64" w:rsidP="00A65F64">
      <w:pPr>
        <w:rPr>
          <w:rFonts w:ascii="Arial" w:hAnsi="Arial" w:cs="Arial"/>
          <w:sz w:val="22"/>
          <w:szCs w:val="22"/>
        </w:rPr>
      </w:pPr>
      <w:r w:rsidRPr="00A14F7E">
        <w:rPr>
          <w:rFonts w:ascii="Arial" w:hAnsi="Arial" w:cs="Arial"/>
          <w:sz w:val="22"/>
          <w:szCs w:val="22"/>
        </w:rPr>
        <w:t xml:space="preserve">En ese contexto, el Sistema se implementó con el objetivo de facilitar a la ciudadanía el acceso a la información de las personas candidatas que participan a puestos de elección popular en los procesos electorales locales, maximizando la transparencia en la difusión de las candidaturas, la participación de la población y el voto informado y razonado, a efecto de optimizar la toma de decisiones de la ciudadanía; asimismo, para que los organismos electorales cuenten con información estadística respecto de los grupos en situación de discriminación o de atención prioritaria en los que se sitúan las personas </w:t>
      </w:r>
      <w:r w:rsidRPr="00A14F7E">
        <w:rPr>
          <w:rFonts w:ascii="Arial" w:hAnsi="Arial" w:cs="Arial"/>
          <w:sz w:val="22"/>
          <w:szCs w:val="22"/>
        </w:rPr>
        <w:lastRenderedPageBreak/>
        <w:t>candidatas, que le permita realizar análisis de datos y estadísticas como insumos para el ejercicio de sus atribuciones.</w:t>
      </w:r>
    </w:p>
    <w:p w14:paraId="6A2B7BB6" w14:textId="77777777" w:rsidR="00A65F64" w:rsidRPr="00A14F7E" w:rsidRDefault="00A65F64" w:rsidP="00A65F64">
      <w:pPr>
        <w:rPr>
          <w:rFonts w:ascii="Arial" w:hAnsi="Arial" w:cs="Arial"/>
          <w:sz w:val="22"/>
          <w:szCs w:val="22"/>
        </w:rPr>
      </w:pPr>
      <w:r w:rsidRPr="00A14F7E">
        <w:rPr>
          <w:rFonts w:ascii="Arial" w:hAnsi="Arial" w:cs="Arial"/>
          <w:sz w:val="22"/>
          <w:szCs w:val="22"/>
        </w:rPr>
        <w:t xml:space="preserve">Además, el Sistema “Candidatas y Candidatos: Conóceles” tendrá por objeto difundir la identidad, perfil e información curricular de las personas candidatas a los cargos de elección en el Poder Judicial del Estado y será desarrollado por la Unidad de Tecnologías de la Información y Comunicación de este Instituto e implementado por la Unidad de Transparencia y Acceso a la Información Pública. </w:t>
      </w:r>
    </w:p>
    <w:p w14:paraId="2135F074" w14:textId="77777777" w:rsidR="00A65F64" w:rsidRPr="00A14F7E" w:rsidRDefault="00A65F64" w:rsidP="00A65F64">
      <w:pPr>
        <w:rPr>
          <w:rFonts w:ascii="Arial" w:hAnsi="Arial" w:cs="Arial"/>
          <w:sz w:val="22"/>
          <w:szCs w:val="22"/>
        </w:rPr>
      </w:pPr>
      <w:r w:rsidRPr="00A14F7E">
        <w:rPr>
          <w:rFonts w:ascii="Arial" w:hAnsi="Arial" w:cs="Arial"/>
          <w:sz w:val="22"/>
          <w:szCs w:val="22"/>
        </w:rPr>
        <w:t>Sobre esa base, la Comisión propone el Plan de Trabajo al que se sujetará para cumplir con el objetivo mencionado. Además, con apego a las directrices establecidas por el Consejo General del INE, el órgano auxiliar emite los Lineamientos para el uso del Sistema “Candidatas y Candidatos: Conóceles”, los cuales refieren el funcionamiento de dicho sistema, así como las áreas del Instituto que intervienen en su operación.</w:t>
      </w:r>
    </w:p>
    <w:p w14:paraId="2D5644DE" w14:textId="77777777" w:rsidR="00A65F64" w:rsidRPr="00A14F7E" w:rsidRDefault="00A65F64" w:rsidP="00A65F64">
      <w:pPr>
        <w:rPr>
          <w:rFonts w:ascii="Arial" w:hAnsi="Arial" w:cs="Arial"/>
          <w:sz w:val="22"/>
          <w:szCs w:val="22"/>
        </w:rPr>
      </w:pPr>
      <w:r w:rsidRPr="00A14F7E">
        <w:rPr>
          <w:rFonts w:ascii="Arial" w:hAnsi="Arial" w:cs="Arial"/>
          <w:sz w:val="22"/>
          <w:szCs w:val="22"/>
        </w:rPr>
        <w:t>Cabe señalar que, la carga de la información será independiente y responsabilidad de cada persona candidata, quien deberá observar lo dispuesto en los Lineamientos en lo relativo a la publicación de su información en el Sistema.</w:t>
      </w:r>
    </w:p>
    <w:p w14:paraId="619CD15D" w14:textId="77777777" w:rsidR="00A65F64" w:rsidRPr="00A14F7E" w:rsidRDefault="00A65F64" w:rsidP="00A65F64">
      <w:pPr>
        <w:rPr>
          <w:rFonts w:ascii="Arial" w:hAnsi="Arial" w:cs="Arial"/>
          <w:sz w:val="22"/>
          <w:szCs w:val="22"/>
        </w:rPr>
      </w:pPr>
      <w:r w:rsidRPr="00A14F7E">
        <w:rPr>
          <w:rFonts w:ascii="Arial" w:hAnsi="Arial" w:cs="Arial"/>
          <w:sz w:val="22"/>
          <w:szCs w:val="22"/>
        </w:rPr>
        <w:t>Sobre la base de las consideraciones señaladas, esta Comisión emite el siguiente:</w:t>
      </w:r>
    </w:p>
    <w:p w14:paraId="5818B905" w14:textId="77777777" w:rsidR="00A65F64" w:rsidRPr="00A14F7E" w:rsidRDefault="00A65F64" w:rsidP="00A65F64">
      <w:pPr>
        <w:pStyle w:val="Ttulo1"/>
        <w:rPr>
          <w:rFonts w:ascii="Arial" w:hAnsi="Arial" w:cs="Arial"/>
          <w:sz w:val="24"/>
          <w:szCs w:val="24"/>
        </w:rPr>
      </w:pPr>
      <w:r w:rsidRPr="00A14F7E">
        <w:rPr>
          <w:rFonts w:ascii="Arial" w:hAnsi="Arial" w:cs="Arial"/>
          <w:sz w:val="24"/>
          <w:szCs w:val="24"/>
        </w:rPr>
        <w:t>Acuerdo</w:t>
      </w:r>
    </w:p>
    <w:p w14:paraId="477EE5A9" w14:textId="5E71E4D2" w:rsidR="00A65F64" w:rsidRPr="00A14F7E" w:rsidRDefault="00A65F64" w:rsidP="00A65F64">
      <w:pPr>
        <w:rPr>
          <w:rFonts w:ascii="Arial" w:hAnsi="Arial" w:cs="Arial"/>
          <w:sz w:val="22"/>
          <w:szCs w:val="22"/>
        </w:rPr>
      </w:pPr>
      <w:r w:rsidRPr="00AB453F">
        <w:rPr>
          <w:rFonts w:ascii="Arial" w:hAnsi="Arial" w:cs="Arial"/>
          <w:b/>
          <w:bCs/>
        </w:rPr>
        <w:t>Primero.</w:t>
      </w:r>
      <w:r w:rsidRPr="00AB453F">
        <w:rPr>
          <w:rFonts w:ascii="Arial" w:hAnsi="Arial" w:cs="Arial"/>
        </w:rPr>
        <w:t xml:space="preserve"> Se aprueba </w:t>
      </w:r>
      <w:r w:rsidR="00B706FA" w:rsidRPr="00AB453F">
        <w:rPr>
          <w:rFonts w:ascii="Arial" w:hAnsi="Arial" w:cs="Arial"/>
        </w:rPr>
        <w:t>e</w:t>
      </w:r>
      <w:r w:rsidR="00E3376B" w:rsidRPr="00AB453F">
        <w:rPr>
          <w:rFonts w:ascii="Arial" w:hAnsi="Arial" w:cs="Arial"/>
        </w:rPr>
        <w:t xml:space="preserve">l Programa de Trabajo y los Lineamientos para el uso del </w:t>
      </w:r>
      <w:r w:rsidR="00E3376B" w:rsidRPr="00A14F7E">
        <w:rPr>
          <w:rFonts w:ascii="Arial" w:hAnsi="Arial" w:cs="Arial"/>
          <w:sz w:val="22"/>
          <w:szCs w:val="22"/>
        </w:rPr>
        <w:t>Sistema “Candidatas y Candidatos: Conóceles” para el Proceso Electoral Local Extraordinario para personas Juzgadoras del Poder Judicial del Estado de Tabasco 2024 – 2025</w:t>
      </w:r>
      <w:r w:rsidR="00B706FA" w:rsidRPr="00A14F7E">
        <w:rPr>
          <w:rFonts w:ascii="Arial" w:hAnsi="Arial" w:cs="Arial"/>
          <w:sz w:val="22"/>
          <w:szCs w:val="22"/>
        </w:rPr>
        <w:t xml:space="preserve">, propuestos por la Comisión Temporal para la Difusión de Personas Candidatas a un cargo de elección en el Poder Judicial del Estado, </w:t>
      </w:r>
      <w:r w:rsidRPr="00A14F7E">
        <w:rPr>
          <w:rFonts w:ascii="Arial" w:hAnsi="Arial" w:cs="Arial"/>
          <w:sz w:val="22"/>
          <w:szCs w:val="22"/>
        </w:rPr>
        <w:t>anexos al presente acuerdo.</w:t>
      </w:r>
    </w:p>
    <w:p w14:paraId="721C6074" w14:textId="77777777" w:rsidR="002340B3" w:rsidRPr="00A14F7E" w:rsidRDefault="002340B3" w:rsidP="002340B3">
      <w:pPr>
        <w:rPr>
          <w:rFonts w:ascii="Arial" w:hAnsi="Arial" w:cs="Arial"/>
          <w:sz w:val="22"/>
          <w:szCs w:val="22"/>
        </w:rPr>
      </w:pPr>
      <w:r w:rsidRPr="00A14F7E">
        <w:rPr>
          <w:rFonts w:ascii="Arial" w:hAnsi="Arial" w:cs="Arial"/>
          <w:b/>
          <w:bCs/>
          <w:sz w:val="22"/>
          <w:szCs w:val="22"/>
        </w:rPr>
        <w:t>Segundo.</w:t>
      </w:r>
      <w:r w:rsidRPr="00A14F7E">
        <w:rPr>
          <w:rFonts w:ascii="Arial" w:hAnsi="Arial" w:cs="Arial"/>
          <w:sz w:val="22"/>
          <w:szCs w:val="22"/>
        </w:rPr>
        <w:t xml:space="preserve"> Se instruye al Secretario Ejecutivo haga del conocimiento de las juntas electorales distritales el contenido del presente acuerdo. Asimismo, en términos del artículo 387 numeral 9 de la Ley Electoral, lo notifique a las personas candidatas.</w:t>
      </w:r>
    </w:p>
    <w:p w14:paraId="45AD456A" w14:textId="77777777" w:rsidR="002340B3" w:rsidRPr="00A14F7E" w:rsidRDefault="002340B3" w:rsidP="002340B3">
      <w:pPr>
        <w:rPr>
          <w:rFonts w:ascii="Arial" w:hAnsi="Arial" w:cs="Arial"/>
          <w:sz w:val="22"/>
          <w:szCs w:val="22"/>
        </w:rPr>
      </w:pPr>
      <w:r w:rsidRPr="00A14F7E">
        <w:rPr>
          <w:rFonts w:ascii="Arial" w:hAnsi="Arial" w:cs="Arial"/>
          <w:b/>
          <w:bCs/>
          <w:sz w:val="22"/>
          <w:szCs w:val="22"/>
        </w:rPr>
        <w:t xml:space="preserve">Tercero. </w:t>
      </w:r>
      <w:r w:rsidRPr="00A14F7E">
        <w:rPr>
          <w:rFonts w:ascii="Arial" w:hAnsi="Arial" w:cs="Arial"/>
          <w:sz w:val="22"/>
          <w:szCs w:val="22"/>
        </w:rPr>
        <w:t>Asimismo, se instruye a la Secretaría Ejecutiva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370FF061" w14:textId="170221AB" w:rsidR="00003427" w:rsidRPr="00A14F7E" w:rsidRDefault="002340B3" w:rsidP="00003427">
      <w:pPr>
        <w:spacing w:line="281" w:lineRule="auto"/>
        <w:rPr>
          <w:rFonts w:ascii="Arial" w:hAnsi="Arial" w:cs="Arial"/>
          <w:sz w:val="22"/>
          <w:szCs w:val="22"/>
        </w:rPr>
      </w:pPr>
      <w:r w:rsidRPr="00A14F7E">
        <w:rPr>
          <w:rFonts w:ascii="Arial" w:hAnsi="Arial" w:cs="Arial"/>
          <w:b/>
          <w:bCs/>
          <w:sz w:val="22"/>
          <w:szCs w:val="22"/>
        </w:rPr>
        <w:lastRenderedPageBreak/>
        <w:t>Cuarto</w:t>
      </w:r>
      <w:r w:rsidR="00003427" w:rsidRPr="00A14F7E">
        <w:rPr>
          <w:rFonts w:ascii="Arial" w:hAnsi="Arial" w:cs="Arial"/>
          <w:b/>
          <w:bCs/>
          <w:sz w:val="22"/>
          <w:szCs w:val="22"/>
        </w:rPr>
        <w:t>.</w:t>
      </w:r>
      <w:r w:rsidR="00003427" w:rsidRPr="00A14F7E">
        <w:rPr>
          <w:rFonts w:ascii="Arial" w:hAnsi="Arial" w:cs="Arial"/>
          <w:sz w:val="22"/>
          <w:szCs w:val="22"/>
        </w:rPr>
        <w:t xml:space="preserve"> De conformidad con lo dispuesto en el artículo 114 de la Ley Electoral y de Partidos Políticos del Estado de Tabasco publíquese el contenido del presente acuerdo en el Periódico Oficial del Estado y en la página de internet del Instituto.</w:t>
      </w:r>
    </w:p>
    <w:p w14:paraId="79859ADE" w14:textId="0CC7715F" w:rsidR="00003427" w:rsidRPr="00A14F7E" w:rsidRDefault="00003427" w:rsidP="00003427">
      <w:pPr>
        <w:spacing w:line="281" w:lineRule="auto"/>
        <w:rPr>
          <w:rFonts w:ascii="Arial" w:hAnsi="Arial" w:cs="Arial"/>
          <w:sz w:val="22"/>
          <w:szCs w:val="22"/>
        </w:rPr>
      </w:pPr>
      <w:r w:rsidRPr="00A14F7E">
        <w:rPr>
          <w:rFonts w:ascii="Arial" w:hAnsi="Arial" w:cs="Arial"/>
          <w:sz w:val="22"/>
          <w:szCs w:val="22"/>
        </w:rPr>
        <w:t>El presente acuerdo fue aprobado en sesión</w:t>
      </w:r>
      <w:r w:rsidR="00A14F7E">
        <w:rPr>
          <w:rFonts w:ascii="Arial" w:hAnsi="Arial" w:cs="Arial"/>
          <w:sz w:val="22"/>
          <w:szCs w:val="22"/>
        </w:rPr>
        <w:t xml:space="preserve"> extraordinaria</w:t>
      </w:r>
      <w:r w:rsidRPr="00A14F7E">
        <w:rPr>
          <w:rFonts w:ascii="Arial" w:hAnsi="Arial" w:cs="Arial"/>
          <w:sz w:val="22"/>
          <w:szCs w:val="22"/>
        </w:rPr>
        <w:t xml:space="preserve"> efectuada el</w:t>
      </w:r>
      <w:r w:rsidR="00A14F7E">
        <w:rPr>
          <w:rFonts w:ascii="Arial" w:hAnsi="Arial" w:cs="Arial"/>
          <w:sz w:val="22"/>
          <w:szCs w:val="22"/>
        </w:rPr>
        <w:t xml:space="preserve"> día cuatro</w:t>
      </w:r>
      <w:r w:rsidRPr="00A14F7E">
        <w:rPr>
          <w:rFonts w:ascii="Arial" w:hAnsi="Arial" w:cs="Arial"/>
          <w:sz w:val="22"/>
          <w:szCs w:val="22"/>
        </w:rPr>
        <w:t xml:space="preserve"> de </w:t>
      </w:r>
      <w:r w:rsidR="00A14F7E">
        <w:rPr>
          <w:rFonts w:ascii="Arial" w:hAnsi="Arial" w:cs="Arial"/>
          <w:sz w:val="22"/>
          <w:szCs w:val="22"/>
        </w:rPr>
        <w:t>abril</w:t>
      </w:r>
      <w:r w:rsidRPr="00A14F7E">
        <w:rPr>
          <w:rFonts w:ascii="Arial" w:hAnsi="Arial" w:cs="Arial"/>
          <w:sz w:val="22"/>
          <w:szCs w:val="22"/>
        </w:rPr>
        <w:t xml:space="preserve"> del año dos mil veinticinco, por votación </w:t>
      </w:r>
      <w:r w:rsidR="00A14F7E">
        <w:rPr>
          <w:rFonts w:ascii="Arial" w:hAnsi="Arial" w:cs="Arial"/>
          <w:sz w:val="22"/>
          <w:szCs w:val="22"/>
        </w:rPr>
        <w:t>unánime</w:t>
      </w:r>
      <w:r w:rsidRPr="00A14F7E">
        <w:rPr>
          <w:rFonts w:ascii="Arial" w:hAnsi="Arial" w:cs="Arial"/>
          <w:sz w:val="22"/>
          <w:szCs w:val="22"/>
        </w:rPr>
        <w:t xml:space="preserv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w:t>
      </w:r>
      <w:proofErr w:type="spellStart"/>
      <w:r w:rsidRPr="00A14F7E">
        <w:rPr>
          <w:rFonts w:ascii="Arial" w:hAnsi="Arial" w:cs="Arial"/>
          <w:sz w:val="22"/>
          <w:szCs w:val="22"/>
        </w:rPr>
        <w:t>Beaurregard</w:t>
      </w:r>
      <w:proofErr w:type="spellEnd"/>
      <w:r w:rsidRPr="00A14F7E">
        <w:rPr>
          <w:rFonts w:ascii="Arial" w:hAnsi="Arial" w:cs="Arial"/>
          <w:sz w:val="22"/>
          <w:szCs w:val="22"/>
        </w:rPr>
        <w:t xml:space="preserve">, Mtra. Ruth </w:t>
      </w:r>
      <w:proofErr w:type="spellStart"/>
      <w:r w:rsidRPr="00A14F7E">
        <w:rPr>
          <w:rFonts w:ascii="Arial" w:hAnsi="Arial" w:cs="Arial"/>
          <w:sz w:val="22"/>
          <w:szCs w:val="22"/>
        </w:rPr>
        <w:t>Lizette</w:t>
      </w:r>
      <w:proofErr w:type="spellEnd"/>
      <w:r w:rsidRPr="00A14F7E">
        <w:rPr>
          <w:rFonts w:ascii="Arial" w:hAnsi="Arial" w:cs="Arial"/>
          <w:sz w:val="22"/>
          <w:szCs w:val="22"/>
        </w:rPr>
        <w:t xml:space="preserve"> Toledo Peral y la Consejera Presidenta, Mtra. Elizabeth Nava Gutiérrez.</w:t>
      </w:r>
    </w:p>
    <w:p w14:paraId="15932A7E" w14:textId="77777777" w:rsidR="00003427" w:rsidRPr="00A14F7E" w:rsidRDefault="00003427" w:rsidP="00003427">
      <w:pPr>
        <w:spacing w:line="281" w:lineRule="auto"/>
        <w:rPr>
          <w:rFonts w:ascii="Arial" w:hAnsi="Arial" w:cs="Arial"/>
          <w:sz w:val="22"/>
          <w:szCs w:val="22"/>
        </w:rPr>
      </w:pPr>
    </w:p>
    <w:p w14:paraId="518C0117" w14:textId="77777777" w:rsidR="00003427" w:rsidRPr="00A14F7E" w:rsidRDefault="00003427" w:rsidP="00003427">
      <w:pPr>
        <w:spacing w:line="281" w:lineRule="auto"/>
        <w:rPr>
          <w:rFonts w:ascii="Arial" w:hAnsi="Arial" w:cs="Arial"/>
          <w:sz w:val="22"/>
          <w:szCs w:val="22"/>
        </w:rPr>
      </w:pPr>
    </w:p>
    <w:tbl>
      <w:tblPr>
        <w:tblStyle w:val="Tablaconcuadrcul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249"/>
        <w:gridCol w:w="4437"/>
      </w:tblGrid>
      <w:tr w:rsidR="00A14F7E" w:rsidRPr="00A14F7E" w14:paraId="57732FF0" w14:textId="77777777" w:rsidTr="00A14F7E">
        <w:trPr>
          <w:trHeight w:val="885"/>
        </w:trPr>
        <w:tc>
          <w:tcPr>
            <w:tcW w:w="4636" w:type="dxa"/>
          </w:tcPr>
          <w:p w14:paraId="49D1D05B" w14:textId="77777777" w:rsidR="00003427" w:rsidRPr="00A14F7E" w:rsidRDefault="00003427" w:rsidP="0024049B">
            <w:pPr>
              <w:spacing w:before="0" w:after="0" w:line="281" w:lineRule="auto"/>
              <w:jc w:val="center"/>
              <w:rPr>
                <w:rFonts w:ascii="Arial" w:hAnsi="Arial" w:cs="Arial"/>
                <w:b/>
                <w:bCs/>
                <w:sz w:val="22"/>
                <w:szCs w:val="22"/>
              </w:rPr>
            </w:pPr>
            <w:r w:rsidRPr="00A14F7E">
              <w:rPr>
                <w:rFonts w:ascii="Arial" w:hAnsi="Arial" w:cs="Arial"/>
                <w:b/>
                <w:bCs/>
                <w:sz w:val="22"/>
                <w:szCs w:val="22"/>
              </w:rPr>
              <w:t>MTRA. ELIZABETH NAVA GUTIÉRREZ</w:t>
            </w:r>
          </w:p>
          <w:p w14:paraId="11330FD3" w14:textId="77777777" w:rsidR="00003427" w:rsidRPr="00A14F7E" w:rsidRDefault="00003427" w:rsidP="0024049B">
            <w:pPr>
              <w:spacing w:before="0" w:after="0" w:line="281" w:lineRule="auto"/>
              <w:jc w:val="center"/>
              <w:rPr>
                <w:rFonts w:ascii="Arial" w:hAnsi="Arial" w:cs="Arial"/>
                <w:b/>
                <w:bCs/>
                <w:sz w:val="22"/>
                <w:szCs w:val="22"/>
              </w:rPr>
            </w:pPr>
            <w:r w:rsidRPr="00A14F7E">
              <w:rPr>
                <w:rFonts w:ascii="Arial" w:hAnsi="Arial" w:cs="Arial"/>
                <w:b/>
                <w:bCs/>
                <w:sz w:val="22"/>
                <w:szCs w:val="22"/>
              </w:rPr>
              <w:t>CONSEJERA PRESIDENTA</w:t>
            </w:r>
          </w:p>
        </w:tc>
        <w:tc>
          <w:tcPr>
            <w:tcW w:w="249" w:type="dxa"/>
          </w:tcPr>
          <w:p w14:paraId="6EF2C02E" w14:textId="77777777" w:rsidR="00003427" w:rsidRPr="00A14F7E" w:rsidRDefault="00003427" w:rsidP="0024049B">
            <w:pPr>
              <w:spacing w:before="0" w:after="0" w:line="281" w:lineRule="auto"/>
              <w:rPr>
                <w:rFonts w:ascii="Arial" w:hAnsi="Arial" w:cs="Arial"/>
                <w:b/>
                <w:bCs/>
                <w:sz w:val="22"/>
                <w:szCs w:val="22"/>
              </w:rPr>
            </w:pPr>
          </w:p>
        </w:tc>
        <w:tc>
          <w:tcPr>
            <w:tcW w:w="4437" w:type="dxa"/>
          </w:tcPr>
          <w:p w14:paraId="71C39D31" w14:textId="77777777" w:rsidR="00003427" w:rsidRPr="00A14F7E" w:rsidRDefault="00003427" w:rsidP="0024049B">
            <w:pPr>
              <w:spacing w:before="0" w:after="0" w:line="281" w:lineRule="auto"/>
              <w:jc w:val="center"/>
              <w:rPr>
                <w:rFonts w:ascii="Arial" w:hAnsi="Arial" w:cs="Arial"/>
                <w:b/>
                <w:bCs/>
                <w:sz w:val="22"/>
                <w:szCs w:val="22"/>
              </w:rPr>
            </w:pPr>
            <w:r w:rsidRPr="00A14F7E">
              <w:rPr>
                <w:rFonts w:ascii="Arial" w:hAnsi="Arial" w:cs="Arial"/>
                <w:b/>
                <w:bCs/>
                <w:sz w:val="22"/>
                <w:szCs w:val="22"/>
              </w:rPr>
              <w:t>LIC. JORGE ALBERTO ZAVALA FRÍAS</w:t>
            </w:r>
          </w:p>
          <w:p w14:paraId="787263FF" w14:textId="77777777" w:rsidR="00003427" w:rsidRPr="00A14F7E" w:rsidRDefault="00003427" w:rsidP="0024049B">
            <w:pPr>
              <w:spacing w:before="0" w:after="0" w:line="281" w:lineRule="auto"/>
              <w:jc w:val="center"/>
              <w:rPr>
                <w:rFonts w:ascii="Arial" w:hAnsi="Arial" w:cs="Arial"/>
                <w:b/>
                <w:bCs/>
                <w:sz w:val="22"/>
                <w:szCs w:val="22"/>
              </w:rPr>
            </w:pPr>
            <w:r w:rsidRPr="00A14F7E">
              <w:rPr>
                <w:rFonts w:ascii="Arial" w:hAnsi="Arial" w:cs="Arial"/>
                <w:b/>
                <w:bCs/>
                <w:sz w:val="22"/>
                <w:szCs w:val="22"/>
              </w:rPr>
              <w:t>SECRETARIO DEL CONSEJO</w:t>
            </w:r>
          </w:p>
        </w:tc>
      </w:tr>
    </w:tbl>
    <w:p w14:paraId="2E114885" w14:textId="77777777" w:rsidR="00003427" w:rsidRPr="00A14F7E" w:rsidRDefault="00003427" w:rsidP="00003427">
      <w:pPr>
        <w:widowControl w:val="0"/>
        <w:rPr>
          <w:rFonts w:ascii="Arial" w:hAnsi="Arial" w:cs="Arial"/>
          <w:sz w:val="22"/>
          <w:szCs w:val="22"/>
        </w:rPr>
      </w:pPr>
      <w:bookmarkStart w:id="1" w:name="_GoBack"/>
      <w:bookmarkEnd w:id="1"/>
    </w:p>
    <w:sectPr w:rsidR="00003427" w:rsidRPr="00A14F7E" w:rsidSect="00A14F7E">
      <w:headerReference w:type="default" r:id="rId7"/>
      <w:footerReference w:type="default" r:id="rId8"/>
      <w:pgSz w:w="12240" w:h="15840" w:code="1"/>
      <w:pgMar w:top="2977" w:right="2034"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C14C1" w14:textId="77777777" w:rsidR="00693FDD" w:rsidRDefault="00693FDD" w:rsidP="002F2FBF">
      <w:pPr>
        <w:spacing w:before="0" w:after="0" w:line="240" w:lineRule="auto"/>
      </w:pPr>
      <w:r>
        <w:separator/>
      </w:r>
    </w:p>
  </w:endnote>
  <w:endnote w:type="continuationSeparator" w:id="0">
    <w:p w14:paraId="7B698422" w14:textId="77777777" w:rsidR="00693FDD" w:rsidRDefault="00693FDD" w:rsidP="002F2F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7022020D-C9CB-42EF-95A2-B23B133EEC63}"/>
    <w:embedBold r:id="rId2" w:fontKey="{68C6EEA3-2B83-4568-AA0A-721EACB0143E}"/>
    <w:embedItalic r:id="rId3" w:fontKey="{BA1C21EE-15EB-4E2B-9994-A36E4A8C02D6}"/>
  </w:font>
  <w:font w:name="Exo">
    <w:altName w:val="Times New Roman"/>
    <w:charset w:val="00"/>
    <w:family w:val="auto"/>
    <w:pitch w:val="variable"/>
    <w:sig w:usb0="A00000FF" w:usb1="4000204B" w:usb2="00000000" w:usb3="00000000" w:csb0="00000193" w:csb1="00000000"/>
    <w:embedRegular r:id="rId4" w:fontKey="{AF37E13D-E80C-4FB7-9EE0-3CDAA49D771E}"/>
    <w:embedBold r:id="rId5" w:fontKey="{34922210-CE9E-48C4-96C4-ECB52B634642}"/>
    <w:embedItalic r:id="rId6" w:fontKey="{9E5F3E50-3BBE-4A2B-9DB1-8A334FC23390}"/>
  </w:font>
  <w:font w:name="Aptos Display">
    <w:charset w:val="00"/>
    <w:family w:val="swiss"/>
    <w:pitch w:val="variable"/>
    <w:sig w:usb0="20000287" w:usb1="00000003" w:usb2="00000000" w:usb3="00000000" w:csb0="0000019F" w:csb1="00000000"/>
    <w:embedRegular r:id="rId7" w:fontKey="{E3FAA1D0-CACC-4B49-B76F-EBE2E5DF2B03}"/>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0"/>
        <w:szCs w:val="20"/>
      </w:rPr>
      <w:id w:val="-901525023"/>
      <w:docPartObj>
        <w:docPartGallery w:val="Page Numbers (Top of Page)"/>
        <w:docPartUnique/>
      </w:docPartObj>
    </w:sdtPr>
    <w:sdtEndPr/>
    <w:sdtContent>
      <w:p w14:paraId="590A419E" w14:textId="39D78D5E" w:rsidR="00126ED9" w:rsidRPr="00A14F7E" w:rsidRDefault="00126ED9" w:rsidP="00126ED9">
        <w:pPr>
          <w:pStyle w:val="Piedepgina"/>
          <w:spacing w:before="120"/>
          <w:jc w:val="right"/>
          <w:rPr>
            <w:rFonts w:ascii="Arial" w:hAnsi="Arial" w:cs="Arial"/>
            <w:color w:val="993366"/>
            <w:sz w:val="20"/>
            <w:szCs w:val="20"/>
          </w:rPr>
        </w:pPr>
        <w:r w:rsidRPr="00A14F7E">
          <w:rPr>
            <w:rFonts w:ascii="Arial" w:hAnsi="Arial" w:cs="Arial"/>
            <w:b/>
            <w:bCs/>
            <w:color w:val="993366"/>
          </w:rPr>
          <w:t xml:space="preserve">Página </w:t>
        </w:r>
        <w:r w:rsidRPr="00A14F7E">
          <w:rPr>
            <w:rFonts w:ascii="Arial" w:hAnsi="Arial" w:cs="Arial"/>
            <w:b/>
            <w:bCs/>
            <w:color w:val="993366"/>
          </w:rPr>
          <w:fldChar w:fldCharType="begin"/>
        </w:r>
        <w:r w:rsidRPr="00A14F7E">
          <w:rPr>
            <w:rFonts w:ascii="Arial" w:hAnsi="Arial" w:cs="Arial"/>
            <w:b/>
            <w:bCs/>
            <w:color w:val="993366"/>
          </w:rPr>
          <w:instrText>PAGE</w:instrText>
        </w:r>
        <w:r w:rsidRPr="00A14F7E">
          <w:rPr>
            <w:rFonts w:ascii="Arial" w:hAnsi="Arial" w:cs="Arial"/>
            <w:b/>
            <w:bCs/>
            <w:color w:val="993366"/>
          </w:rPr>
          <w:fldChar w:fldCharType="separate"/>
        </w:r>
        <w:r w:rsidR="00A14F7E">
          <w:rPr>
            <w:rFonts w:ascii="Arial" w:hAnsi="Arial" w:cs="Arial"/>
            <w:b/>
            <w:bCs/>
            <w:noProof/>
            <w:color w:val="993366"/>
          </w:rPr>
          <w:t>12</w:t>
        </w:r>
        <w:r w:rsidRPr="00A14F7E">
          <w:rPr>
            <w:rFonts w:ascii="Arial" w:hAnsi="Arial" w:cs="Arial"/>
            <w:b/>
            <w:bCs/>
            <w:color w:val="993366"/>
          </w:rPr>
          <w:fldChar w:fldCharType="end"/>
        </w:r>
        <w:r w:rsidRPr="00A14F7E">
          <w:rPr>
            <w:rFonts w:ascii="Arial" w:hAnsi="Arial" w:cs="Arial"/>
            <w:b/>
            <w:bCs/>
            <w:color w:val="993366"/>
          </w:rPr>
          <w:t xml:space="preserve"> | </w:t>
        </w:r>
        <w:r w:rsidRPr="00A14F7E">
          <w:rPr>
            <w:rFonts w:ascii="Arial" w:hAnsi="Arial" w:cs="Arial"/>
            <w:b/>
            <w:bCs/>
            <w:color w:val="993366"/>
          </w:rPr>
          <w:fldChar w:fldCharType="begin"/>
        </w:r>
        <w:r w:rsidRPr="00A14F7E">
          <w:rPr>
            <w:rFonts w:ascii="Arial" w:hAnsi="Arial" w:cs="Arial"/>
            <w:b/>
            <w:bCs/>
            <w:color w:val="993366"/>
          </w:rPr>
          <w:instrText>NUMPAGES</w:instrText>
        </w:r>
        <w:r w:rsidRPr="00A14F7E">
          <w:rPr>
            <w:rFonts w:ascii="Arial" w:hAnsi="Arial" w:cs="Arial"/>
            <w:b/>
            <w:bCs/>
            <w:color w:val="993366"/>
          </w:rPr>
          <w:fldChar w:fldCharType="separate"/>
        </w:r>
        <w:r w:rsidR="00A14F7E">
          <w:rPr>
            <w:rFonts w:ascii="Arial" w:hAnsi="Arial" w:cs="Arial"/>
            <w:b/>
            <w:bCs/>
            <w:noProof/>
            <w:color w:val="993366"/>
          </w:rPr>
          <w:t>12</w:t>
        </w:r>
        <w:r w:rsidRPr="00A14F7E">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8CCA6" w14:textId="77777777" w:rsidR="00693FDD" w:rsidRDefault="00693FDD" w:rsidP="002F2FBF">
      <w:pPr>
        <w:spacing w:before="0" w:after="0" w:line="240" w:lineRule="auto"/>
      </w:pPr>
      <w:r>
        <w:separator/>
      </w:r>
    </w:p>
  </w:footnote>
  <w:footnote w:type="continuationSeparator" w:id="0">
    <w:p w14:paraId="1AE99990" w14:textId="77777777" w:rsidR="00693FDD" w:rsidRDefault="00693FDD" w:rsidP="002F2F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4E08F2" w14:paraId="3BA8CC43" w14:textId="77777777" w:rsidTr="0024049B">
      <w:tc>
        <w:tcPr>
          <w:tcW w:w="1813" w:type="dxa"/>
        </w:tcPr>
        <w:p w14:paraId="68DB5682" w14:textId="77777777" w:rsidR="004E08F2" w:rsidRDefault="004E08F2" w:rsidP="004E08F2">
          <w:pPr>
            <w:pStyle w:val="Encabezado"/>
          </w:pPr>
          <w:r>
            <w:rPr>
              <w:b/>
              <w:noProof/>
              <w:sz w:val="32"/>
              <w:lang w:eastAsia="es-MX"/>
            </w:rPr>
            <w:drawing>
              <wp:inline distT="0" distB="0" distL="0" distR="0" wp14:anchorId="55B0E98D" wp14:editId="7EFC9D70">
                <wp:extent cx="1014331" cy="1199403"/>
                <wp:effectExtent l="0" t="0" r="0" b="1270"/>
                <wp:docPr id="5" name="Imagen 5"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41929683" w14:textId="77777777" w:rsidR="004E08F2" w:rsidRPr="00B33A23" w:rsidRDefault="004E08F2" w:rsidP="004E08F2">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2FA4FEE6" w14:textId="77777777" w:rsidR="004E08F2" w:rsidRDefault="004E08F2" w:rsidP="004E08F2">
          <w:pPr>
            <w:pStyle w:val="Encabezado"/>
            <w:spacing w:before="60"/>
            <w:jc w:val="center"/>
          </w:pPr>
          <w:r w:rsidRPr="00B33A23">
            <w:rPr>
              <w:rFonts w:ascii="Arial" w:hAnsi="Arial" w:cs="Arial"/>
              <w:b/>
              <w:bCs/>
              <w:sz w:val="28"/>
              <w:szCs w:val="28"/>
            </w:rPr>
            <w:t>CONSEJO ESTATAL</w:t>
          </w:r>
        </w:p>
      </w:tc>
      <w:tc>
        <w:tcPr>
          <w:tcW w:w="1560" w:type="dxa"/>
        </w:tcPr>
        <w:p w14:paraId="67D39931" w14:textId="77777777" w:rsidR="004E08F2" w:rsidRDefault="004E08F2" w:rsidP="004E08F2">
          <w:pPr>
            <w:pStyle w:val="Encabezado"/>
            <w:spacing w:before="480"/>
            <w:jc w:val="right"/>
          </w:pPr>
          <w:r>
            <w:rPr>
              <w:noProof/>
              <w:lang w:eastAsia="es-MX"/>
            </w:rPr>
            <w:drawing>
              <wp:inline distT="0" distB="0" distL="0" distR="0" wp14:anchorId="3C30BC03" wp14:editId="34A98F57">
                <wp:extent cx="921600" cy="756000"/>
                <wp:effectExtent l="0" t="0" r="0" b="6350"/>
                <wp:docPr id="6"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177ABB74" w14:textId="0B4EC59E" w:rsidR="004E08F2" w:rsidRPr="00A14F7E" w:rsidRDefault="00AB453F" w:rsidP="00A14F7E">
    <w:pPr>
      <w:pStyle w:val="Encabezado"/>
      <w:jc w:val="right"/>
      <w:rPr>
        <w:rFonts w:ascii="Arial" w:hAnsi="Arial" w:cs="Arial"/>
        <w:b/>
      </w:rPr>
    </w:pPr>
    <w:r w:rsidRPr="00A14F7E">
      <w:rPr>
        <w:rFonts w:ascii="Arial" w:hAnsi="Arial" w:cs="Arial"/>
        <w:b/>
      </w:rPr>
      <w:t>CE/2025/041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1546A"/>
    <w:multiLevelType w:val="hybridMultilevel"/>
    <w:tmpl w:val="3A52DCD0"/>
    <w:lvl w:ilvl="0" w:tplc="E304C2F6">
      <w:start w:val="1"/>
      <w:numFmt w:val="lowerLetter"/>
      <w:lvlText w:val="%1)"/>
      <w:lvlJc w:val="left"/>
      <w:pPr>
        <w:ind w:left="1425" w:hanging="705"/>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A20559F"/>
    <w:multiLevelType w:val="hybridMultilevel"/>
    <w:tmpl w:val="75B417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6A01C06"/>
    <w:multiLevelType w:val="hybridMultilevel"/>
    <w:tmpl w:val="9CDAFB9E"/>
    <w:lvl w:ilvl="0" w:tplc="EBB62F9A">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BD840C9"/>
    <w:multiLevelType w:val="hybridMultilevel"/>
    <w:tmpl w:val="1CB83EDC"/>
    <w:lvl w:ilvl="0" w:tplc="E304C2F6">
      <w:start w:val="1"/>
      <w:numFmt w:val="lowerLetter"/>
      <w:lvlText w:val="%1)"/>
      <w:lvlJc w:val="left"/>
      <w:pPr>
        <w:ind w:left="1425" w:hanging="705"/>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D3B5BFD"/>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C7"/>
    <w:rsid w:val="00003427"/>
    <w:rsid w:val="00106394"/>
    <w:rsid w:val="00126ED9"/>
    <w:rsid w:val="00164310"/>
    <w:rsid w:val="002340B3"/>
    <w:rsid w:val="00272D4E"/>
    <w:rsid w:val="00281CA8"/>
    <w:rsid w:val="002C0EFB"/>
    <w:rsid w:val="002F2FBF"/>
    <w:rsid w:val="0037378E"/>
    <w:rsid w:val="00374705"/>
    <w:rsid w:val="00426E44"/>
    <w:rsid w:val="004670A3"/>
    <w:rsid w:val="004711D0"/>
    <w:rsid w:val="004C7465"/>
    <w:rsid w:val="004E08F2"/>
    <w:rsid w:val="004F26FA"/>
    <w:rsid w:val="0051114F"/>
    <w:rsid w:val="0052174D"/>
    <w:rsid w:val="00573CFA"/>
    <w:rsid w:val="005D2D73"/>
    <w:rsid w:val="00693FDD"/>
    <w:rsid w:val="006C0ACD"/>
    <w:rsid w:val="00724315"/>
    <w:rsid w:val="0085131C"/>
    <w:rsid w:val="009132EF"/>
    <w:rsid w:val="009A546D"/>
    <w:rsid w:val="00A01701"/>
    <w:rsid w:val="00A14F7E"/>
    <w:rsid w:val="00A65F64"/>
    <w:rsid w:val="00A77BDA"/>
    <w:rsid w:val="00AB171A"/>
    <w:rsid w:val="00AB453F"/>
    <w:rsid w:val="00B706FA"/>
    <w:rsid w:val="00BC361A"/>
    <w:rsid w:val="00BD0B7F"/>
    <w:rsid w:val="00BE65D8"/>
    <w:rsid w:val="00C132B5"/>
    <w:rsid w:val="00C57AD7"/>
    <w:rsid w:val="00D03FF7"/>
    <w:rsid w:val="00DD5C77"/>
    <w:rsid w:val="00E3376B"/>
    <w:rsid w:val="00E46550"/>
    <w:rsid w:val="00EC1251"/>
    <w:rsid w:val="00F158C7"/>
    <w:rsid w:val="00F719A2"/>
    <w:rsid w:val="00F87E03"/>
    <w:rsid w:val="00FD62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86C7"/>
  <w15:chartTrackingRefBased/>
  <w15:docId w15:val="{8319504F-7F43-4FAC-AACE-B90F0F40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8C7"/>
    <w:pPr>
      <w:spacing w:before="240" w:after="240" w:line="276" w:lineRule="auto"/>
      <w:jc w:val="both"/>
    </w:pPr>
    <w:rPr>
      <w:rFonts w:ascii="Exo" w:hAnsi="Exo"/>
    </w:rPr>
  </w:style>
  <w:style w:type="paragraph" w:styleId="Ttulo1">
    <w:name w:val="heading 1"/>
    <w:basedOn w:val="Normal"/>
    <w:next w:val="Normal"/>
    <w:link w:val="Ttulo1Car"/>
    <w:uiPriority w:val="9"/>
    <w:qFormat/>
    <w:rsid w:val="00F158C7"/>
    <w:pPr>
      <w:keepNext/>
      <w:keepLines/>
      <w:numPr>
        <w:numId w:val="5"/>
      </w:numPr>
      <w:spacing w:before="600" w:after="360"/>
      <w:jc w:val="center"/>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F158C7"/>
    <w:pPr>
      <w:keepNext/>
      <w:keepLines/>
      <w:numPr>
        <w:ilvl w:val="1"/>
        <w:numId w:val="5"/>
      </w:numPr>
      <w:spacing w:before="480"/>
      <w:outlineLvl w:val="1"/>
    </w:pPr>
    <w:rPr>
      <w:rFonts w:eastAsiaTheme="majorEastAsia" w:cstheme="majorBidi"/>
      <w:b/>
      <w:bCs/>
    </w:rPr>
  </w:style>
  <w:style w:type="paragraph" w:styleId="Ttulo3">
    <w:name w:val="heading 3"/>
    <w:basedOn w:val="Normal"/>
    <w:next w:val="Normal"/>
    <w:link w:val="Ttulo3Car"/>
    <w:uiPriority w:val="9"/>
    <w:semiHidden/>
    <w:unhideWhenUsed/>
    <w:qFormat/>
    <w:rsid w:val="00F158C7"/>
    <w:pPr>
      <w:keepNext/>
      <w:keepLines/>
      <w:numPr>
        <w:ilvl w:val="2"/>
        <w:numId w:val="5"/>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58C7"/>
    <w:pPr>
      <w:keepNext/>
      <w:keepLines/>
      <w:numPr>
        <w:ilvl w:val="3"/>
        <w:numId w:val="5"/>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58C7"/>
    <w:pPr>
      <w:keepNext/>
      <w:keepLines/>
      <w:numPr>
        <w:ilvl w:val="4"/>
        <w:numId w:val="5"/>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58C7"/>
    <w:pPr>
      <w:keepNext/>
      <w:keepLines/>
      <w:numPr>
        <w:ilvl w:val="5"/>
        <w:numId w:val="5"/>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58C7"/>
    <w:pPr>
      <w:keepNext/>
      <w:keepLines/>
      <w:numPr>
        <w:ilvl w:val="6"/>
        <w:numId w:val="5"/>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58C7"/>
    <w:pPr>
      <w:keepNext/>
      <w:keepLines/>
      <w:numPr>
        <w:ilvl w:val="7"/>
        <w:numId w:val="5"/>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58C7"/>
    <w:pPr>
      <w:keepNext/>
      <w:keepLines/>
      <w:numPr>
        <w:ilvl w:val="8"/>
        <w:numId w:val="5"/>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58C7"/>
    <w:rPr>
      <w:rFonts w:ascii="Exo" w:eastAsiaTheme="majorEastAsia" w:hAnsi="Exo" w:cstheme="majorBidi"/>
      <w:b/>
      <w:bCs/>
      <w:sz w:val="28"/>
      <w:szCs w:val="28"/>
    </w:rPr>
  </w:style>
  <w:style w:type="character" w:customStyle="1" w:styleId="Ttulo2Car">
    <w:name w:val="Título 2 Car"/>
    <w:basedOn w:val="Fuentedeprrafopredeter"/>
    <w:link w:val="Ttulo2"/>
    <w:uiPriority w:val="9"/>
    <w:rsid w:val="00F158C7"/>
    <w:rPr>
      <w:rFonts w:ascii="Exo" w:eastAsiaTheme="majorEastAsia" w:hAnsi="Exo" w:cstheme="majorBidi"/>
      <w:b/>
      <w:bCs/>
    </w:rPr>
  </w:style>
  <w:style w:type="character" w:customStyle="1" w:styleId="Ttulo3Car">
    <w:name w:val="Título 3 Car"/>
    <w:basedOn w:val="Fuentedeprrafopredeter"/>
    <w:link w:val="Ttulo3"/>
    <w:uiPriority w:val="9"/>
    <w:semiHidden/>
    <w:rsid w:val="00F158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58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58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58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58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58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58C7"/>
    <w:rPr>
      <w:rFonts w:eastAsiaTheme="majorEastAsia" w:cstheme="majorBidi"/>
      <w:color w:val="272727" w:themeColor="text1" w:themeTint="D8"/>
    </w:rPr>
  </w:style>
  <w:style w:type="paragraph" w:styleId="Ttulo">
    <w:name w:val="Title"/>
    <w:basedOn w:val="Normal"/>
    <w:next w:val="Normal"/>
    <w:link w:val="TtuloCar"/>
    <w:uiPriority w:val="10"/>
    <w:qFormat/>
    <w:rsid w:val="00F15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58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58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58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58C7"/>
    <w:pPr>
      <w:spacing w:before="160"/>
      <w:jc w:val="center"/>
    </w:pPr>
    <w:rPr>
      <w:i/>
      <w:iCs/>
      <w:color w:val="404040" w:themeColor="text1" w:themeTint="BF"/>
    </w:rPr>
  </w:style>
  <w:style w:type="character" w:customStyle="1" w:styleId="CitaCar">
    <w:name w:val="Cita Car"/>
    <w:basedOn w:val="Fuentedeprrafopredeter"/>
    <w:link w:val="Cita"/>
    <w:uiPriority w:val="29"/>
    <w:rsid w:val="00F158C7"/>
    <w:rPr>
      <w:i/>
      <w:iCs/>
      <w:color w:val="404040" w:themeColor="text1" w:themeTint="BF"/>
    </w:rPr>
  </w:style>
  <w:style w:type="paragraph" w:styleId="Prrafodelista">
    <w:name w:val="List Paragraph"/>
    <w:basedOn w:val="Normal"/>
    <w:uiPriority w:val="34"/>
    <w:qFormat/>
    <w:rsid w:val="00F158C7"/>
    <w:pPr>
      <w:ind w:left="720"/>
      <w:contextualSpacing/>
    </w:pPr>
  </w:style>
  <w:style w:type="character" w:styleId="nfasisintenso">
    <w:name w:val="Intense Emphasis"/>
    <w:basedOn w:val="Fuentedeprrafopredeter"/>
    <w:uiPriority w:val="21"/>
    <w:qFormat/>
    <w:rsid w:val="00F158C7"/>
    <w:rPr>
      <w:i/>
      <w:iCs/>
      <w:color w:val="0F4761" w:themeColor="accent1" w:themeShade="BF"/>
    </w:rPr>
  </w:style>
  <w:style w:type="paragraph" w:styleId="Citadestacada">
    <w:name w:val="Intense Quote"/>
    <w:basedOn w:val="Normal"/>
    <w:next w:val="Normal"/>
    <w:link w:val="CitadestacadaCar"/>
    <w:uiPriority w:val="30"/>
    <w:qFormat/>
    <w:rsid w:val="00F15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58C7"/>
    <w:rPr>
      <w:i/>
      <w:iCs/>
      <w:color w:val="0F4761" w:themeColor="accent1" w:themeShade="BF"/>
    </w:rPr>
  </w:style>
  <w:style w:type="character" w:styleId="Referenciaintensa">
    <w:name w:val="Intense Reference"/>
    <w:basedOn w:val="Fuentedeprrafopredeter"/>
    <w:uiPriority w:val="32"/>
    <w:qFormat/>
    <w:rsid w:val="00F158C7"/>
    <w:rPr>
      <w:b/>
      <w:bCs/>
      <w:smallCaps/>
      <w:color w:val="0F4761" w:themeColor="accent1" w:themeShade="BF"/>
      <w:spacing w:val="5"/>
    </w:rPr>
  </w:style>
  <w:style w:type="table" w:styleId="Tablaconcuadrcula">
    <w:name w:val="Table Grid"/>
    <w:basedOn w:val="Tablanormal"/>
    <w:uiPriority w:val="39"/>
    <w:rsid w:val="00A6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2FBF"/>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2F2FBF"/>
    <w:rPr>
      <w:rFonts w:ascii="Exo" w:hAnsi="Exo"/>
    </w:rPr>
  </w:style>
  <w:style w:type="paragraph" w:styleId="Piedepgina">
    <w:name w:val="footer"/>
    <w:basedOn w:val="Normal"/>
    <w:link w:val="PiedepginaCar"/>
    <w:uiPriority w:val="99"/>
    <w:unhideWhenUsed/>
    <w:rsid w:val="002F2FBF"/>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2F2FBF"/>
    <w:rPr>
      <w:rFonts w:ascii="Exo" w:hAnsi="Ex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3632</Words>
  <Characters>19978</Characters>
  <Application>Microsoft Office Word</Application>
  <DocSecurity>0</DocSecurity>
  <Lines>166</Lines>
  <Paragraphs>47</Paragraphs>
  <ScaleCrop>false</ScaleCrop>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 Leon</dc:creator>
  <cp:keywords/>
  <dc:description/>
  <cp:lastModifiedBy>Jaqueline del Carmen Carrillo Llergo</cp:lastModifiedBy>
  <cp:revision>16</cp:revision>
  <dcterms:created xsi:type="dcterms:W3CDTF">2025-04-03T18:40:00Z</dcterms:created>
  <dcterms:modified xsi:type="dcterms:W3CDTF">2025-04-04T23:55:00Z</dcterms:modified>
</cp:coreProperties>
</file>