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E838CE" w14:textId="2EE730D9" w:rsidR="00901519" w:rsidRPr="004F4D93" w:rsidRDefault="004F4D93" w:rsidP="00BA0745">
      <w:pPr>
        <w:rPr>
          <w:rFonts w:ascii="Arial" w:hAnsi="Arial" w:cs="Arial"/>
          <w:b/>
          <w:bCs/>
        </w:rPr>
      </w:pPr>
      <w:r w:rsidRPr="004F4D93">
        <w:rPr>
          <w:rFonts w:ascii="Arial" w:hAnsi="Arial" w:cs="Arial"/>
          <w:b/>
          <w:bCs/>
        </w:rPr>
        <w:t>ACUERDO QUE, A PROPUESTA DEL ÓRGANO TÉCNICO DE FISCALIZACIÓN, EMITE EL CONSEJO ESTATAL DEL INSTITUTO ELECTORAL Y DE PARTICIPACIÓN CIUDADANA DE TABASCO, POR EL QUE APRUEBA LOS LINEAMIENTOS EN MATERIA DE FISCALIZACIÓN PARA LAS ORGANIZACIONES DE PERSONAS OBSERVADORAS ELECTORALES CON MOTIVO DEL PROCESO ELECTORAL LOCAL EXTRAORDINARIO PARA PERSONAS JUZGADORAS DEL PODER JUDICIAL DEL ESTADO 2024 – 2025</w:t>
      </w:r>
    </w:p>
    <w:p w14:paraId="56811781" w14:textId="77777777" w:rsidR="00A4549F" w:rsidRPr="004F4D93" w:rsidRDefault="00A4549F" w:rsidP="00A4549F">
      <w:pPr>
        <w:rPr>
          <w:rFonts w:ascii="Arial" w:hAnsi="Arial" w:cs="Arial"/>
        </w:rPr>
      </w:pPr>
      <w:r w:rsidRPr="004F4D93">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4F4D93" w:rsidRPr="004F4D93" w14:paraId="1BBF1D06" w14:textId="77777777" w:rsidTr="00B67BCA">
        <w:trPr>
          <w:trHeight w:val="624"/>
          <w:jc w:val="center"/>
        </w:trPr>
        <w:tc>
          <w:tcPr>
            <w:tcW w:w="2042" w:type="pct"/>
            <w:shd w:val="clear" w:color="auto" w:fill="auto"/>
            <w:vAlign w:val="center"/>
          </w:tcPr>
          <w:p w14:paraId="700F1D2B" w14:textId="77777777" w:rsidR="00A1028F" w:rsidRPr="004F4D93" w:rsidRDefault="00A1028F" w:rsidP="00B67BCA">
            <w:pPr>
              <w:spacing w:before="120" w:after="120" w:line="264" w:lineRule="auto"/>
              <w:ind w:left="57"/>
              <w:jc w:val="right"/>
              <w:rPr>
                <w:rFonts w:ascii="Arial" w:hAnsi="Arial" w:cs="Arial"/>
                <w:b/>
                <w:sz w:val="20"/>
                <w:szCs w:val="20"/>
              </w:rPr>
            </w:pPr>
            <w:bookmarkStart w:id="0" w:name="_Hlk186652747"/>
            <w:r w:rsidRPr="004F4D93">
              <w:rPr>
                <w:rFonts w:ascii="Arial" w:hAnsi="Arial" w:cs="Arial"/>
                <w:b/>
                <w:sz w:val="20"/>
                <w:szCs w:val="20"/>
              </w:rPr>
              <w:t>Consejo Estatal:</w:t>
            </w:r>
          </w:p>
        </w:tc>
        <w:tc>
          <w:tcPr>
            <w:tcW w:w="2958" w:type="pct"/>
            <w:shd w:val="clear" w:color="auto" w:fill="auto"/>
            <w:vAlign w:val="center"/>
          </w:tcPr>
          <w:p w14:paraId="0EDEFDE6" w14:textId="77777777" w:rsidR="00A1028F" w:rsidRPr="004F4D93" w:rsidRDefault="00A1028F" w:rsidP="00B67BCA">
            <w:pPr>
              <w:spacing w:before="120" w:after="120" w:line="264" w:lineRule="auto"/>
              <w:ind w:left="57"/>
              <w:rPr>
                <w:rFonts w:ascii="Arial" w:hAnsi="Arial" w:cs="Arial"/>
                <w:sz w:val="20"/>
                <w:szCs w:val="20"/>
              </w:rPr>
            </w:pPr>
            <w:r w:rsidRPr="004F4D93">
              <w:rPr>
                <w:rFonts w:ascii="Arial" w:hAnsi="Arial" w:cs="Arial"/>
                <w:sz w:val="20"/>
                <w:szCs w:val="20"/>
              </w:rPr>
              <w:t>Consejo Estatal del Instituto Electoral y de Participación Ciudadana de Tabasco.</w:t>
            </w:r>
          </w:p>
        </w:tc>
      </w:tr>
      <w:tr w:rsidR="004F4D93" w:rsidRPr="004F4D93" w14:paraId="16EC7817" w14:textId="77777777" w:rsidTr="00B67BCA">
        <w:trPr>
          <w:trHeight w:val="624"/>
          <w:jc w:val="center"/>
        </w:trPr>
        <w:tc>
          <w:tcPr>
            <w:tcW w:w="2042" w:type="pct"/>
            <w:shd w:val="clear" w:color="auto" w:fill="auto"/>
            <w:vAlign w:val="center"/>
          </w:tcPr>
          <w:p w14:paraId="0DC93910" w14:textId="77777777" w:rsidR="00A1028F" w:rsidRPr="004F4D93" w:rsidRDefault="00A1028F" w:rsidP="00B67BCA">
            <w:pPr>
              <w:spacing w:before="120" w:after="120" w:line="264" w:lineRule="auto"/>
              <w:ind w:left="57"/>
              <w:jc w:val="right"/>
              <w:rPr>
                <w:rFonts w:ascii="Arial" w:hAnsi="Arial" w:cs="Arial"/>
                <w:b/>
                <w:sz w:val="20"/>
                <w:szCs w:val="20"/>
              </w:rPr>
            </w:pPr>
            <w:r w:rsidRPr="004F4D93">
              <w:rPr>
                <w:rFonts w:ascii="Arial" w:hAnsi="Arial" w:cs="Arial"/>
                <w:b/>
                <w:sz w:val="20"/>
                <w:szCs w:val="20"/>
              </w:rPr>
              <w:t>Consejos Distritales:</w:t>
            </w:r>
          </w:p>
        </w:tc>
        <w:tc>
          <w:tcPr>
            <w:tcW w:w="2958" w:type="pct"/>
            <w:shd w:val="clear" w:color="auto" w:fill="auto"/>
            <w:vAlign w:val="center"/>
          </w:tcPr>
          <w:p w14:paraId="7B9ED208" w14:textId="77777777" w:rsidR="00A1028F" w:rsidRPr="004F4D93" w:rsidRDefault="00A1028F" w:rsidP="00B67BCA">
            <w:pPr>
              <w:spacing w:before="120" w:after="120" w:line="264" w:lineRule="auto"/>
              <w:ind w:left="57"/>
              <w:rPr>
                <w:rFonts w:ascii="Arial" w:hAnsi="Arial" w:cs="Arial"/>
                <w:sz w:val="20"/>
                <w:szCs w:val="20"/>
              </w:rPr>
            </w:pPr>
            <w:r w:rsidRPr="004F4D93">
              <w:rPr>
                <w:rFonts w:ascii="Arial" w:hAnsi="Arial" w:cs="Arial"/>
                <w:sz w:val="20"/>
                <w:szCs w:val="20"/>
              </w:rPr>
              <w:t>Consejos Electorales Distritales del Instituto Electoral y de Participación Ciudadana de Tabasco.</w:t>
            </w:r>
          </w:p>
        </w:tc>
      </w:tr>
      <w:tr w:rsidR="004F4D93" w:rsidRPr="004F4D93" w14:paraId="1BA48F90" w14:textId="77777777" w:rsidTr="00B67BCA">
        <w:trPr>
          <w:trHeight w:val="624"/>
          <w:jc w:val="center"/>
        </w:trPr>
        <w:tc>
          <w:tcPr>
            <w:tcW w:w="2042" w:type="pct"/>
            <w:shd w:val="clear" w:color="auto" w:fill="auto"/>
            <w:vAlign w:val="center"/>
          </w:tcPr>
          <w:p w14:paraId="08C7D583" w14:textId="77777777" w:rsidR="00A1028F" w:rsidRPr="004F4D93" w:rsidRDefault="00A1028F" w:rsidP="00B67BCA">
            <w:pPr>
              <w:spacing w:before="120" w:after="120" w:line="264" w:lineRule="auto"/>
              <w:ind w:left="57"/>
              <w:jc w:val="right"/>
              <w:rPr>
                <w:rFonts w:ascii="Arial" w:hAnsi="Arial" w:cs="Arial"/>
                <w:b/>
                <w:sz w:val="20"/>
                <w:szCs w:val="20"/>
              </w:rPr>
            </w:pPr>
            <w:r w:rsidRPr="004F4D93">
              <w:rPr>
                <w:rFonts w:ascii="Arial" w:hAnsi="Arial" w:cs="Arial"/>
                <w:b/>
                <w:sz w:val="20"/>
                <w:szCs w:val="20"/>
              </w:rPr>
              <w:t>Constitución Federal:</w:t>
            </w:r>
          </w:p>
        </w:tc>
        <w:tc>
          <w:tcPr>
            <w:tcW w:w="2958" w:type="pct"/>
            <w:shd w:val="clear" w:color="auto" w:fill="auto"/>
            <w:vAlign w:val="center"/>
          </w:tcPr>
          <w:p w14:paraId="7556BD2E" w14:textId="77777777" w:rsidR="00A1028F" w:rsidRPr="004F4D93" w:rsidRDefault="00A1028F" w:rsidP="00B67BCA">
            <w:pPr>
              <w:spacing w:before="120" w:after="120" w:line="264" w:lineRule="auto"/>
              <w:ind w:left="57"/>
              <w:rPr>
                <w:rFonts w:ascii="Arial" w:hAnsi="Arial" w:cs="Arial"/>
                <w:sz w:val="20"/>
                <w:szCs w:val="20"/>
              </w:rPr>
            </w:pPr>
            <w:r w:rsidRPr="004F4D93">
              <w:rPr>
                <w:rFonts w:ascii="Arial" w:hAnsi="Arial" w:cs="Arial"/>
                <w:sz w:val="20"/>
                <w:szCs w:val="20"/>
              </w:rPr>
              <w:t>Constitución Política de los Estados Unidos Mexicanos.</w:t>
            </w:r>
          </w:p>
        </w:tc>
      </w:tr>
      <w:tr w:rsidR="004F4D93" w:rsidRPr="004F4D93" w14:paraId="15F61F86" w14:textId="77777777" w:rsidTr="00B67BCA">
        <w:trPr>
          <w:trHeight w:val="624"/>
          <w:jc w:val="center"/>
        </w:trPr>
        <w:tc>
          <w:tcPr>
            <w:tcW w:w="2042" w:type="pct"/>
            <w:shd w:val="clear" w:color="auto" w:fill="auto"/>
            <w:vAlign w:val="center"/>
          </w:tcPr>
          <w:p w14:paraId="132458EA" w14:textId="77777777" w:rsidR="00A1028F" w:rsidRPr="004F4D93" w:rsidRDefault="00A1028F" w:rsidP="00B67BCA">
            <w:pPr>
              <w:spacing w:before="120" w:after="120" w:line="264" w:lineRule="auto"/>
              <w:ind w:left="57"/>
              <w:jc w:val="right"/>
              <w:rPr>
                <w:rFonts w:ascii="Arial" w:hAnsi="Arial" w:cs="Arial"/>
                <w:b/>
                <w:sz w:val="20"/>
                <w:szCs w:val="20"/>
              </w:rPr>
            </w:pPr>
            <w:r w:rsidRPr="004F4D93">
              <w:rPr>
                <w:rFonts w:ascii="Arial" w:hAnsi="Arial" w:cs="Arial"/>
                <w:b/>
                <w:sz w:val="20"/>
                <w:szCs w:val="20"/>
              </w:rPr>
              <w:t>Constitución Local:</w:t>
            </w:r>
          </w:p>
        </w:tc>
        <w:tc>
          <w:tcPr>
            <w:tcW w:w="2958" w:type="pct"/>
            <w:shd w:val="clear" w:color="auto" w:fill="auto"/>
            <w:vAlign w:val="center"/>
          </w:tcPr>
          <w:p w14:paraId="7473B510" w14:textId="77777777" w:rsidR="00A1028F" w:rsidRPr="004F4D93" w:rsidRDefault="00A1028F" w:rsidP="00B67BCA">
            <w:pPr>
              <w:spacing w:before="120" w:after="120" w:line="264" w:lineRule="auto"/>
              <w:ind w:left="57"/>
              <w:rPr>
                <w:rFonts w:ascii="Arial" w:hAnsi="Arial" w:cs="Arial"/>
                <w:sz w:val="20"/>
                <w:szCs w:val="20"/>
              </w:rPr>
            </w:pPr>
            <w:r w:rsidRPr="004F4D93">
              <w:rPr>
                <w:rFonts w:ascii="Arial" w:hAnsi="Arial" w:cs="Arial"/>
                <w:sz w:val="20"/>
                <w:szCs w:val="20"/>
              </w:rPr>
              <w:t>Constitución Política del Estado Libre y Soberano de Tabasco.</w:t>
            </w:r>
          </w:p>
        </w:tc>
      </w:tr>
      <w:tr w:rsidR="004F4D93" w:rsidRPr="004F4D93" w14:paraId="0F3A344C" w14:textId="77777777" w:rsidTr="00B67BCA">
        <w:trPr>
          <w:trHeight w:val="624"/>
          <w:jc w:val="center"/>
        </w:trPr>
        <w:tc>
          <w:tcPr>
            <w:tcW w:w="2042" w:type="pct"/>
            <w:shd w:val="clear" w:color="auto" w:fill="auto"/>
            <w:vAlign w:val="center"/>
          </w:tcPr>
          <w:p w14:paraId="1E242323" w14:textId="77777777" w:rsidR="00A1028F" w:rsidRPr="004F4D93" w:rsidRDefault="00A1028F" w:rsidP="00B67BCA">
            <w:pPr>
              <w:spacing w:before="120" w:after="120" w:line="264" w:lineRule="auto"/>
              <w:ind w:left="57"/>
              <w:jc w:val="right"/>
              <w:rPr>
                <w:rFonts w:ascii="Arial" w:hAnsi="Arial" w:cs="Arial"/>
                <w:b/>
                <w:sz w:val="20"/>
                <w:szCs w:val="20"/>
              </w:rPr>
            </w:pPr>
            <w:r w:rsidRPr="004F4D93">
              <w:rPr>
                <w:rFonts w:ascii="Arial" w:hAnsi="Arial" w:cs="Arial"/>
                <w:b/>
                <w:sz w:val="20"/>
                <w:szCs w:val="20"/>
              </w:rPr>
              <w:t>INE:</w:t>
            </w:r>
          </w:p>
        </w:tc>
        <w:tc>
          <w:tcPr>
            <w:tcW w:w="2958" w:type="pct"/>
            <w:shd w:val="clear" w:color="auto" w:fill="auto"/>
            <w:vAlign w:val="center"/>
          </w:tcPr>
          <w:p w14:paraId="6B64A5D1" w14:textId="77777777" w:rsidR="00A1028F" w:rsidRPr="004F4D93" w:rsidRDefault="00A1028F" w:rsidP="00B67BCA">
            <w:pPr>
              <w:spacing w:before="120" w:after="120" w:line="264" w:lineRule="auto"/>
              <w:ind w:left="57"/>
              <w:rPr>
                <w:rFonts w:ascii="Arial" w:hAnsi="Arial" w:cs="Arial"/>
                <w:sz w:val="20"/>
                <w:szCs w:val="20"/>
              </w:rPr>
            </w:pPr>
            <w:r w:rsidRPr="004F4D93">
              <w:rPr>
                <w:rFonts w:ascii="Arial" w:hAnsi="Arial" w:cs="Arial"/>
                <w:sz w:val="20"/>
                <w:szCs w:val="20"/>
              </w:rPr>
              <w:t>Instituto Nacional Electoral.</w:t>
            </w:r>
          </w:p>
        </w:tc>
      </w:tr>
      <w:tr w:rsidR="004F4D93" w:rsidRPr="004F4D93" w14:paraId="6835B4FC" w14:textId="77777777" w:rsidTr="00B67BCA">
        <w:trPr>
          <w:trHeight w:val="624"/>
          <w:jc w:val="center"/>
        </w:trPr>
        <w:tc>
          <w:tcPr>
            <w:tcW w:w="2042" w:type="pct"/>
            <w:shd w:val="clear" w:color="auto" w:fill="auto"/>
            <w:vAlign w:val="center"/>
          </w:tcPr>
          <w:p w14:paraId="46F4F457" w14:textId="77777777" w:rsidR="00A1028F" w:rsidRPr="004F4D93" w:rsidRDefault="00A1028F" w:rsidP="00B67BCA">
            <w:pPr>
              <w:spacing w:before="120" w:after="120" w:line="264" w:lineRule="auto"/>
              <w:ind w:left="57"/>
              <w:jc w:val="right"/>
              <w:rPr>
                <w:rFonts w:ascii="Arial" w:hAnsi="Arial" w:cs="Arial"/>
                <w:b/>
                <w:sz w:val="20"/>
                <w:szCs w:val="20"/>
              </w:rPr>
            </w:pPr>
            <w:r w:rsidRPr="004F4D93">
              <w:rPr>
                <w:rFonts w:ascii="Arial" w:hAnsi="Arial" w:cs="Arial"/>
                <w:b/>
                <w:sz w:val="20"/>
                <w:szCs w:val="20"/>
              </w:rPr>
              <w:t>Instituto:</w:t>
            </w:r>
          </w:p>
        </w:tc>
        <w:tc>
          <w:tcPr>
            <w:tcW w:w="2958" w:type="pct"/>
            <w:shd w:val="clear" w:color="auto" w:fill="auto"/>
          </w:tcPr>
          <w:p w14:paraId="3E4E984E" w14:textId="77777777" w:rsidR="00A1028F" w:rsidRPr="004F4D93" w:rsidRDefault="00A1028F" w:rsidP="00B67BCA">
            <w:pPr>
              <w:spacing w:before="120" w:after="120" w:line="264" w:lineRule="auto"/>
              <w:ind w:left="57"/>
              <w:rPr>
                <w:rFonts w:ascii="Arial" w:hAnsi="Arial" w:cs="Arial"/>
                <w:sz w:val="20"/>
                <w:szCs w:val="20"/>
              </w:rPr>
            </w:pPr>
            <w:r w:rsidRPr="004F4D93">
              <w:rPr>
                <w:rFonts w:ascii="Arial" w:hAnsi="Arial" w:cs="Arial"/>
                <w:sz w:val="20"/>
                <w:szCs w:val="20"/>
              </w:rPr>
              <w:t>Instituto Electoral y de Participación Ciudadana de Tabasco.</w:t>
            </w:r>
          </w:p>
        </w:tc>
      </w:tr>
      <w:tr w:rsidR="004F4D93" w:rsidRPr="004F4D93" w14:paraId="418D0ADE" w14:textId="77777777" w:rsidTr="00B67BCA">
        <w:trPr>
          <w:trHeight w:val="624"/>
          <w:jc w:val="center"/>
        </w:trPr>
        <w:tc>
          <w:tcPr>
            <w:tcW w:w="2042" w:type="pct"/>
            <w:shd w:val="clear" w:color="auto" w:fill="auto"/>
            <w:vAlign w:val="center"/>
          </w:tcPr>
          <w:p w14:paraId="6F6D20C7" w14:textId="77777777" w:rsidR="00A1028F" w:rsidRPr="004F4D93" w:rsidRDefault="00A1028F" w:rsidP="00B67BCA">
            <w:pPr>
              <w:spacing w:before="120" w:after="120" w:line="264" w:lineRule="auto"/>
              <w:ind w:left="57"/>
              <w:jc w:val="right"/>
              <w:rPr>
                <w:rFonts w:ascii="Arial" w:hAnsi="Arial" w:cs="Arial"/>
                <w:b/>
                <w:sz w:val="20"/>
                <w:szCs w:val="20"/>
              </w:rPr>
            </w:pPr>
            <w:r w:rsidRPr="004F4D93">
              <w:rPr>
                <w:rFonts w:ascii="Arial" w:hAnsi="Arial" w:cs="Arial"/>
                <w:b/>
                <w:sz w:val="20"/>
                <w:szCs w:val="20"/>
              </w:rPr>
              <w:t>Ley Electoral:</w:t>
            </w:r>
          </w:p>
        </w:tc>
        <w:tc>
          <w:tcPr>
            <w:tcW w:w="2958" w:type="pct"/>
            <w:shd w:val="clear" w:color="auto" w:fill="auto"/>
            <w:vAlign w:val="center"/>
          </w:tcPr>
          <w:p w14:paraId="488F6E73" w14:textId="77777777" w:rsidR="00A1028F" w:rsidRPr="004F4D93" w:rsidRDefault="00A1028F" w:rsidP="00B67BCA">
            <w:pPr>
              <w:spacing w:before="120" w:after="120" w:line="264" w:lineRule="auto"/>
              <w:ind w:left="57"/>
              <w:rPr>
                <w:rFonts w:ascii="Arial" w:hAnsi="Arial" w:cs="Arial"/>
                <w:sz w:val="20"/>
                <w:szCs w:val="20"/>
              </w:rPr>
            </w:pPr>
            <w:r w:rsidRPr="004F4D93">
              <w:rPr>
                <w:rFonts w:ascii="Arial" w:hAnsi="Arial" w:cs="Arial"/>
                <w:sz w:val="20"/>
                <w:szCs w:val="20"/>
              </w:rPr>
              <w:t>Ley Electoral y de Partidos Políticos del Estado de Tabasco.</w:t>
            </w:r>
          </w:p>
        </w:tc>
      </w:tr>
      <w:tr w:rsidR="004F4D93" w:rsidRPr="004F4D93" w14:paraId="2940C3A9" w14:textId="77777777" w:rsidTr="00B67BCA">
        <w:trPr>
          <w:trHeight w:val="624"/>
          <w:jc w:val="center"/>
        </w:trPr>
        <w:tc>
          <w:tcPr>
            <w:tcW w:w="2042" w:type="pct"/>
            <w:shd w:val="clear" w:color="auto" w:fill="auto"/>
            <w:vAlign w:val="center"/>
          </w:tcPr>
          <w:p w14:paraId="5AE6BF5D" w14:textId="77777777" w:rsidR="00A1028F" w:rsidRPr="004F4D93" w:rsidRDefault="00A1028F" w:rsidP="00B67BCA">
            <w:pPr>
              <w:spacing w:before="120" w:after="120" w:line="264" w:lineRule="auto"/>
              <w:ind w:left="57"/>
              <w:jc w:val="right"/>
              <w:rPr>
                <w:rFonts w:ascii="Arial" w:hAnsi="Arial" w:cs="Arial"/>
                <w:b/>
                <w:sz w:val="20"/>
                <w:szCs w:val="20"/>
              </w:rPr>
            </w:pPr>
            <w:r w:rsidRPr="004F4D93">
              <w:rPr>
                <w:rFonts w:ascii="Arial" w:hAnsi="Arial" w:cs="Arial"/>
                <w:b/>
                <w:sz w:val="20"/>
                <w:szCs w:val="20"/>
              </w:rPr>
              <w:t>Ley General:</w:t>
            </w:r>
          </w:p>
        </w:tc>
        <w:tc>
          <w:tcPr>
            <w:tcW w:w="2958" w:type="pct"/>
            <w:shd w:val="clear" w:color="auto" w:fill="auto"/>
            <w:vAlign w:val="center"/>
          </w:tcPr>
          <w:p w14:paraId="61482F05" w14:textId="77777777" w:rsidR="00A1028F" w:rsidRPr="004F4D93" w:rsidRDefault="00A1028F" w:rsidP="00B67BCA">
            <w:pPr>
              <w:spacing w:before="120" w:after="120" w:line="264" w:lineRule="auto"/>
              <w:ind w:left="57"/>
              <w:rPr>
                <w:rFonts w:ascii="Arial" w:hAnsi="Arial" w:cs="Arial"/>
                <w:sz w:val="20"/>
                <w:szCs w:val="20"/>
              </w:rPr>
            </w:pPr>
            <w:r w:rsidRPr="004F4D93">
              <w:rPr>
                <w:rFonts w:ascii="Arial" w:hAnsi="Arial" w:cs="Arial"/>
                <w:sz w:val="20"/>
                <w:szCs w:val="20"/>
              </w:rPr>
              <w:t>Ley General de Instituciones y Procedimientos Electorales.</w:t>
            </w:r>
          </w:p>
        </w:tc>
      </w:tr>
      <w:tr w:rsidR="004F4D93" w:rsidRPr="004F4D93" w14:paraId="4E500921" w14:textId="77777777" w:rsidTr="00B67BCA">
        <w:trPr>
          <w:trHeight w:val="624"/>
          <w:jc w:val="center"/>
        </w:trPr>
        <w:tc>
          <w:tcPr>
            <w:tcW w:w="2042" w:type="pct"/>
            <w:shd w:val="clear" w:color="auto" w:fill="auto"/>
            <w:vAlign w:val="center"/>
          </w:tcPr>
          <w:p w14:paraId="349EF300" w14:textId="77777777" w:rsidR="00A1028F" w:rsidRPr="004F4D93" w:rsidRDefault="00A1028F" w:rsidP="00B67BCA">
            <w:pPr>
              <w:spacing w:before="120" w:after="120" w:line="264" w:lineRule="auto"/>
              <w:ind w:left="57"/>
              <w:jc w:val="right"/>
              <w:rPr>
                <w:rFonts w:ascii="Arial" w:hAnsi="Arial" w:cs="Arial"/>
                <w:b/>
                <w:sz w:val="20"/>
                <w:szCs w:val="20"/>
              </w:rPr>
            </w:pPr>
            <w:r w:rsidRPr="004F4D93">
              <w:rPr>
                <w:rFonts w:ascii="Arial" w:hAnsi="Arial" w:cs="Arial"/>
                <w:b/>
                <w:sz w:val="20"/>
                <w:szCs w:val="20"/>
              </w:rPr>
              <w:t>Lineamientos para la fiscalización:</w:t>
            </w:r>
          </w:p>
        </w:tc>
        <w:tc>
          <w:tcPr>
            <w:tcW w:w="2958" w:type="pct"/>
            <w:shd w:val="clear" w:color="auto" w:fill="auto"/>
            <w:vAlign w:val="center"/>
          </w:tcPr>
          <w:p w14:paraId="50DD2137" w14:textId="77777777" w:rsidR="00A1028F" w:rsidRPr="004F4D93" w:rsidRDefault="00A1028F" w:rsidP="00B67BCA">
            <w:pPr>
              <w:spacing w:before="120" w:after="120" w:line="264" w:lineRule="auto"/>
              <w:ind w:left="57"/>
              <w:rPr>
                <w:rFonts w:ascii="Arial" w:hAnsi="Arial" w:cs="Arial"/>
                <w:bCs/>
                <w:sz w:val="20"/>
                <w:szCs w:val="20"/>
              </w:rPr>
            </w:pPr>
            <w:r w:rsidRPr="004F4D93">
              <w:rPr>
                <w:rFonts w:ascii="Arial" w:hAnsi="Arial" w:cs="Arial"/>
                <w:bCs/>
                <w:sz w:val="20"/>
                <w:szCs w:val="20"/>
              </w:rPr>
              <w:t>Lineamientos para la fiscalización de los procesos electorales del Poder Judicial, federal y locales.</w:t>
            </w:r>
          </w:p>
        </w:tc>
      </w:tr>
      <w:tr w:rsidR="004F4D93" w:rsidRPr="004F4D93" w14:paraId="6C96D425" w14:textId="77777777" w:rsidTr="00B67BCA">
        <w:trPr>
          <w:trHeight w:val="624"/>
          <w:jc w:val="center"/>
        </w:trPr>
        <w:tc>
          <w:tcPr>
            <w:tcW w:w="2042" w:type="pct"/>
            <w:shd w:val="clear" w:color="auto" w:fill="auto"/>
            <w:vAlign w:val="center"/>
          </w:tcPr>
          <w:p w14:paraId="6F7B2222" w14:textId="77777777" w:rsidR="00A1028F" w:rsidRPr="004F4D93" w:rsidRDefault="00A1028F" w:rsidP="00B67BCA">
            <w:pPr>
              <w:spacing w:before="120" w:after="120" w:line="264" w:lineRule="auto"/>
              <w:ind w:left="57"/>
              <w:jc w:val="right"/>
              <w:rPr>
                <w:rFonts w:ascii="Arial" w:hAnsi="Arial" w:cs="Arial"/>
                <w:b/>
                <w:sz w:val="20"/>
                <w:szCs w:val="20"/>
              </w:rPr>
            </w:pPr>
            <w:r w:rsidRPr="004F4D93">
              <w:rPr>
                <w:rFonts w:ascii="Arial" w:hAnsi="Arial" w:cs="Arial"/>
                <w:b/>
                <w:sz w:val="20"/>
                <w:szCs w:val="20"/>
              </w:rPr>
              <w:lastRenderedPageBreak/>
              <w:t>Lineamientos para las Organizaciones de Observadoras y Observadores Electorales:</w:t>
            </w:r>
          </w:p>
        </w:tc>
        <w:tc>
          <w:tcPr>
            <w:tcW w:w="2958" w:type="pct"/>
            <w:shd w:val="clear" w:color="auto" w:fill="auto"/>
            <w:vAlign w:val="center"/>
          </w:tcPr>
          <w:p w14:paraId="61D968D0" w14:textId="77777777" w:rsidR="00A1028F" w:rsidRPr="004F4D93" w:rsidRDefault="00A1028F" w:rsidP="00B67BCA">
            <w:pPr>
              <w:spacing w:before="120" w:after="120" w:line="264" w:lineRule="auto"/>
              <w:ind w:left="57"/>
              <w:rPr>
                <w:rFonts w:ascii="Arial" w:hAnsi="Arial" w:cs="Arial"/>
                <w:bCs/>
                <w:sz w:val="20"/>
                <w:szCs w:val="20"/>
              </w:rPr>
            </w:pPr>
            <w:r w:rsidRPr="004F4D93">
              <w:rPr>
                <w:rFonts w:ascii="Arial" w:hAnsi="Arial" w:cs="Arial"/>
                <w:bCs/>
                <w:sz w:val="20"/>
                <w:szCs w:val="20"/>
              </w:rPr>
              <w:t>Lineamientos en materia de fiscalización para las organizaciones de observadoras y observadores electorales con motivo del Proceso Electoral Local Extraordinario para personas juzgadoras del Poder Judicial del Estado 2024 – 2025.</w:t>
            </w:r>
          </w:p>
        </w:tc>
      </w:tr>
      <w:tr w:rsidR="004F4D93" w:rsidRPr="004F4D93" w14:paraId="0E50E8F0" w14:textId="77777777" w:rsidTr="00B67BCA">
        <w:trPr>
          <w:trHeight w:val="624"/>
          <w:jc w:val="center"/>
        </w:trPr>
        <w:tc>
          <w:tcPr>
            <w:tcW w:w="2042" w:type="pct"/>
            <w:shd w:val="clear" w:color="auto" w:fill="auto"/>
            <w:vAlign w:val="center"/>
          </w:tcPr>
          <w:p w14:paraId="71556E73" w14:textId="77777777" w:rsidR="00A1028F" w:rsidRPr="004F4D93" w:rsidRDefault="00A1028F" w:rsidP="00B67BCA">
            <w:pPr>
              <w:spacing w:before="120" w:after="120" w:line="264" w:lineRule="auto"/>
              <w:ind w:left="57"/>
              <w:jc w:val="right"/>
              <w:rPr>
                <w:rFonts w:ascii="Arial" w:hAnsi="Arial" w:cs="Arial"/>
                <w:b/>
                <w:sz w:val="20"/>
                <w:szCs w:val="20"/>
              </w:rPr>
            </w:pPr>
            <w:r w:rsidRPr="004F4D93">
              <w:rPr>
                <w:rFonts w:ascii="Arial" w:hAnsi="Arial" w:cs="Arial"/>
                <w:b/>
                <w:sz w:val="20"/>
                <w:szCs w:val="20"/>
              </w:rPr>
              <w:t>Organismo electoral:</w:t>
            </w:r>
          </w:p>
        </w:tc>
        <w:tc>
          <w:tcPr>
            <w:tcW w:w="2958" w:type="pct"/>
            <w:shd w:val="clear" w:color="auto" w:fill="auto"/>
            <w:vAlign w:val="center"/>
          </w:tcPr>
          <w:p w14:paraId="757B17E7" w14:textId="77777777" w:rsidR="00A1028F" w:rsidRPr="004F4D93" w:rsidRDefault="00A1028F" w:rsidP="00B67BCA">
            <w:pPr>
              <w:spacing w:before="120" w:after="120" w:line="264" w:lineRule="auto"/>
              <w:ind w:left="57"/>
              <w:rPr>
                <w:rFonts w:ascii="Arial" w:hAnsi="Arial" w:cs="Arial"/>
                <w:sz w:val="20"/>
                <w:szCs w:val="20"/>
              </w:rPr>
            </w:pPr>
            <w:r w:rsidRPr="004F4D93">
              <w:rPr>
                <w:rFonts w:ascii="Arial" w:hAnsi="Arial" w:cs="Arial"/>
                <w:sz w:val="20"/>
                <w:szCs w:val="20"/>
              </w:rPr>
              <w:t xml:space="preserve">Organismo(s) público(s) local(es) electoral(es). </w:t>
            </w:r>
          </w:p>
        </w:tc>
      </w:tr>
      <w:tr w:rsidR="004F4D93" w:rsidRPr="004F4D93" w14:paraId="4ED20F4C" w14:textId="77777777" w:rsidTr="00B67BCA">
        <w:trPr>
          <w:trHeight w:val="624"/>
          <w:jc w:val="center"/>
        </w:trPr>
        <w:tc>
          <w:tcPr>
            <w:tcW w:w="2042" w:type="pct"/>
            <w:shd w:val="clear" w:color="auto" w:fill="auto"/>
            <w:vAlign w:val="center"/>
          </w:tcPr>
          <w:p w14:paraId="510507F1" w14:textId="77777777" w:rsidR="00A1028F" w:rsidRPr="004F4D93" w:rsidRDefault="00A1028F" w:rsidP="00B67BCA">
            <w:pPr>
              <w:spacing w:before="120" w:after="120" w:line="264" w:lineRule="auto"/>
              <w:ind w:left="57"/>
              <w:jc w:val="right"/>
              <w:rPr>
                <w:rFonts w:ascii="Arial" w:hAnsi="Arial" w:cs="Arial"/>
                <w:b/>
                <w:sz w:val="20"/>
                <w:szCs w:val="20"/>
              </w:rPr>
            </w:pPr>
            <w:r w:rsidRPr="004F4D93">
              <w:rPr>
                <w:rFonts w:ascii="Arial" w:hAnsi="Arial" w:cs="Arial"/>
                <w:b/>
                <w:sz w:val="20"/>
                <w:szCs w:val="20"/>
              </w:rPr>
              <w:t>Proceso Electoral Extraordinario:</w:t>
            </w:r>
          </w:p>
        </w:tc>
        <w:tc>
          <w:tcPr>
            <w:tcW w:w="2958" w:type="pct"/>
            <w:shd w:val="clear" w:color="auto" w:fill="auto"/>
            <w:vAlign w:val="center"/>
          </w:tcPr>
          <w:p w14:paraId="490E90B3" w14:textId="3FF5D74F" w:rsidR="00A1028F" w:rsidRPr="004F4D93" w:rsidRDefault="00563CEA" w:rsidP="00B67BCA">
            <w:pPr>
              <w:spacing w:before="120" w:after="120" w:line="264" w:lineRule="auto"/>
              <w:ind w:left="57"/>
              <w:rPr>
                <w:rFonts w:ascii="Arial" w:hAnsi="Arial" w:cs="Arial"/>
                <w:sz w:val="20"/>
                <w:szCs w:val="20"/>
              </w:rPr>
            </w:pPr>
            <w:r w:rsidRPr="004F4D93">
              <w:rPr>
                <w:rFonts w:ascii="Arial" w:hAnsi="Arial" w:cs="Arial"/>
                <w:sz w:val="20"/>
                <w:szCs w:val="20"/>
              </w:rPr>
              <w:t>Proceso Electoral Local Extraordinario para personas juzgadoras del Poder Judicial del Estado de Tabasco 2024 – 2025.</w:t>
            </w:r>
          </w:p>
        </w:tc>
      </w:tr>
      <w:tr w:rsidR="004F4D93" w:rsidRPr="004F4D93" w14:paraId="6C23ADE4" w14:textId="77777777" w:rsidTr="00B67BCA">
        <w:trPr>
          <w:trHeight w:val="624"/>
          <w:jc w:val="center"/>
        </w:trPr>
        <w:tc>
          <w:tcPr>
            <w:tcW w:w="2042" w:type="pct"/>
            <w:shd w:val="clear" w:color="auto" w:fill="auto"/>
            <w:vAlign w:val="center"/>
          </w:tcPr>
          <w:p w14:paraId="6BA1C281" w14:textId="77777777" w:rsidR="00A1028F" w:rsidRPr="004F4D93" w:rsidRDefault="00A1028F" w:rsidP="00B67BCA">
            <w:pPr>
              <w:spacing w:before="120" w:after="120" w:line="264" w:lineRule="auto"/>
              <w:ind w:left="57"/>
              <w:jc w:val="right"/>
              <w:rPr>
                <w:rFonts w:ascii="Arial" w:hAnsi="Arial" w:cs="Arial"/>
                <w:b/>
                <w:sz w:val="20"/>
                <w:szCs w:val="20"/>
              </w:rPr>
            </w:pPr>
            <w:r w:rsidRPr="004F4D93">
              <w:rPr>
                <w:rFonts w:ascii="Arial" w:hAnsi="Arial" w:cs="Arial"/>
                <w:b/>
                <w:sz w:val="20"/>
                <w:szCs w:val="20"/>
              </w:rPr>
              <w:t>Secretaría Ejecutiva:</w:t>
            </w:r>
          </w:p>
        </w:tc>
        <w:tc>
          <w:tcPr>
            <w:tcW w:w="2958" w:type="pct"/>
            <w:shd w:val="clear" w:color="auto" w:fill="auto"/>
            <w:vAlign w:val="center"/>
          </w:tcPr>
          <w:p w14:paraId="37AFBE48" w14:textId="77777777" w:rsidR="00A1028F" w:rsidRPr="004F4D93" w:rsidRDefault="00A1028F" w:rsidP="00B67BCA">
            <w:pPr>
              <w:spacing w:before="120" w:after="120" w:line="264" w:lineRule="auto"/>
              <w:ind w:left="57"/>
              <w:rPr>
                <w:rFonts w:ascii="Arial" w:hAnsi="Arial" w:cs="Arial"/>
                <w:sz w:val="20"/>
                <w:szCs w:val="20"/>
              </w:rPr>
            </w:pPr>
            <w:r w:rsidRPr="004F4D93">
              <w:rPr>
                <w:rFonts w:ascii="Arial" w:hAnsi="Arial" w:cs="Arial"/>
                <w:sz w:val="20"/>
                <w:szCs w:val="20"/>
              </w:rPr>
              <w:t>Secretaría Ejecutiva del Instituto Electoral y de Participación Ciudadana de Tabasco.</w:t>
            </w:r>
          </w:p>
        </w:tc>
      </w:tr>
    </w:tbl>
    <w:bookmarkEnd w:id="0"/>
    <w:p w14:paraId="77F783A8" w14:textId="77777777" w:rsidR="00901519" w:rsidRPr="004F4D93" w:rsidRDefault="00901519" w:rsidP="00EC2E19">
      <w:pPr>
        <w:pStyle w:val="Ttulo1"/>
        <w:rPr>
          <w:rFonts w:ascii="Arial" w:hAnsi="Arial" w:cs="Arial"/>
          <w:color w:val="auto"/>
          <w:sz w:val="24"/>
          <w:szCs w:val="24"/>
        </w:rPr>
      </w:pPr>
      <w:r w:rsidRPr="004F4D93">
        <w:rPr>
          <w:rFonts w:ascii="Arial" w:hAnsi="Arial" w:cs="Arial"/>
          <w:color w:val="auto"/>
          <w:sz w:val="24"/>
          <w:szCs w:val="24"/>
        </w:rPr>
        <w:t>Antecedentes</w:t>
      </w:r>
    </w:p>
    <w:p w14:paraId="6D82B1A6" w14:textId="77777777" w:rsidR="00901519" w:rsidRPr="004F4D93" w:rsidRDefault="00901519" w:rsidP="00901519">
      <w:pPr>
        <w:pStyle w:val="Ttulo2"/>
        <w:rPr>
          <w:rFonts w:ascii="Arial" w:hAnsi="Arial" w:cs="Arial"/>
          <w:color w:val="auto"/>
          <w:sz w:val="22"/>
          <w:szCs w:val="22"/>
        </w:rPr>
      </w:pPr>
      <w:r w:rsidRPr="004F4D93">
        <w:rPr>
          <w:rFonts w:ascii="Arial" w:hAnsi="Arial" w:cs="Arial"/>
          <w:color w:val="auto"/>
          <w:sz w:val="22"/>
          <w:szCs w:val="22"/>
        </w:rPr>
        <w:t>Fines del Instituto</w:t>
      </w:r>
    </w:p>
    <w:p w14:paraId="49E6239E" w14:textId="77777777" w:rsidR="00901519" w:rsidRPr="004F4D93" w:rsidRDefault="00901519" w:rsidP="00901519">
      <w:pPr>
        <w:rPr>
          <w:rFonts w:ascii="Arial" w:hAnsi="Arial" w:cs="Arial"/>
          <w:sz w:val="22"/>
          <w:szCs w:val="22"/>
        </w:rPr>
      </w:pPr>
      <w:r w:rsidRPr="004F4D93">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6C7F39DB" w14:textId="77777777" w:rsidR="00844C52" w:rsidRPr="004F4D93" w:rsidRDefault="00844C52" w:rsidP="00844C52">
      <w:pPr>
        <w:rPr>
          <w:rFonts w:ascii="Arial" w:hAnsi="Arial" w:cs="Arial"/>
          <w:sz w:val="22"/>
          <w:szCs w:val="22"/>
        </w:rPr>
      </w:pPr>
      <w:r w:rsidRPr="004F4D93">
        <w:rPr>
          <w:rFonts w:ascii="Arial" w:hAnsi="Arial" w:cs="Arial"/>
          <w:sz w:val="22"/>
          <w:szCs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6CD9883F" w14:textId="77777777" w:rsidR="00901519" w:rsidRPr="004F4D93" w:rsidRDefault="00901519" w:rsidP="00901519">
      <w:pPr>
        <w:rPr>
          <w:rFonts w:ascii="Arial" w:hAnsi="Arial" w:cs="Arial"/>
          <w:sz w:val="22"/>
          <w:szCs w:val="22"/>
        </w:rPr>
      </w:pPr>
      <w:r w:rsidRPr="004F4D93">
        <w:rPr>
          <w:rFonts w:ascii="Arial" w:hAnsi="Arial" w:cs="Arial"/>
          <w:sz w:val="22"/>
          <w:szCs w:val="22"/>
        </w:rPr>
        <w:t xml:space="preserve">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w:t>
      </w:r>
      <w:r w:rsidRPr="004F4D93">
        <w:rPr>
          <w:rFonts w:ascii="Arial" w:hAnsi="Arial" w:cs="Arial"/>
          <w:sz w:val="22"/>
          <w:szCs w:val="22"/>
        </w:rPr>
        <w:lastRenderedPageBreak/>
        <w:t>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704CBE43" w14:textId="77777777" w:rsidR="00901519" w:rsidRPr="004F4D93" w:rsidRDefault="00901519" w:rsidP="00901519">
      <w:pPr>
        <w:pStyle w:val="Ttulo2"/>
        <w:rPr>
          <w:rFonts w:ascii="Arial" w:hAnsi="Arial" w:cs="Arial"/>
          <w:color w:val="auto"/>
          <w:sz w:val="22"/>
          <w:szCs w:val="22"/>
        </w:rPr>
      </w:pPr>
      <w:r w:rsidRPr="004F4D93">
        <w:rPr>
          <w:rFonts w:ascii="Arial" w:hAnsi="Arial" w:cs="Arial"/>
          <w:color w:val="auto"/>
          <w:sz w:val="22"/>
          <w:szCs w:val="22"/>
        </w:rPr>
        <w:t>Integración del órgano superior de dirección</w:t>
      </w:r>
    </w:p>
    <w:p w14:paraId="4B2C0767" w14:textId="77777777" w:rsidR="00901519" w:rsidRPr="004F4D93" w:rsidRDefault="00901519" w:rsidP="00901519">
      <w:pPr>
        <w:rPr>
          <w:rFonts w:ascii="Arial" w:hAnsi="Arial" w:cs="Arial"/>
          <w:sz w:val="22"/>
          <w:szCs w:val="22"/>
        </w:rPr>
      </w:pPr>
      <w:r w:rsidRPr="004F4D93">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7324C605" w14:textId="77777777" w:rsidR="00901519" w:rsidRPr="004F4D93" w:rsidRDefault="00901519" w:rsidP="00901519">
      <w:pPr>
        <w:rPr>
          <w:rFonts w:ascii="Arial" w:hAnsi="Arial" w:cs="Arial"/>
          <w:sz w:val="22"/>
          <w:szCs w:val="22"/>
        </w:rPr>
      </w:pPr>
      <w:r w:rsidRPr="004F4D93">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64CD9238" w14:textId="77777777" w:rsidR="00901519" w:rsidRPr="004F4D93" w:rsidRDefault="00901519" w:rsidP="00901519">
      <w:pPr>
        <w:rPr>
          <w:rFonts w:ascii="Arial" w:hAnsi="Arial" w:cs="Arial"/>
          <w:sz w:val="22"/>
          <w:szCs w:val="22"/>
        </w:rPr>
      </w:pPr>
      <w:r w:rsidRPr="004F4D93">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3D6F5778" w14:textId="77777777" w:rsidR="00901519" w:rsidRPr="004F4D93" w:rsidRDefault="00901519" w:rsidP="00901519">
      <w:pPr>
        <w:pStyle w:val="Ttulo2"/>
        <w:rPr>
          <w:rFonts w:ascii="Arial" w:hAnsi="Arial" w:cs="Arial"/>
          <w:color w:val="auto"/>
          <w:sz w:val="22"/>
          <w:szCs w:val="22"/>
        </w:rPr>
      </w:pPr>
      <w:r w:rsidRPr="004F4D93">
        <w:rPr>
          <w:rFonts w:ascii="Arial" w:hAnsi="Arial" w:cs="Arial"/>
          <w:color w:val="auto"/>
          <w:sz w:val="22"/>
          <w:szCs w:val="22"/>
        </w:rPr>
        <w:t>Órganos centrales del Instituto</w:t>
      </w:r>
    </w:p>
    <w:p w14:paraId="737B6A5C" w14:textId="77777777" w:rsidR="00901519" w:rsidRPr="004F4D93" w:rsidRDefault="00901519" w:rsidP="00901519">
      <w:pPr>
        <w:rPr>
          <w:rFonts w:ascii="Arial" w:hAnsi="Arial" w:cs="Arial"/>
          <w:sz w:val="22"/>
          <w:szCs w:val="22"/>
        </w:rPr>
      </w:pPr>
      <w:r w:rsidRPr="004F4D93">
        <w:rPr>
          <w:rFonts w:ascii="Arial" w:hAnsi="Arial" w:cs="Arial"/>
          <w:sz w:val="22"/>
          <w:szCs w:val="22"/>
        </w:rPr>
        <w:t>De acuerdo con el artículo 105 numeral 1 de la Ley Electoral los órganos centrales del Instituto son los siguientes:</w:t>
      </w:r>
    </w:p>
    <w:p w14:paraId="60AC4E78" w14:textId="77777777" w:rsidR="00901519" w:rsidRPr="004F4D93" w:rsidRDefault="00901519" w:rsidP="00901519">
      <w:pPr>
        <w:pStyle w:val="Prrafodelista"/>
        <w:numPr>
          <w:ilvl w:val="0"/>
          <w:numId w:val="2"/>
        </w:numPr>
        <w:rPr>
          <w:rFonts w:ascii="Arial" w:hAnsi="Arial" w:cs="Arial"/>
          <w:sz w:val="22"/>
          <w:szCs w:val="22"/>
        </w:rPr>
      </w:pPr>
      <w:r w:rsidRPr="004F4D93">
        <w:rPr>
          <w:rFonts w:ascii="Arial" w:hAnsi="Arial" w:cs="Arial"/>
          <w:sz w:val="22"/>
          <w:szCs w:val="22"/>
        </w:rPr>
        <w:t>Consejo Estatal;</w:t>
      </w:r>
    </w:p>
    <w:p w14:paraId="4D4B45F5" w14:textId="77777777" w:rsidR="00901519" w:rsidRPr="004F4D93" w:rsidRDefault="00901519" w:rsidP="00901519">
      <w:pPr>
        <w:pStyle w:val="Prrafodelista"/>
        <w:numPr>
          <w:ilvl w:val="0"/>
          <w:numId w:val="2"/>
        </w:numPr>
        <w:rPr>
          <w:rFonts w:ascii="Arial" w:hAnsi="Arial" w:cs="Arial"/>
          <w:sz w:val="22"/>
          <w:szCs w:val="22"/>
        </w:rPr>
      </w:pPr>
      <w:r w:rsidRPr="004F4D93">
        <w:rPr>
          <w:rFonts w:ascii="Arial" w:hAnsi="Arial" w:cs="Arial"/>
          <w:sz w:val="22"/>
          <w:szCs w:val="22"/>
        </w:rPr>
        <w:t>Presidencia del Consejo Estatal;</w:t>
      </w:r>
    </w:p>
    <w:p w14:paraId="5BC7A537" w14:textId="77777777" w:rsidR="00901519" w:rsidRPr="004F4D93" w:rsidRDefault="00901519" w:rsidP="00901519">
      <w:pPr>
        <w:pStyle w:val="Prrafodelista"/>
        <w:numPr>
          <w:ilvl w:val="0"/>
          <w:numId w:val="2"/>
        </w:numPr>
        <w:rPr>
          <w:rFonts w:ascii="Arial" w:hAnsi="Arial" w:cs="Arial"/>
          <w:sz w:val="22"/>
          <w:szCs w:val="22"/>
        </w:rPr>
      </w:pPr>
      <w:r w:rsidRPr="004F4D93">
        <w:rPr>
          <w:rFonts w:ascii="Arial" w:hAnsi="Arial" w:cs="Arial"/>
          <w:sz w:val="22"/>
          <w:szCs w:val="22"/>
        </w:rPr>
        <w:t>Junta Estatal Ejecutiva;</w:t>
      </w:r>
    </w:p>
    <w:p w14:paraId="151A0753" w14:textId="77777777" w:rsidR="00901519" w:rsidRPr="004F4D93" w:rsidRDefault="00901519" w:rsidP="00901519">
      <w:pPr>
        <w:pStyle w:val="Prrafodelista"/>
        <w:numPr>
          <w:ilvl w:val="0"/>
          <w:numId w:val="2"/>
        </w:numPr>
        <w:rPr>
          <w:rFonts w:ascii="Arial" w:hAnsi="Arial" w:cs="Arial"/>
          <w:sz w:val="22"/>
          <w:szCs w:val="22"/>
        </w:rPr>
      </w:pPr>
      <w:r w:rsidRPr="004F4D93">
        <w:rPr>
          <w:rFonts w:ascii="Arial" w:hAnsi="Arial" w:cs="Arial"/>
          <w:sz w:val="22"/>
          <w:szCs w:val="22"/>
        </w:rPr>
        <w:t>Secretaría Ejecutiva, y</w:t>
      </w:r>
    </w:p>
    <w:p w14:paraId="2297B48D" w14:textId="77777777" w:rsidR="00901519" w:rsidRPr="004F4D93" w:rsidRDefault="00901519" w:rsidP="00901519">
      <w:pPr>
        <w:pStyle w:val="Prrafodelista"/>
        <w:numPr>
          <w:ilvl w:val="0"/>
          <w:numId w:val="2"/>
        </w:numPr>
        <w:rPr>
          <w:rFonts w:ascii="Arial" w:hAnsi="Arial" w:cs="Arial"/>
          <w:sz w:val="22"/>
          <w:szCs w:val="22"/>
        </w:rPr>
      </w:pPr>
      <w:r w:rsidRPr="004F4D93">
        <w:rPr>
          <w:rFonts w:ascii="Arial" w:hAnsi="Arial" w:cs="Arial"/>
          <w:sz w:val="22"/>
          <w:szCs w:val="22"/>
        </w:rPr>
        <w:t>Órgano Técnico de Fiscalización.</w:t>
      </w:r>
    </w:p>
    <w:p w14:paraId="30F63DF2" w14:textId="77777777" w:rsidR="00901519" w:rsidRPr="004F4D93" w:rsidRDefault="00901519" w:rsidP="00901519">
      <w:pPr>
        <w:pStyle w:val="Ttulo2"/>
        <w:rPr>
          <w:rFonts w:ascii="Arial" w:hAnsi="Arial" w:cs="Arial"/>
          <w:color w:val="auto"/>
          <w:sz w:val="22"/>
          <w:szCs w:val="22"/>
        </w:rPr>
      </w:pPr>
      <w:r w:rsidRPr="004F4D93">
        <w:rPr>
          <w:rFonts w:ascii="Arial" w:hAnsi="Arial" w:cs="Arial"/>
          <w:color w:val="auto"/>
          <w:sz w:val="22"/>
          <w:szCs w:val="22"/>
        </w:rPr>
        <w:lastRenderedPageBreak/>
        <w:t xml:space="preserve">Reforma Constitucional </w:t>
      </w:r>
    </w:p>
    <w:p w14:paraId="71B333A5" w14:textId="77777777" w:rsidR="00901519" w:rsidRPr="004F4D93" w:rsidRDefault="00901519" w:rsidP="00901519">
      <w:pPr>
        <w:rPr>
          <w:rFonts w:ascii="Arial" w:hAnsi="Arial" w:cs="Arial"/>
          <w:sz w:val="22"/>
          <w:szCs w:val="22"/>
        </w:rPr>
      </w:pPr>
      <w:r w:rsidRPr="004F4D93">
        <w:rPr>
          <w:rFonts w:ascii="Arial" w:hAnsi="Arial" w:cs="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02D12CC4" w14:textId="77777777" w:rsidR="00901519" w:rsidRPr="004F4D93" w:rsidRDefault="00901519" w:rsidP="00901519">
      <w:pPr>
        <w:rPr>
          <w:rFonts w:ascii="Arial" w:hAnsi="Arial" w:cs="Arial"/>
          <w:sz w:val="22"/>
          <w:szCs w:val="22"/>
        </w:rPr>
      </w:pPr>
      <w:r w:rsidRPr="004F4D93">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0E380F31" w14:textId="60703E5E" w:rsidR="00901519" w:rsidRPr="004F4D93" w:rsidRDefault="00901519" w:rsidP="00901519">
      <w:pPr>
        <w:pStyle w:val="Ttulo2"/>
        <w:rPr>
          <w:rFonts w:ascii="Arial" w:hAnsi="Arial" w:cs="Arial"/>
          <w:color w:val="auto"/>
          <w:sz w:val="22"/>
          <w:szCs w:val="22"/>
        </w:rPr>
      </w:pPr>
      <w:r w:rsidRPr="004F4D93">
        <w:rPr>
          <w:rFonts w:ascii="Arial" w:hAnsi="Arial" w:cs="Arial"/>
          <w:color w:val="auto"/>
          <w:sz w:val="22"/>
          <w:szCs w:val="22"/>
        </w:rPr>
        <w:t xml:space="preserve">Convocatoria </w:t>
      </w:r>
      <w:r w:rsidR="00F731C0" w:rsidRPr="004F4D93">
        <w:rPr>
          <w:rFonts w:ascii="Arial" w:hAnsi="Arial" w:cs="Arial"/>
          <w:color w:val="auto"/>
          <w:sz w:val="22"/>
          <w:szCs w:val="22"/>
        </w:rPr>
        <w:t xml:space="preserve">del INE </w:t>
      </w:r>
      <w:r w:rsidRPr="004F4D93">
        <w:rPr>
          <w:rFonts w:ascii="Arial" w:hAnsi="Arial" w:cs="Arial"/>
          <w:color w:val="auto"/>
          <w:sz w:val="22"/>
          <w:szCs w:val="22"/>
        </w:rPr>
        <w:t>para la participación de personas observadoras electorales</w:t>
      </w:r>
    </w:p>
    <w:p w14:paraId="607F5203" w14:textId="75C51EA4" w:rsidR="00901519" w:rsidRPr="004F4D93" w:rsidRDefault="00901519" w:rsidP="00901519">
      <w:pPr>
        <w:rPr>
          <w:rFonts w:ascii="Arial" w:hAnsi="Arial" w:cs="Arial"/>
          <w:sz w:val="22"/>
          <w:szCs w:val="22"/>
        </w:rPr>
      </w:pPr>
      <w:r w:rsidRPr="004F4D93">
        <w:rPr>
          <w:rFonts w:ascii="Arial" w:hAnsi="Arial" w:cs="Arial"/>
          <w:sz w:val="22"/>
          <w:szCs w:val="22"/>
        </w:rPr>
        <w:t>El 13 de diciembre de 2024, mediante acuerdo INE/</w:t>
      </w:r>
      <w:proofErr w:type="spellStart"/>
      <w:r w:rsidRPr="004F4D93">
        <w:rPr>
          <w:rFonts w:ascii="Arial" w:hAnsi="Arial" w:cs="Arial"/>
          <w:sz w:val="22"/>
          <w:szCs w:val="22"/>
        </w:rPr>
        <w:t>CG2467</w:t>
      </w:r>
      <w:proofErr w:type="spellEnd"/>
      <w:r w:rsidRPr="004F4D93">
        <w:rPr>
          <w:rFonts w:ascii="Arial" w:hAnsi="Arial" w:cs="Arial"/>
          <w:sz w:val="22"/>
          <w:szCs w:val="22"/>
        </w:rPr>
        <w:t>/2024, el Consejo General del INE emitió las convocatorias para que la ciudadanía participe como observadora electoral en el Proceso Electoral Extraordinario para la elección de diversos cargos del Poder Judicial de la Federación 2024-2025 y, en su caso, de los procesos electorales de los Poderes Judiciales Locales, así como, para los procesos electorales extraordinarios que deriven de éstos.</w:t>
      </w:r>
    </w:p>
    <w:p w14:paraId="2DAF1D5E" w14:textId="77777777" w:rsidR="00901519" w:rsidRPr="004F4D93" w:rsidRDefault="00901519" w:rsidP="00901519">
      <w:pPr>
        <w:pStyle w:val="Ttulo2"/>
        <w:rPr>
          <w:rFonts w:ascii="Arial" w:hAnsi="Arial" w:cs="Arial"/>
          <w:color w:val="auto"/>
          <w:sz w:val="22"/>
          <w:szCs w:val="22"/>
        </w:rPr>
      </w:pPr>
      <w:r w:rsidRPr="004F4D93">
        <w:rPr>
          <w:rFonts w:ascii="Arial" w:hAnsi="Arial" w:cs="Arial"/>
          <w:color w:val="auto"/>
          <w:sz w:val="22"/>
          <w:szCs w:val="22"/>
        </w:rPr>
        <w:t>Inicio del Proceso Electoral Extraordinario</w:t>
      </w:r>
    </w:p>
    <w:p w14:paraId="3206618A" w14:textId="77777777" w:rsidR="00901519" w:rsidRPr="004F4D93" w:rsidRDefault="00901519" w:rsidP="00901519">
      <w:pPr>
        <w:rPr>
          <w:rFonts w:ascii="Arial" w:hAnsi="Arial" w:cs="Arial"/>
          <w:sz w:val="22"/>
          <w:szCs w:val="22"/>
        </w:rPr>
      </w:pPr>
      <w:r w:rsidRPr="004F4D93">
        <w:rPr>
          <w:rFonts w:ascii="Arial" w:hAnsi="Arial" w:cs="Arial"/>
          <w:sz w:val="22"/>
          <w:szCs w:val="22"/>
        </w:rPr>
        <w:t>El 20 de diciembre de 2024, en cumplimiento al artículo segundo transitorio del decreto 080,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39D8B311" w14:textId="77777777" w:rsidR="00901519" w:rsidRPr="004F4D93" w:rsidRDefault="00901519" w:rsidP="00901519">
      <w:pPr>
        <w:pStyle w:val="Ttulo2"/>
        <w:rPr>
          <w:rFonts w:ascii="Arial" w:hAnsi="Arial" w:cs="Arial"/>
          <w:color w:val="auto"/>
          <w:sz w:val="22"/>
          <w:szCs w:val="22"/>
        </w:rPr>
      </w:pPr>
      <w:r w:rsidRPr="004F4D93">
        <w:rPr>
          <w:rFonts w:ascii="Arial" w:hAnsi="Arial" w:cs="Arial"/>
          <w:color w:val="auto"/>
          <w:sz w:val="22"/>
          <w:szCs w:val="22"/>
        </w:rPr>
        <w:lastRenderedPageBreak/>
        <w:t>Expedición de la Convocatoria General Pública</w:t>
      </w:r>
    </w:p>
    <w:p w14:paraId="495A550A" w14:textId="77777777" w:rsidR="00901519" w:rsidRPr="004F4D93" w:rsidRDefault="00901519" w:rsidP="00901519">
      <w:pPr>
        <w:rPr>
          <w:rFonts w:ascii="Arial" w:hAnsi="Arial" w:cs="Arial"/>
          <w:sz w:val="22"/>
          <w:szCs w:val="22"/>
        </w:rPr>
      </w:pPr>
      <w:r w:rsidRPr="004F4D93">
        <w:rPr>
          <w:rFonts w:ascii="Arial" w:hAnsi="Arial" w:cs="Arial"/>
          <w:sz w:val="22"/>
          <w:szCs w:val="22"/>
        </w:rPr>
        <w:t>El 16 de enero de 2025, en el Periódico Oficial del Estado Extraordinario edición número 281, se publicó la Convocatoria General Pública para que, los Poderes Ejecutivo, Legislativo y Judicial integraran e instalaran sus respectivos Comités de Evaluación y para que, a través de ellos, convoquen a toda la ciudadanía a participar en la elección extraordinaria de las personas que ocuparán los cargos de Magistraturas del Tribunal Superior de Justicia, Magistraturas del Tribunal de Disciplina Judicial, así como Juezas y Jueces del Poder Judicial del Estado de Tabasco, expedida por el Congreso del Estado de Tabasco.</w:t>
      </w:r>
    </w:p>
    <w:p w14:paraId="297D2D83" w14:textId="7F22A5C6" w:rsidR="00901519" w:rsidRPr="004F4D93" w:rsidRDefault="00901519" w:rsidP="00901519">
      <w:pPr>
        <w:pStyle w:val="Ttulo2"/>
        <w:rPr>
          <w:rFonts w:ascii="Arial" w:hAnsi="Arial" w:cs="Arial"/>
          <w:color w:val="auto"/>
          <w:sz w:val="22"/>
          <w:szCs w:val="22"/>
        </w:rPr>
      </w:pPr>
      <w:r w:rsidRPr="004F4D93">
        <w:rPr>
          <w:rFonts w:ascii="Arial" w:hAnsi="Arial" w:cs="Arial"/>
          <w:color w:val="auto"/>
          <w:sz w:val="22"/>
          <w:szCs w:val="22"/>
        </w:rPr>
        <w:t>Reforma a la Ley Electoral</w:t>
      </w:r>
    </w:p>
    <w:p w14:paraId="4247BC01" w14:textId="77777777" w:rsidR="00901519" w:rsidRPr="004F4D93" w:rsidRDefault="00901519" w:rsidP="00901519">
      <w:pPr>
        <w:rPr>
          <w:rFonts w:ascii="Arial" w:hAnsi="Arial" w:cs="Arial"/>
          <w:sz w:val="22"/>
          <w:szCs w:val="22"/>
        </w:rPr>
      </w:pPr>
      <w:r w:rsidRPr="004F4D93">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30F05F4A" w14:textId="4FE4BB7E" w:rsidR="007610F7" w:rsidRPr="004F4D93" w:rsidRDefault="007610F7" w:rsidP="00ED5258">
      <w:pPr>
        <w:pStyle w:val="Ttulo2"/>
        <w:rPr>
          <w:rFonts w:ascii="Arial" w:hAnsi="Arial" w:cs="Arial"/>
          <w:color w:val="auto"/>
          <w:sz w:val="22"/>
          <w:szCs w:val="22"/>
        </w:rPr>
      </w:pPr>
      <w:r w:rsidRPr="004F4D93">
        <w:rPr>
          <w:rFonts w:ascii="Arial" w:hAnsi="Arial" w:cs="Arial"/>
          <w:color w:val="auto"/>
          <w:sz w:val="22"/>
          <w:szCs w:val="22"/>
        </w:rPr>
        <w:t>Lineamientos para la fiscalización</w:t>
      </w:r>
    </w:p>
    <w:p w14:paraId="492FD96A" w14:textId="0B10C48E" w:rsidR="007610F7" w:rsidRPr="004F4D93" w:rsidRDefault="007610F7" w:rsidP="007610F7">
      <w:pPr>
        <w:rPr>
          <w:rFonts w:ascii="Arial" w:hAnsi="Arial" w:cs="Arial"/>
          <w:sz w:val="22"/>
          <w:szCs w:val="22"/>
        </w:rPr>
      </w:pPr>
      <w:r w:rsidRPr="004F4D93">
        <w:rPr>
          <w:rFonts w:ascii="Arial" w:hAnsi="Arial" w:cs="Arial"/>
          <w:sz w:val="22"/>
          <w:szCs w:val="22"/>
        </w:rPr>
        <w:t>El 30 de enero de 2025, mediante acuerdo INE/</w:t>
      </w:r>
      <w:proofErr w:type="spellStart"/>
      <w:r w:rsidRPr="004F4D93">
        <w:rPr>
          <w:rFonts w:ascii="Arial" w:hAnsi="Arial" w:cs="Arial"/>
          <w:sz w:val="22"/>
          <w:szCs w:val="22"/>
        </w:rPr>
        <w:t>CG54</w:t>
      </w:r>
      <w:proofErr w:type="spellEnd"/>
      <w:r w:rsidRPr="004F4D93">
        <w:rPr>
          <w:rFonts w:ascii="Arial" w:hAnsi="Arial" w:cs="Arial"/>
          <w:sz w:val="22"/>
          <w:szCs w:val="22"/>
        </w:rPr>
        <w:t>/2025, el Consejo General del INE emitió los Lineamientos para la fiscalización, que tienen por objeto regular la presentación de información comprobatoria de las operaciones ante la Unidas Técnica de Fiscalización del INE y los mecanismos de revisión del origen y destino de recursos en los procesos de elección de cargos del Poder Judicial federal y locales.</w:t>
      </w:r>
    </w:p>
    <w:p w14:paraId="7B2DFF51" w14:textId="18918600" w:rsidR="00F731C0" w:rsidRPr="004F4D93" w:rsidRDefault="00F63E10" w:rsidP="00F731C0">
      <w:pPr>
        <w:pStyle w:val="Ttulo2"/>
        <w:rPr>
          <w:rFonts w:ascii="Arial" w:hAnsi="Arial" w:cs="Arial"/>
          <w:color w:val="auto"/>
          <w:sz w:val="22"/>
          <w:szCs w:val="22"/>
        </w:rPr>
      </w:pPr>
      <w:r w:rsidRPr="004F4D93">
        <w:rPr>
          <w:rFonts w:ascii="Arial" w:hAnsi="Arial" w:cs="Arial"/>
          <w:color w:val="auto"/>
          <w:sz w:val="22"/>
          <w:szCs w:val="22"/>
        </w:rPr>
        <w:t xml:space="preserve">Convocatoria </w:t>
      </w:r>
      <w:r w:rsidR="00745A85" w:rsidRPr="004F4D93">
        <w:rPr>
          <w:rFonts w:ascii="Arial" w:hAnsi="Arial" w:cs="Arial"/>
          <w:color w:val="auto"/>
          <w:sz w:val="22"/>
          <w:szCs w:val="22"/>
        </w:rPr>
        <w:t xml:space="preserve">del INE </w:t>
      </w:r>
      <w:r w:rsidR="00F731C0" w:rsidRPr="004F4D93">
        <w:rPr>
          <w:rFonts w:ascii="Arial" w:hAnsi="Arial" w:cs="Arial"/>
          <w:color w:val="auto"/>
          <w:sz w:val="22"/>
          <w:szCs w:val="22"/>
        </w:rPr>
        <w:t>para la participación de personas observadoras electorales</w:t>
      </w:r>
    </w:p>
    <w:p w14:paraId="776994D2" w14:textId="1CEC61B7" w:rsidR="00F63E10" w:rsidRPr="004F4D93" w:rsidRDefault="00F63E10" w:rsidP="00F63E10">
      <w:pPr>
        <w:rPr>
          <w:rFonts w:ascii="Arial" w:hAnsi="Arial" w:cs="Arial"/>
          <w:sz w:val="22"/>
          <w:szCs w:val="22"/>
        </w:rPr>
      </w:pPr>
      <w:r w:rsidRPr="004F4D93">
        <w:rPr>
          <w:rFonts w:ascii="Arial" w:hAnsi="Arial" w:cs="Arial"/>
          <w:sz w:val="22"/>
          <w:szCs w:val="22"/>
        </w:rPr>
        <w:t>El 30 de enero de 2025, mediante acuerdo CE/2025/09, el Consejo Estatal expidió la Convocatoria para que la ciudadanía participe como observadora electoral con motivo del Proceso Electoral Extraordinario, de conformidad con el acuerdo INE/</w:t>
      </w:r>
      <w:proofErr w:type="spellStart"/>
      <w:r w:rsidRPr="004F4D93">
        <w:rPr>
          <w:rFonts w:ascii="Arial" w:hAnsi="Arial" w:cs="Arial"/>
          <w:sz w:val="22"/>
          <w:szCs w:val="22"/>
        </w:rPr>
        <w:t>CG2467</w:t>
      </w:r>
      <w:proofErr w:type="spellEnd"/>
      <w:r w:rsidRPr="004F4D93">
        <w:rPr>
          <w:rFonts w:ascii="Arial" w:hAnsi="Arial" w:cs="Arial"/>
          <w:sz w:val="22"/>
          <w:szCs w:val="22"/>
        </w:rPr>
        <w:t>/2024 aprobado por el Consejo General del INE.</w:t>
      </w:r>
    </w:p>
    <w:p w14:paraId="4B062FA5" w14:textId="77777777" w:rsidR="00901519" w:rsidRPr="004F4D93" w:rsidRDefault="00901519" w:rsidP="00901519">
      <w:pPr>
        <w:pStyle w:val="Ttulo2"/>
        <w:rPr>
          <w:rFonts w:ascii="Arial" w:hAnsi="Arial" w:cs="Arial"/>
          <w:color w:val="auto"/>
          <w:sz w:val="22"/>
          <w:szCs w:val="22"/>
        </w:rPr>
      </w:pPr>
      <w:r w:rsidRPr="004F4D93">
        <w:rPr>
          <w:rFonts w:ascii="Arial" w:hAnsi="Arial" w:cs="Arial"/>
          <w:color w:val="auto"/>
          <w:sz w:val="22"/>
          <w:szCs w:val="22"/>
        </w:rPr>
        <w:lastRenderedPageBreak/>
        <w:t>Jornada electoral</w:t>
      </w:r>
    </w:p>
    <w:p w14:paraId="475EBC36" w14:textId="77777777" w:rsidR="00901519" w:rsidRPr="004F4D93" w:rsidRDefault="00901519" w:rsidP="00901519">
      <w:pPr>
        <w:rPr>
          <w:rFonts w:ascii="Arial" w:hAnsi="Arial" w:cs="Arial"/>
          <w:sz w:val="22"/>
          <w:szCs w:val="22"/>
        </w:rPr>
      </w:pPr>
      <w:r w:rsidRPr="004F4D93">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18673358" w14:textId="77777777" w:rsidR="00901519" w:rsidRPr="004F4D93" w:rsidRDefault="00901519" w:rsidP="00901519">
      <w:pPr>
        <w:pStyle w:val="Ttulo1"/>
        <w:rPr>
          <w:rFonts w:ascii="Arial" w:hAnsi="Arial" w:cs="Arial"/>
          <w:color w:val="auto"/>
          <w:sz w:val="24"/>
          <w:szCs w:val="24"/>
        </w:rPr>
      </w:pPr>
      <w:r w:rsidRPr="004F4D93">
        <w:rPr>
          <w:rFonts w:ascii="Arial" w:hAnsi="Arial" w:cs="Arial"/>
          <w:color w:val="auto"/>
          <w:sz w:val="24"/>
          <w:szCs w:val="24"/>
        </w:rPr>
        <w:t>Considerando</w:t>
      </w:r>
    </w:p>
    <w:p w14:paraId="563765A8" w14:textId="77777777" w:rsidR="00FD56DF" w:rsidRPr="004F4D93" w:rsidRDefault="00FD56DF" w:rsidP="00FD56DF">
      <w:pPr>
        <w:pStyle w:val="Ttulo2"/>
        <w:rPr>
          <w:rFonts w:ascii="Arial" w:hAnsi="Arial" w:cs="Arial"/>
          <w:color w:val="auto"/>
          <w:sz w:val="22"/>
          <w:szCs w:val="22"/>
        </w:rPr>
      </w:pPr>
      <w:r w:rsidRPr="004F4D93">
        <w:rPr>
          <w:rFonts w:ascii="Arial" w:hAnsi="Arial" w:cs="Arial"/>
          <w:color w:val="auto"/>
          <w:sz w:val="22"/>
          <w:szCs w:val="22"/>
        </w:rPr>
        <w:t>Competencia del Consejo Estatal</w:t>
      </w:r>
    </w:p>
    <w:p w14:paraId="2643BA45" w14:textId="71B68D90" w:rsidR="00FD56DF" w:rsidRPr="004F4D93" w:rsidRDefault="00FD56DF" w:rsidP="00FD56DF">
      <w:pPr>
        <w:rPr>
          <w:rFonts w:ascii="Arial" w:hAnsi="Arial" w:cs="Arial"/>
          <w:sz w:val="22"/>
          <w:szCs w:val="22"/>
        </w:rPr>
      </w:pPr>
      <w:r w:rsidRPr="004F4D93">
        <w:rPr>
          <w:rFonts w:ascii="Arial" w:hAnsi="Arial" w:cs="Arial"/>
          <w:sz w:val="22"/>
          <w:szCs w:val="22"/>
        </w:rPr>
        <w:t xml:space="preserve">Que, de conformidad con los artículos 115 numeral 1, </w:t>
      </w:r>
      <w:r w:rsidR="00880360" w:rsidRPr="004F4D93">
        <w:rPr>
          <w:rFonts w:ascii="Arial" w:hAnsi="Arial" w:cs="Arial"/>
          <w:sz w:val="22"/>
          <w:szCs w:val="22"/>
        </w:rPr>
        <w:t>fracciones I y</w:t>
      </w:r>
      <w:r w:rsidRPr="004F4D93">
        <w:rPr>
          <w:rFonts w:ascii="Arial" w:hAnsi="Arial" w:cs="Arial"/>
          <w:sz w:val="22"/>
          <w:szCs w:val="22"/>
        </w:rPr>
        <w:t xml:space="preserve"> XIV y 404 segundo párrafo de la Ley Electoral </w:t>
      </w:r>
      <w:r w:rsidR="00880360" w:rsidRPr="004F4D93">
        <w:rPr>
          <w:rFonts w:ascii="Arial" w:hAnsi="Arial" w:cs="Arial"/>
          <w:sz w:val="22"/>
          <w:szCs w:val="22"/>
        </w:rPr>
        <w:t>corresponde a</w:t>
      </w:r>
      <w:r w:rsidRPr="004F4D93">
        <w:rPr>
          <w:rFonts w:ascii="Arial" w:hAnsi="Arial" w:cs="Arial"/>
          <w:sz w:val="22"/>
          <w:szCs w:val="22"/>
        </w:rPr>
        <w:t xml:space="preserve">l Consejo Estatal </w:t>
      </w:r>
      <w:r w:rsidR="00880360" w:rsidRPr="004F4D93">
        <w:rPr>
          <w:rFonts w:ascii="Arial" w:hAnsi="Arial" w:cs="Arial"/>
          <w:sz w:val="22"/>
          <w:szCs w:val="22"/>
        </w:rPr>
        <w:t xml:space="preserve">aplicar las disposiciones generales, reglas, lineamientos, criterios y formatos que, en ejercicio de las facultades que le confieren la Constitución Federal y la Ley General, establezca el INE, y </w:t>
      </w:r>
      <w:r w:rsidRPr="004F4D93">
        <w:rPr>
          <w:rFonts w:ascii="Arial" w:hAnsi="Arial" w:cs="Arial"/>
          <w:sz w:val="22"/>
          <w:szCs w:val="22"/>
        </w:rPr>
        <w:t>desarrollar las actividades que se requieran para garantizar el derecho de la ciudadanía a realizar labores de observación electoral en el Estado de Tabasco, de acuerdo con los lineamientos y criterios que emita el INE.</w:t>
      </w:r>
    </w:p>
    <w:p w14:paraId="0F4DB38C" w14:textId="77777777" w:rsidR="00FD56DF" w:rsidRPr="004F4D93" w:rsidRDefault="00FD56DF" w:rsidP="00FD56DF">
      <w:pPr>
        <w:rPr>
          <w:rFonts w:ascii="Arial" w:hAnsi="Arial" w:cs="Arial"/>
          <w:sz w:val="22"/>
          <w:szCs w:val="22"/>
        </w:rPr>
      </w:pPr>
      <w:r w:rsidRPr="004F4D93">
        <w:rPr>
          <w:rFonts w:ascii="Arial" w:hAnsi="Arial" w:cs="Arial"/>
          <w:sz w:val="22"/>
          <w:szCs w:val="22"/>
        </w:rPr>
        <w:t xml:space="preserve">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 </w:t>
      </w:r>
    </w:p>
    <w:p w14:paraId="2D78F312" w14:textId="5512EB63" w:rsidR="00B00F7B" w:rsidRPr="004F4D93" w:rsidRDefault="00B00F7B" w:rsidP="00B00F7B">
      <w:pPr>
        <w:pStyle w:val="Ttulo2"/>
        <w:rPr>
          <w:rFonts w:ascii="Arial" w:hAnsi="Arial" w:cs="Arial"/>
          <w:color w:val="auto"/>
          <w:sz w:val="22"/>
          <w:szCs w:val="22"/>
        </w:rPr>
      </w:pPr>
      <w:r w:rsidRPr="004F4D93">
        <w:rPr>
          <w:rFonts w:ascii="Arial" w:hAnsi="Arial" w:cs="Arial"/>
          <w:color w:val="auto"/>
          <w:sz w:val="22"/>
          <w:szCs w:val="22"/>
        </w:rPr>
        <w:t>Atribuciones del Órgano Técnico de Fiscalización</w:t>
      </w:r>
    </w:p>
    <w:p w14:paraId="22A20460" w14:textId="2434260C" w:rsidR="00B00F7B" w:rsidRPr="004F4D93" w:rsidRDefault="00B00F7B" w:rsidP="00B00F7B">
      <w:pPr>
        <w:rPr>
          <w:rFonts w:ascii="Arial" w:hAnsi="Arial" w:cs="Arial"/>
          <w:sz w:val="22"/>
          <w:szCs w:val="22"/>
        </w:rPr>
      </w:pPr>
      <w:r w:rsidRPr="004F4D93">
        <w:rPr>
          <w:rFonts w:ascii="Arial" w:hAnsi="Arial" w:cs="Arial"/>
          <w:sz w:val="22"/>
          <w:szCs w:val="22"/>
        </w:rPr>
        <w:t xml:space="preserve">Que, de conformidad con el artículo 78 numerales 1 y 3 de la Ley Electoral, sin demérito de las facultades exclusivas del INE para la fiscalización de los partidos políticos y candidaturas, el Instituto contará con el Órgano Técnico de Fiscalización del Consejo Estatal, que tendrá a su cargo, entre otras, la responsabilidad de aplicar las reglas, criterios y normas que regulen su actuación, las cuales se apegarán a los estándares y principios que establecen las leyes generales para las actividades relativas a la fiscalización de </w:t>
      </w:r>
      <w:r w:rsidRPr="004F4D93">
        <w:rPr>
          <w:rFonts w:ascii="Arial" w:hAnsi="Arial" w:cs="Arial"/>
          <w:sz w:val="22"/>
          <w:szCs w:val="22"/>
        </w:rPr>
        <w:lastRenderedPageBreak/>
        <w:t>partidos políticos y candidaturas, así como a las reglas y lineamientos que, en la materia, emita el INE.</w:t>
      </w:r>
    </w:p>
    <w:p w14:paraId="78A5FB66" w14:textId="77777777" w:rsidR="00901519" w:rsidRPr="004F4D93" w:rsidRDefault="00901519" w:rsidP="00901519">
      <w:pPr>
        <w:pStyle w:val="Ttulo2"/>
        <w:rPr>
          <w:rFonts w:ascii="Arial" w:hAnsi="Arial" w:cs="Arial"/>
          <w:color w:val="auto"/>
          <w:sz w:val="22"/>
          <w:szCs w:val="22"/>
        </w:rPr>
      </w:pPr>
      <w:r w:rsidRPr="004F4D93">
        <w:rPr>
          <w:rFonts w:ascii="Arial" w:hAnsi="Arial" w:cs="Arial"/>
          <w:color w:val="auto"/>
          <w:sz w:val="22"/>
          <w:szCs w:val="22"/>
        </w:rPr>
        <w:t>Proceso electoral de las personas juzgadoras</w:t>
      </w:r>
    </w:p>
    <w:p w14:paraId="12AA7DF4" w14:textId="77777777" w:rsidR="00901519" w:rsidRPr="004F4D93" w:rsidRDefault="00901519" w:rsidP="00901519">
      <w:pPr>
        <w:rPr>
          <w:rFonts w:ascii="Arial" w:hAnsi="Arial" w:cs="Arial"/>
          <w:sz w:val="22"/>
          <w:szCs w:val="22"/>
        </w:rPr>
      </w:pPr>
      <w:r w:rsidRPr="004F4D93">
        <w:rPr>
          <w:rFonts w:ascii="Arial" w:hAnsi="Arial" w:cs="Arial"/>
          <w:sz w:val="22"/>
          <w:szCs w:val="22"/>
        </w:rPr>
        <w:t>Que, el artículo 386 numeral 1 de la Ley Electoral dispone que, el proceso electoral de las personas juzgadoras del Poder Judicial es el conjunto de actos ordenados por la Constitución Local y la Ley Electoral, realizado por las autoridades electorales, el Congreso del Estado, así como la ciudadanía, que tiene por objeto la renovación periódica de las personas juzgadoras que integran el Poder Judicial.</w:t>
      </w:r>
    </w:p>
    <w:p w14:paraId="31AEC3E5" w14:textId="77777777" w:rsidR="00901519" w:rsidRPr="004F4D93" w:rsidRDefault="00901519" w:rsidP="00901519">
      <w:pPr>
        <w:pStyle w:val="Ttulo2"/>
        <w:rPr>
          <w:rFonts w:ascii="Arial" w:hAnsi="Arial" w:cs="Arial"/>
          <w:color w:val="auto"/>
          <w:sz w:val="22"/>
          <w:szCs w:val="22"/>
        </w:rPr>
      </w:pPr>
      <w:r w:rsidRPr="004F4D93">
        <w:rPr>
          <w:rFonts w:ascii="Arial" w:hAnsi="Arial" w:cs="Arial"/>
          <w:color w:val="auto"/>
          <w:sz w:val="22"/>
          <w:szCs w:val="22"/>
        </w:rPr>
        <w:t>Etapas del proceso electoral de las personas juzgadoras</w:t>
      </w:r>
    </w:p>
    <w:p w14:paraId="189E0242" w14:textId="77777777" w:rsidR="00901519" w:rsidRPr="004F4D93" w:rsidRDefault="00901519" w:rsidP="00901519">
      <w:pPr>
        <w:rPr>
          <w:rFonts w:ascii="Arial" w:hAnsi="Arial" w:cs="Arial"/>
          <w:sz w:val="22"/>
          <w:szCs w:val="22"/>
        </w:rPr>
      </w:pPr>
      <w:r w:rsidRPr="004F4D93">
        <w:rPr>
          <w:rFonts w:ascii="Arial" w:hAnsi="Arial" w:cs="Arial"/>
          <w:sz w:val="22"/>
          <w:szCs w:val="22"/>
        </w:rPr>
        <w:t>Que, el artículo 387 numeral 1 de la Ley Electoral establece que, el proceso de elección de las personas juzgadoras del Poder Judicial comprende las siguientes etapas:</w:t>
      </w:r>
    </w:p>
    <w:p w14:paraId="00C95E32" w14:textId="77777777" w:rsidR="00901519" w:rsidRPr="004F4D93" w:rsidRDefault="00901519" w:rsidP="00901519">
      <w:pPr>
        <w:pStyle w:val="Prrafodelista"/>
        <w:numPr>
          <w:ilvl w:val="0"/>
          <w:numId w:val="1"/>
        </w:numPr>
        <w:rPr>
          <w:rFonts w:ascii="Arial" w:hAnsi="Arial" w:cs="Arial"/>
          <w:sz w:val="22"/>
          <w:szCs w:val="22"/>
        </w:rPr>
      </w:pPr>
      <w:r w:rsidRPr="004F4D93">
        <w:rPr>
          <w:rFonts w:ascii="Arial" w:hAnsi="Arial" w:cs="Arial"/>
          <w:sz w:val="22"/>
          <w:szCs w:val="22"/>
        </w:rPr>
        <w:t>Preparación de la elección;</w:t>
      </w:r>
    </w:p>
    <w:p w14:paraId="482F4AD4" w14:textId="77777777" w:rsidR="00901519" w:rsidRPr="004F4D93" w:rsidRDefault="00901519" w:rsidP="00901519">
      <w:pPr>
        <w:pStyle w:val="Prrafodelista"/>
        <w:numPr>
          <w:ilvl w:val="0"/>
          <w:numId w:val="1"/>
        </w:numPr>
        <w:rPr>
          <w:rFonts w:ascii="Arial" w:hAnsi="Arial" w:cs="Arial"/>
          <w:sz w:val="22"/>
          <w:szCs w:val="22"/>
        </w:rPr>
      </w:pPr>
      <w:r w:rsidRPr="004F4D93">
        <w:rPr>
          <w:rFonts w:ascii="Arial" w:hAnsi="Arial" w:cs="Arial"/>
          <w:sz w:val="22"/>
          <w:szCs w:val="22"/>
        </w:rPr>
        <w:t>Convocatoria y postulación de candidaturas;</w:t>
      </w:r>
    </w:p>
    <w:p w14:paraId="5956765D" w14:textId="77777777" w:rsidR="00901519" w:rsidRPr="004F4D93" w:rsidRDefault="00901519" w:rsidP="00901519">
      <w:pPr>
        <w:pStyle w:val="Prrafodelista"/>
        <w:numPr>
          <w:ilvl w:val="0"/>
          <w:numId w:val="1"/>
        </w:numPr>
        <w:rPr>
          <w:rFonts w:ascii="Arial" w:hAnsi="Arial" w:cs="Arial"/>
          <w:sz w:val="22"/>
          <w:szCs w:val="22"/>
        </w:rPr>
      </w:pPr>
      <w:r w:rsidRPr="004F4D93">
        <w:rPr>
          <w:rFonts w:ascii="Arial" w:hAnsi="Arial" w:cs="Arial"/>
          <w:sz w:val="22"/>
          <w:szCs w:val="22"/>
        </w:rPr>
        <w:t>Jornada electoral;</w:t>
      </w:r>
    </w:p>
    <w:p w14:paraId="6507C0CC" w14:textId="77777777" w:rsidR="00901519" w:rsidRPr="004F4D93" w:rsidRDefault="00901519" w:rsidP="00901519">
      <w:pPr>
        <w:pStyle w:val="Prrafodelista"/>
        <w:numPr>
          <w:ilvl w:val="0"/>
          <w:numId w:val="1"/>
        </w:numPr>
        <w:rPr>
          <w:rFonts w:ascii="Arial" w:hAnsi="Arial" w:cs="Arial"/>
          <w:sz w:val="22"/>
          <w:szCs w:val="22"/>
        </w:rPr>
      </w:pPr>
      <w:r w:rsidRPr="004F4D93">
        <w:rPr>
          <w:rFonts w:ascii="Arial" w:hAnsi="Arial" w:cs="Arial"/>
          <w:sz w:val="22"/>
          <w:szCs w:val="22"/>
        </w:rPr>
        <w:t>Cómputos y sumatoria;</w:t>
      </w:r>
    </w:p>
    <w:p w14:paraId="757C4B57" w14:textId="77777777" w:rsidR="00901519" w:rsidRPr="004F4D93" w:rsidRDefault="00901519" w:rsidP="00901519">
      <w:pPr>
        <w:pStyle w:val="Prrafodelista"/>
        <w:numPr>
          <w:ilvl w:val="0"/>
          <w:numId w:val="1"/>
        </w:numPr>
        <w:rPr>
          <w:rFonts w:ascii="Arial" w:hAnsi="Arial" w:cs="Arial"/>
          <w:sz w:val="22"/>
          <w:szCs w:val="22"/>
        </w:rPr>
      </w:pPr>
      <w:r w:rsidRPr="004F4D93">
        <w:rPr>
          <w:rFonts w:ascii="Arial" w:hAnsi="Arial" w:cs="Arial"/>
          <w:sz w:val="22"/>
          <w:szCs w:val="22"/>
        </w:rPr>
        <w:t>Asignación de cargos, y</w:t>
      </w:r>
    </w:p>
    <w:p w14:paraId="3C6344C3" w14:textId="77777777" w:rsidR="00901519" w:rsidRPr="004F4D93" w:rsidRDefault="00901519" w:rsidP="00901519">
      <w:pPr>
        <w:pStyle w:val="Prrafodelista"/>
        <w:numPr>
          <w:ilvl w:val="0"/>
          <w:numId w:val="1"/>
        </w:numPr>
        <w:rPr>
          <w:rFonts w:ascii="Arial" w:hAnsi="Arial" w:cs="Arial"/>
          <w:sz w:val="22"/>
          <w:szCs w:val="22"/>
        </w:rPr>
      </w:pPr>
      <w:r w:rsidRPr="004F4D93">
        <w:rPr>
          <w:rFonts w:ascii="Arial" w:hAnsi="Arial" w:cs="Arial"/>
          <w:sz w:val="22"/>
          <w:szCs w:val="22"/>
        </w:rPr>
        <w:t>La entrega de constancias de mayoría y declaración de validez de la elección.</w:t>
      </w:r>
    </w:p>
    <w:p w14:paraId="4751C5EE" w14:textId="77777777" w:rsidR="00901519" w:rsidRPr="004F4D93" w:rsidRDefault="00901519" w:rsidP="00901519">
      <w:pPr>
        <w:rPr>
          <w:rFonts w:ascii="Arial" w:hAnsi="Arial" w:cs="Arial"/>
          <w:sz w:val="22"/>
          <w:szCs w:val="22"/>
        </w:rPr>
      </w:pPr>
      <w:r w:rsidRPr="004F4D93">
        <w:rPr>
          <w:rFonts w:ascii="Arial" w:hAnsi="Arial" w:cs="Arial"/>
          <w:sz w:val="22"/>
          <w:szCs w:val="22"/>
        </w:rPr>
        <w:t>En términos del numeral 2 del artículo en cita, la etapa de preparación de la elección inicia con la primera sesión que el Instituto celebre en los primeros siete días del mes de septiembre del año anterior a la elección, y concluye al iniciarse la jornada electoral.</w:t>
      </w:r>
    </w:p>
    <w:p w14:paraId="2723142E" w14:textId="77777777" w:rsidR="00901519" w:rsidRPr="004F4D93" w:rsidRDefault="00901519" w:rsidP="00901519">
      <w:pPr>
        <w:rPr>
          <w:rFonts w:ascii="Arial" w:hAnsi="Arial" w:cs="Arial"/>
          <w:sz w:val="22"/>
          <w:szCs w:val="22"/>
        </w:rPr>
      </w:pPr>
      <w:r w:rsidRPr="004F4D93">
        <w:rPr>
          <w:rFonts w:ascii="Arial" w:hAnsi="Arial" w:cs="Arial"/>
          <w:sz w:val="22"/>
          <w:szCs w:val="22"/>
        </w:rPr>
        <w:t>Por su parte, el numeral 3 del artículo 387 de la Ley Electoral refiere que, la etapa de convocatoria y postulación de candidaturas inicia con la publicación de la convocatoria que emita el Congreso Local conforme a la fracción I del primer párrafo del artículo 56 de la Constitución Local, y concluye con la remisión por dicho órgano legislativo del listado de candidaturas al Instituto.</w:t>
      </w:r>
    </w:p>
    <w:p w14:paraId="07C9DE97" w14:textId="77777777" w:rsidR="00901519" w:rsidRPr="004F4D93" w:rsidRDefault="00901519" w:rsidP="00901519">
      <w:pPr>
        <w:rPr>
          <w:rFonts w:ascii="Arial" w:hAnsi="Arial" w:cs="Arial"/>
          <w:sz w:val="22"/>
          <w:szCs w:val="22"/>
        </w:rPr>
      </w:pPr>
      <w:r w:rsidRPr="004F4D93">
        <w:rPr>
          <w:rFonts w:ascii="Arial" w:hAnsi="Arial" w:cs="Arial"/>
          <w:sz w:val="22"/>
          <w:szCs w:val="22"/>
        </w:rPr>
        <w:t>En el caso de la jornada electoral, ésta inicia a las 8:00 horas del primer domingo de junio del año que corresponda y concluye con el cómputo de los votos en casilla, de conformidad con el numeral 4 del artículo 387 de la Ley Electoral.</w:t>
      </w:r>
    </w:p>
    <w:p w14:paraId="666CEAF8" w14:textId="77777777" w:rsidR="00901519" w:rsidRPr="004F4D93" w:rsidRDefault="00901519" w:rsidP="00901519">
      <w:pPr>
        <w:rPr>
          <w:rFonts w:ascii="Arial" w:hAnsi="Arial" w:cs="Arial"/>
          <w:sz w:val="22"/>
          <w:szCs w:val="22"/>
        </w:rPr>
      </w:pPr>
      <w:r w:rsidRPr="004F4D93">
        <w:rPr>
          <w:rFonts w:ascii="Arial" w:hAnsi="Arial" w:cs="Arial"/>
          <w:sz w:val="22"/>
          <w:szCs w:val="22"/>
        </w:rPr>
        <w:lastRenderedPageBreak/>
        <w:t>De acuerdo con el numeral 5 del artículo referido, la etapa de cómputos y sumatoria inicia con la remisión de la documentación y los expedientes electorales a los Consejos Distritales y concluye con la sumatoria de los cómputos de la elección que realice el Consejo Estatal.</w:t>
      </w:r>
    </w:p>
    <w:p w14:paraId="7B7F1B0F" w14:textId="77777777" w:rsidR="00901519" w:rsidRPr="004F4D93" w:rsidRDefault="00901519" w:rsidP="00901519">
      <w:pPr>
        <w:rPr>
          <w:rFonts w:ascii="Arial" w:hAnsi="Arial" w:cs="Arial"/>
          <w:sz w:val="22"/>
          <w:szCs w:val="22"/>
        </w:rPr>
      </w:pPr>
      <w:r w:rsidRPr="004F4D93">
        <w:rPr>
          <w:rFonts w:ascii="Arial" w:hAnsi="Arial" w:cs="Arial"/>
          <w:sz w:val="22"/>
          <w:szCs w:val="22"/>
        </w:rPr>
        <w:t>Respecto a la etapa de asignación de cargos, conforme al numeral 6 del artículo 387 de la Ley Electoral inicia con la identificación por el Instituto de las candidaturas que hayan obtenido el mayor número de votos y la asignación de estas en cada cargo, en función de su especialización por materia y alternando entre mujeres y hombres. Concluye con la entrega por el Instituto de las constancias de mayoría a las candidaturas que resulten ganadoras y la emisión de la declaración de validez respectiva.</w:t>
      </w:r>
    </w:p>
    <w:p w14:paraId="563E0F06" w14:textId="77777777" w:rsidR="00901519" w:rsidRPr="004F4D93" w:rsidRDefault="00901519" w:rsidP="00901519">
      <w:pPr>
        <w:rPr>
          <w:rFonts w:ascii="Arial" w:hAnsi="Arial" w:cs="Arial"/>
          <w:sz w:val="22"/>
          <w:szCs w:val="22"/>
        </w:rPr>
      </w:pPr>
      <w:r w:rsidRPr="004F4D93">
        <w:rPr>
          <w:rFonts w:ascii="Arial" w:hAnsi="Arial" w:cs="Arial"/>
          <w:sz w:val="22"/>
          <w:szCs w:val="22"/>
        </w:rPr>
        <w:t>Finalmente, en términos del numeral 7 del artículo citado, la etapa de calificación y declaración de validez inicia al resolverse el último de los medios de impugnación que se hubiesen interpuesto en contra de las elecciones respectivas o cuando se tenga constancia de que no se presentó ninguno, y concluye al aprobar el Tribunal Electoral el dictamen que contenga el cómputo final de la elección.</w:t>
      </w:r>
    </w:p>
    <w:p w14:paraId="16753567" w14:textId="77777777" w:rsidR="00FD56DF" w:rsidRPr="004F4D93" w:rsidRDefault="00FD56DF" w:rsidP="00FD56DF">
      <w:pPr>
        <w:pStyle w:val="Ttulo2"/>
        <w:rPr>
          <w:rFonts w:ascii="Arial" w:hAnsi="Arial" w:cs="Arial"/>
          <w:color w:val="auto"/>
          <w:sz w:val="22"/>
          <w:szCs w:val="22"/>
        </w:rPr>
      </w:pPr>
      <w:r w:rsidRPr="004F4D93">
        <w:rPr>
          <w:rFonts w:ascii="Arial" w:hAnsi="Arial" w:cs="Arial"/>
          <w:color w:val="auto"/>
          <w:sz w:val="22"/>
          <w:szCs w:val="22"/>
        </w:rPr>
        <w:t>Regulación de la observación electoral</w:t>
      </w:r>
    </w:p>
    <w:p w14:paraId="298E6F22" w14:textId="77777777" w:rsidR="00FD56DF" w:rsidRPr="004F4D93" w:rsidRDefault="00FD56DF" w:rsidP="00FD56DF">
      <w:pPr>
        <w:rPr>
          <w:rFonts w:ascii="Arial" w:hAnsi="Arial" w:cs="Arial"/>
          <w:sz w:val="22"/>
          <w:szCs w:val="22"/>
        </w:rPr>
      </w:pPr>
      <w:r w:rsidRPr="004F4D93">
        <w:rPr>
          <w:rFonts w:ascii="Arial" w:hAnsi="Arial" w:cs="Arial"/>
          <w:sz w:val="22"/>
          <w:szCs w:val="22"/>
        </w:rPr>
        <w:t>Que, el artículo 32 numeral 1, inciso a), fracción V) de la Ley General dispone que, corresponde al INE para los procesos electorales federales y locales, emitir las reglas, lineamientos, criterios y formatos en materia de resultados preliminares; encuestas o sondeos de opinión; observación electoral; conteos rápidos; impresión de documentos y producción de materiales electorales, entre otras atribuciones.</w:t>
      </w:r>
    </w:p>
    <w:p w14:paraId="584A4677" w14:textId="77777777" w:rsidR="00FD56DF" w:rsidRPr="004F4D93" w:rsidRDefault="00FD56DF" w:rsidP="00FD56DF">
      <w:pPr>
        <w:pStyle w:val="Ttulo2"/>
        <w:rPr>
          <w:rFonts w:ascii="Arial" w:hAnsi="Arial" w:cs="Arial"/>
          <w:color w:val="auto"/>
          <w:sz w:val="22"/>
          <w:szCs w:val="22"/>
        </w:rPr>
      </w:pPr>
      <w:r w:rsidRPr="004F4D93">
        <w:rPr>
          <w:rFonts w:ascii="Arial" w:hAnsi="Arial" w:cs="Arial"/>
          <w:color w:val="auto"/>
          <w:sz w:val="22"/>
          <w:szCs w:val="22"/>
        </w:rPr>
        <w:t>Bases para la observación electoral</w:t>
      </w:r>
    </w:p>
    <w:p w14:paraId="347E1846" w14:textId="77777777" w:rsidR="00FD56DF" w:rsidRPr="004F4D93" w:rsidRDefault="00FD56DF" w:rsidP="00FD56DF">
      <w:pPr>
        <w:rPr>
          <w:rFonts w:ascii="Arial" w:hAnsi="Arial" w:cs="Arial"/>
          <w:sz w:val="22"/>
          <w:szCs w:val="22"/>
        </w:rPr>
      </w:pPr>
      <w:r w:rsidRPr="004F4D93">
        <w:rPr>
          <w:rFonts w:ascii="Arial" w:hAnsi="Arial" w:cs="Arial"/>
          <w:sz w:val="22"/>
          <w:szCs w:val="22"/>
        </w:rPr>
        <w:t>Que, de acuerdo con el artículo 217 numeral 1 de la Ley General, las y los ciudadanos que deseen ejercitar su derecho como observadores electorales deberán sujetarse a las bases siguientes:</w:t>
      </w:r>
    </w:p>
    <w:p w14:paraId="6476157C" w14:textId="77777777" w:rsidR="00FD56DF" w:rsidRPr="004F4D93" w:rsidRDefault="00FD56DF" w:rsidP="00FD56DF">
      <w:pPr>
        <w:pStyle w:val="Prrafodelista"/>
        <w:widowControl/>
        <w:numPr>
          <w:ilvl w:val="0"/>
          <w:numId w:val="3"/>
        </w:numPr>
        <w:ind w:left="510" w:hanging="510"/>
        <w:contextualSpacing w:val="0"/>
        <w:rPr>
          <w:rFonts w:ascii="Arial" w:hAnsi="Arial" w:cs="Arial"/>
          <w:sz w:val="22"/>
          <w:szCs w:val="22"/>
        </w:rPr>
      </w:pPr>
      <w:r w:rsidRPr="004F4D93">
        <w:rPr>
          <w:rFonts w:ascii="Arial" w:hAnsi="Arial" w:cs="Arial"/>
          <w:sz w:val="22"/>
          <w:szCs w:val="22"/>
        </w:rPr>
        <w:t>Podrán participar sólo cuando hayan obtenido oportunamente su acreditación ante la autoridad electoral;</w:t>
      </w:r>
    </w:p>
    <w:p w14:paraId="21233102" w14:textId="77777777" w:rsidR="00FD56DF" w:rsidRPr="004F4D93" w:rsidRDefault="00FD56DF" w:rsidP="00FD56DF">
      <w:pPr>
        <w:pStyle w:val="Prrafodelista"/>
        <w:widowControl/>
        <w:numPr>
          <w:ilvl w:val="0"/>
          <w:numId w:val="3"/>
        </w:numPr>
        <w:ind w:left="510" w:hanging="510"/>
        <w:contextualSpacing w:val="0"/>
        <w:rPr>
          <w:rFonts w:ascii="Arial" w:hAnsi="Arial" w:cs="Arial"/>
          <w:sz w:val="22"/>
          <w:szCs w:val="22"/>
        </w:rPr>
      </w:pPr>
      <w:r w:rsidRPr="004F4D93">
        <w:rPr>
          <w:rFonts w:ascii="Arial" w:hAnsi="Arial" w:cs="Arial"/>
          <w:sz w:val="22"/>
          <w:szCs w:val="22"/>
        </w:rPr>
        <w:t xml:space="preserve">Las y los ciudadanos que pretendan actuar como observadores deberán señalar en el escrito de solicitud los datos de identificación personal anexando fotocopia de su credencial para votar, y la manifestación expresa de que se conducirán conforme a los </w:t>
      </w:r>
      <w:r w:rsidRPr="004F4D93">
        <w:rPr>
          <w:rFonts w:ascii="Arial" w:hAnsi="Arial" w:cs="Arial"/>
          <w:sz w:val="22"/>
          <w:szCs w:val="22"/>
        </w:rPr>
        <w:lastRenderedPageBreak/>
        <w:t>principios de imparcialidad, objetividad, certeza y legalidad y sin vínculos a partido u organización política alguna;</w:t>
      </w:r>
    </w:p>
    <w:p w14:paraId="5E1BCFF9" w14:textId="4129E428" w:rsidR="00FD56DF" w:rsidRPr="004F4D93" w:rsidRDefault="00FD56DF" w:rsidP="00FD56DF">
      <w:pPr>
        <w:pStyle w:val="Prrafodelista"/>
        <w:widowControl/>
        <w:numPr>
          <w:ilvl w:val="0"/>
          <w:numId w:val="3"/>
        </w:numPr>
        <w:ind w:left="510" w:hanging="510"/>
        <w:contextualSpacing w:val="0"/>
        <w:rPr>
          <w:rFonts w:ascii="Arial" w:hAnsi="Arial" w:cs="Arial"/>
          <w:sz w:val="22"/>
          <w:szCs w:val="22"/>
        </w:rPr>
      </w:pPr>
      <w:r w:rsidRPr="004F4D93">
        <w:rPr>
          <w:rFonts w:ascii="Arial" w:hAnsi="Arial" w:cs="Arial"/>
          <w:sz w:val="22"/>
          <w:szCs w:val="22"/>
        </w:rPr>
        <w:t>La solicitud de registro para participar como observadores electorales podrá presentarse en forma personal o a través de la organización a la que pertenezcan, ante el presidente del consejo local o distrital correspondiente a su domicilio, a partir del inicio del proceso electoral y hasta el 30 de abril del año de la elección. Las y los presidentes de los consejos locales y distritales, según el caso, darán cuenta de las solicitudes a los propios consejos, para su aprobación, en la siguiente sesión que celebren. La resolución que se emita deberá ser notificada a los solicitantes. El Consejo General y los organismos electorales garantizarán este derecho y resolverán cualquier planteamiento que pudiera presentarse por parte de las y los ciudadanos o las organizaciones interesadas;</w:t>
      </w:r>
    </w:p>
    <w:p w14:paraId="6C0670C6" w14:textId="77777777" w:rsidR="00FD56DF" w:rsidRPr="004F4D93" w:rsidRDefault="00FD56DF" w:rsidP="00FD56DF">
      <w:pPr>
        <w:pStyle w:val="Prrafodelista"/>
        <w:widowControl/>
        <w:numPr>
          <w:ilvl w:val="0"/>
          <w:numId w:val="3"/>
        </w:numPr>
        <w:ind w:left="510" w:hanging="510"/>
        <w:contextualSpacing w:val="0"/>
        <w:rPr>
          <w:rFonts w:ascii="Arial" w:hAnsi="Arial" w:cs="Arial"/>
          <w:sz w:val="22"/>
          <w:szCs w:val="22"/>
        </w:rPr>
      </w:pPr>
      <w:r w:rsidRPr="004F4D93">
        <w:rPr>
          <w:rFonts w:ascii="Arial" w:hAnsi="Arial" w:cs="Arial"/>
          <w:sz w:val="22"/>
          <w:szCs w:val="22"/>
        </w:rPr>
        <w:t>Sólo se otorgará la acreditación a quien cumpla, además de los que señale la autoridad electoral, los siguientes requisitos:</w:t>
      </w:r>
    </w:p>
    <w:p w14:paraId="4E215CA8" w14:textId="77777777" w:rsidR="00FD56DF" w:rsidRPr="004F4D93" w:rsidRDefault="00FD56DF" w:rsidP="00FD56DF">
      <w:pPr>
        <w:pStyle w:val="Prrafodelista"/>
        <w:widowControl/>
        <w:numPr>
          <w:ilvl w:val="1"/>
          <w:numId w:val="3"/>
        </w:numPr>
        <w:contextualSpacing w:val="0"/>
        <w:rPr>
          <w:rFonts w:ascii="Arial" w:hAnsi="Arial" w:cs="Arial"/>
          <w:sz w:val="22"/>
          <w:szCs w:val="22"/>
        </w:rPr>
      </w:pPr>
      <w:r w:rsidRPr="004F4D93">
        <w:rPr>
          <w:rFonts w:ascii="Arial" w:hAnsi="Arial" w:cs="Arial"/>
          <w:sz w:val="22"/>
          <w:szCs w:val="22"/>
        </w:rPr>
        <w:t>Ser ciudadana o ciudadano mexicano en pleno goce de sus derechos civiles y políticos;</w:t>
      </w:r>
    </w:p>
    <w:p w14:paraId="70EC7544" w14:textId="77777777" w:rsidR="00FD56DF" w:rsidRPr="004F4D93" w:rsidRDefault="00FD56DF" w:rsidP="00FD56DF">
      <w:pPr>
        <w:pStyle w:val="Prrafodelista"/>
        <w:widowControl/>
        <w:numPr>
          <w:ilvl w:val="1"/>
          <w:numId w:val="3"/>
        </w:numPr>
        <w:contextualSpacing w:val="0"/>
        <w:rPr>
          <w:rFonts w:ascii="Arial" w:hAnsi="Arial" w:cs="Arial"/>
          <w:sz w:val="22"/>
          <w:szCs w:val="22"/>
        </w:rPr>
      </w:pPr>
      <w:r w:rsidRPr="004F4D93">
        <w:rPr>
          <w:rFonts w:ascii="Arial" w:hAnsi="Arial" w:cs="Arial"/>
          <w:sz w:val="22"/>
          <w:szCs w:val="22"/>
        </w:rPr>
        <w:t>No ser, ni haber sido miembro de dirigencias nacionales, estatales o municipales de organización o de partido político alguno en los tres años anteriores a la elección;</w:t>
      </w:r>
    </w:p>
    <w:p w14:paraId="3A5BA28C" w14:textId="77777777" w:rsidR="00FD56DF" w:rsidRPr="004F4D93" w:rsidRDefault="00FD56DF" w:rsidP="00FD56DF">
      <w:pPr>
        <w:pStyle w:val="Prrafodelista"/>
        <w:widowControl/>
        <w:numPr>
          <w:ilvl w:val="1"/>
          <w:numId w:val="3"/>
        </w:numPr>
        <w:contextualSpacing w:val="0"/>
        <w:rPr>
          <w:rFonts w:ascii="Arial" w:hAnsi="Arial" w:cs="Arial"/>
          <w:sz w:val="22"/>
          <w:szCs w:val="22"/>
        </w:rPr>
      </w:pPr>
      <w:r w:rsidRPr="004F4D93">
        <w:rPr>
          <w:rFonts w:ascii="Arial" w:hAnsi="Arial" w:cs="Arial"/>
          <w:sz w:val="22"/>
          <w:szCs w:val="22"/>
        </w:rPr>
        <w:t>No ser, ni haber sido candidata o candidato a puesto de elección popular en los tres años anteriores a la elección, y</w:t>
      </w:r>
    </w:p>
    <w:p w14:paraId="68779D9D" w14:textId="5F897B78" w:rsidR="00FD56DF" w:rsidRDefault="00FD56DF" w:rsidP="00FD56DF">
      <w:pPr>
        <w:pStyle w:val="Prrafodelista"/>
        <w:widowControl/>
        <w:numPr>
          <w:ilvl w:val="1"/>
          <w:numId w:val="3"/>
        </w:numPr>
        <w:contextualSpacing w:val="0"/>
        <w:rPr>
          <w:rFonts w:ascii="Arial" w:hAnsi="Arial" w:cs="Arial"/>
          <w:sz w:val="22"/>
          <w:szCs w:val="22"/>
        </w:rPr>
      </w:pPr>
      <w:r w:rsidRPr="004F4D93">
        <w:rPr>
          <w:rFonts w:ascii="Arial" w:hAnsi="Arial" w:cs="Arial"/>
          <w:sz w:val="22"/>
          <w:szCs w:val="22"/>
        </w:rPr>
        <w:t>Asistir a los cursos de capacitación, preparación o información que imparta el INE y los organismos electorales o las propias organizaciones a las que pertenezcan los observadores electorales bajo los lineamientos y contenidos que dicten las autoridades competentes del INE, las que podrán supervisar dichos cursos. La falta de supervisión no imputable a la organización respectiva no será causa para que se niegue la acreditación.</w:t>
      </w:r>
    </w:p>
    <w:p w14:paraId="385282EF" w14:textId="48DF9B8F" w:rsidR="004F4D93" w:rsidRDefault="004F4D93" w:rsidP="004F4D93">
      <w:pPr>
        <w:pStyle w:val="Prrafodelista"/>
        <w:widowControl/>
        <w:ind w:left="1065"/>
        <w:contextualSpacing w:val="0"/>
        <w:rPr>
          <w:rFonts w:ascii="Arial" w:hAnsi="Arial" w:cs="Arial"/>
          <w:sz w:val="22"/>
          <w:szCs w:val="22"/>
        </w:rPr>
      </w:pPr>
    </w:p>
    <w:p w14:paraId="455F8A6D" w14:textId="77777777" w:rsidR="004F4D93" w:rsidRPr="004F4D93" w:rsidRDefault="004F4D93" w:rsidP="004F4D93">
      <w:pPr>
        <w:pStyle w:val="Prrafodelista"/>
        <w:widowControl/>
        <w:ind w:left="1065"/>
        <w:contextualSpacing w:val="0"/>
        <w:rPr>
          <w:rFonts w:ascii="Arial" w:hAnsi="Arial" w:cs="Arial"/>
          <w:sz w:val="22"/>
          <w:szCs w:val="22"/>
        </w:rPr>
      </w:pPr>
      <w:bookmarkStart w:id="1" w:name="_GoBack"/>
      <w:bookmarkEnd w:id="1"/>
    </w:p>
    <w:p w14:paraId="4FE6782F" w14:textId="77777777" w:rsidR="00FD56DF" w:rsidRPr="004F4D93" w:rsidRDefault="00FD56DF" w:rsidP="00FD56DF">
      <w:pPr>
        <w:pStyle w:val="Ttulo2"/>
        <w:rPr>
          <w:rFonts w:ascii="Arial" w:hAnsi="Arial" w:cs="Arial"/>
          <w:color w:val="auto"/>
          <w:sz w:val="22"/>
          <w:szCs w:val="22"/>
        </w:rPr>
      </w:pPr>
      <w:r w:rsidRPr="004F4D93">
        <w:rPr>
          <w:rFonts w:ascii="Arial" w:hAnsi="Arial" w:cs="Arial"/>
          <w:color w:val="auto"/>
          <w:sz w:val="22"/>
          <w:szCs w:val="22"/>
        </w:rPr>
        <w:lastRenderedPageBreak/>
        <w:t>Restricciones a la observación electoral</w:t>
      </w:r>
    </w:p>
    <w:p w14:paraId="579D8F58" w14:textId="77777777" w:rsidR="00FD56DF" w:rsidRPr="004F4D93" w:rsidRDefault="00FD56DF" w:rsidP="00FD56DF">
      <w:pPr>
        <w:rPr>
          <w:rFonts w:ascii="Arial" w:hAnsi="Arial" w:cs="Arial"/>
          <w:sz w:val="22"/>
          <w:szCs w:val="22"/>
        </w:rPr>
      </w:pPr>
      <w:r w:rsidRPr="004F4D93">
        <w:rPr>
          <w:rFonts w:ascii="Arial" w:hAnsi="Arial" w:cs="Arial"/>
          <w:sz w:val="22"/>
          <w:szCs w:val="22"/>
        </w:rPr>
        <w:t>Que, de conformidad con lo establecido en el artículo 217, numeral 1, inciso e) de la Ley General, las y los observadores electorales deberán abstenerse de:</w:t>
      </w:r>
    </w:p>
    <w:p w14:paraId="52910EDD" w14:textId="77777777" w:rsidR="00FD56DF" w:rsidRPr="004F4D93" w:rsidRDefault="00FD56DF" w:rsidP="00FD56DF">
      <w:pPr>
        <w:pStyle w:val="Prrafodelista"/>
        <w:widowControl/>
        <w:numPr>
          <w:ilvl w:val="0"/>
          <w:numId w:val="4"/>
        </w:numPr>
        <w:ind w:left="510" w:hanging="510"/>
        <w:contextualSpacing w:val="0"/>
        <w:rPr>
          <w:rFonts w:ascii="Arial" w:hAnsi="Arial" w:cs="Arial"/>
          <w:sz w:val="22"/>
          <w:szCs w:val="22"/>
        </w:rPr>
      </w:pPr>
      <w:r w:rsidRPr="004F4D93">
        <w:rPr>
          <w:rFonts w:ascii="Arial" w:hAnsi="Arial" w:cs="Arial"/>
          <w:sz w:val="22"/>
          <w:szCs w:val="22"/>
        </w:rPr>
        <w:t>Sustituir u obstaculizar a las autoridades electorales en el ejercicio de sus funciones, e interferir en el desarrollo de las mismas;</w:t>
      </w:r>
    </w:p>
    <w:p w14:paraId="21F423B5" w14:textId="77777777" w:rsidR="00FD56DF" w:rsidRPr="004F4D93" w:rsidRDefault="00FD56DF" w:rsidP="00FD56DF">
      <w:pPr>
        <w:pStyle w:val="Prrafodelista"/>
        <w:widowControl/>
        <w:numPr>
          <w:ilvl w:val="0"/>
          <w:numId w:val="4"/>
        </w:numPr>
        <w:ind w:left="510" w:hanging="510"/>
        <w:contextualSpacing w:val="0"/>
        <w:rPr>
          <w:rFonts w:ascii="Arial" w:hAnsi="Arial" w:cs="Arial"/>
          <w:sz w:val="22"/>
          <w:szCs w:val="22"/>
        </w:rPr>
      </w:pPr>
      <w:r w:rsidRPr="004F4D93">
        <w:rPr>
          <w:rFonts w:ascii="Arial" w:hAnsi="Arial" w:cs="Arial"/>
          <w:sz w:val="22"/>
          <w:szCs w:val="22"/>
        </w:rPr>
        <w:t>Hacer proselitismo de cualquier tipo o manifestarse en favor de partido o candidato alguno;</w:t>
      </w:r>
    </w:p>
    <w:p w14:paraId="2E0A8E0D" w14:textId="77777777" w:rsidR="00FD56DF" w:rsidRPr="004F4D93" w:rsidRDefault="00FD56DF" w:rsidP="00FD56DF">
      <w:pPr>
        <w:pStyle w:val="Prrafodelista"/>
        <w:widowControl/>
        <w:numPr>
          <w:ilvl w:val="0"/>
          <w:numId w:val="4"/>
        </w:numPr>
        <w:ind w:left="510" w:hanging="510"/>
        <w:contextualSpacing w:val="0"/>
        <w:rPr>
          <w:rFonts w:ascii="Arial" w:hAnsi="Arial" w:cs="Arial"/>
          <w:sz w:val="22"/>
          <w:szCs w:val="22"/>
        </w:rPr>
      </w:pPr>
      <w:r w:rsidRPr="004F4D93">
        <w:rPr>
          <w:rFonts w:ascii="Arial" w:hAnsi="Arial" w:cs="Arial"/>
          <w:sz w:val="22"/>
          <w:szCs w:val="22"/>
        </w:rPr>
        <w:t>Externar cualquier expresión de ofensa, difamación o calumnia en contra de las instituciones, autoridades electorales, partidos políticos o candidatos, y</w:t>
      </w:r>
    </w:p>
    <w:p w14:paraId="65F86482" w14:textId="77777777" w:rsidR="00FD56DF" w:rsidRPr="004F4D93" w:rsidRDefault="00FD56DF" w:rsidP="00FD56DF">
      <w:pPr>
        <w:pStyle w:val="Prrafodelista"/>
        <w:widowControl/>
        <w:numPr>
          <w:ilvl w:val="0"/>
          <w:numId w:val="4"/>
        </w:numPr>
        <w:ind w:left="510" w:hanging="510"/>
        <w:contextualSpacing w:val="0"/>
        <w:rPr>
          <w:rFonts w:ascii="Arial" w:hAnsi="Arial" w:cs="Arial"/>
          <w:sz w:val="22"/>
          <w:szCs w:val="22"/>
        </w:rPr>
      </w:pPr>
      <w:r w:rsidRPr="004F4D93">
        <w:rPr>
          <w:rFonts w:ascii="Arial" w:hAnsi="Arial" w:cs="Arial"/>
          <w:sz w:val="22"/>
          <w:szCs w:val="22"/>
        </w:rPr>
        <w:t>Declarar el triunfo de partido político o candidato alguno.</w:t>
      </w:r>
    </w:p>
    <w:p w14:paraId="0534BCA0" w14:textId="77777777" w:rsidR="00FD56DF" w:rsidRPr="004F4D93" w:rsidRDefault="00FD56DF" w:rsidP="00FD56DF">
      <w:pPr>
        <w:pStyle w:val="Ttulo2"/>
        <w:rPr>
          <w:rFonts w:ascii="Arial" w:hAnsi="Arial" w:cs="Arial"/>
          <w:color w:val="auto"/>
          <w:sz w:val="22"/>
          <w:szCs w:val="22"/>
        </w:rPr>
      </w:pPr>
      <w:r w:rsidRPr="004F4D93">
        <w:rPr>
          <w:rFonts w:ascii="Arial" w:hAnsi="Arial" w:cs="Arial"/>
          <w:color w:val="auto"/>
          <w:sz w:val="22"/>
          <w:szCs w:val="22"/>
        </w:rPr>
        <w:t>Emisión de la Convocatoria</w:t>
      </w:r>
    </w:p>
    <w:p w14:paraId="53350118" w14:textId="77777777" w:rsidR="00FD56DF" w:rsidRPr="004F4D93" w:rsidRDefault="00FD56DF" w:rsidP="00FD56DF">
      <w:pPr>
        <w:rPr>
          <w:rFonts w:ascii="Arial" w:hAnsi="Arial" w:cs="Arial"/>
          <w:sz w:val="22"/>
          <w:szCs w:val="22"/>
        </w:rPr>
      </w:pPr>
      <w:r w:rsidRPr="004F4D93">
        <w:rPr>
          <w:rFonts w:ascii="Arial" w:hAnsi="Arial" w:cs="Arial"/>
          <w:sz w:val="22"/>
          <w:szCs w:val="22"/>
        </w:rPr>
        <w:t>Que, el artículo 186 numeral 1 del Reglamento de Elecciones establece que, el INE y los organismos electorales emitirán en la sesión inicial del Proceso Electoral, una convocatoria en la que se difundirán los requisitos para obtener la acreditación para la observación electoral, tomando en consideración los modelos que forman parte del anexo 6.6 de dicho Reglamento.</w:t>
      </w:r>
    </w:p>
    <w:p w14:paraId="3377CDB0" w14:textId="77777777" w:rsidR="00FD56DF" w:rsidRPr="004F4D93" w:rsidRDefault="00FD56DF" w:rsidP="00FD56DF">
      <w:pPr>
        <w:rPr>
          <w:rFonts w:ascii="Arial" w:hAnsi="Arial" w:cs="Arial"/>
          <w:sz w:val="22"/>
          <w:szCs w:val="22"/>
        </w:rPr>
      </w:pPr>
      <w:r w:rsidRPr="004F4D93">
        <w:rPr>
          <w:rFonts w:ascii="Arial" w:hAnsi="Arial" w:cs="Arial"/>
          <w:sz w:val="22"/>
          <w:szCs w:val="22"/>
        </w:rPr>
        <w:t>Además, el INE y los organismos electorales, en términos del numeral 2 del citado artículo, proporcionarán los mecanismos necesarios para que la ciudadanía, con independencia de su lugar de residencia, obtenga la acreditación para la observación electoral, a través de las modalidades que el Instituto determine, el cual podrá incluir el uso de herramientas informáticas y tecnológicas.</w:t>
      </w:r>
    </w:p>
    <w:p w14:paraId="161A95DB" w14:textId="77777777" w:rsidR="00FD56DF" w:rsidRPr="004F4D93" w:rsidRDefault="00FD56DF" w:rsidP="00FD56DF">
      <w:pPr>
        <w:pStyle w:val="Ttulo2"/>
        <w:rPr>
          <w:rFonts w:ascii="Arial" w:hAnsi="Arial" w:cs="Arial"/>
          <w:color w:val="auto"/>
          <w:sz w:val="22"/>
          <w:szCs w:val="22"/>
        </w:rPr>
      </w:pPr>
      <w:r w:rsidRPr="004F4D93">
        <w:rPr>
          <w:rFonts w:ascii="Arial" w:hAnsi="Arial" w:cs="Arial"/>
          <w:color w:val="auto"/>
          <w:sz w:val="22"/>
          <w:szCs w:val="22"/>
        </w:rPr>
        <w:t>Derechos de las personas observadoras electorales</w:t>
      </w:r>
    </w:p>
    <w:p w14:paraId="14F3BFE3" w14:textId="77777777" w:rsidR="00FD56DF" w:rsidRPr="004F4D93" w:rsidRDefault="00FD56DF" w:rsidP="00FD56DF">
      <w:pPr>
        <w:rPr>
          <w:rFonts w:ascii="Arial" w:hAnsi="Arial" w:cs="Arial"/>
          <w:sz w:val="22"/>
          <w:szCs w:val="22"/>
        </w:rPr>
      </w:pPr>
      <w:r w:rsidRPr="004F4D93">
        <w:rPr>
          <w:rFonts w:ascii="Arial" w:hAnsi="Arial" w:cs="Arial"/>
          <w:sz w:val="22"/>
          <w:szCs w:val="22"/>
        </w:rPr>
        <w:t xml:space="preserve">Que, el numeral 3 del artículo 186 del Reglamento de Elecciones dispone que, las personas que se encuentren acreditadas como observadoras electorales tendrán derecho a realizar las actividades de observación de los actos de carácter público de preparación y desarrollo de los Procesos Electorales Federales y locales, tanto ordinarios como extraordinarios, así como de las consultas populares, incluyendo los que se lleven a cabo durante la Jornada Electoral y sesiones de los órganos electorales del INE y de los organismos electorales, en </w:t>
      </w:r>
      <w:r w:rsidRPr="004F4D93">
        <w:rPr>
          <w:rFonts w:ascii="Arial" w:hAnsi="Arial" w:cs="Arial"/>
          <w:sz w:val="22"/>
          <w:szCs w:val="22"/>
        </w:rPr>
        <w:lastRenderedPageBreak/>
        <w:t>términos de lo que establece la Ley General y el propio Reglamento.</w:t>
      </w:r>
    </w:p>
    <w:p w14:paraId="66152C52" w14:textId="77777777" w:rsidR="00FD56DF" w:rsidRPr="004F4D93" w:rsidRDefault="00FD56DF" w:rsidP="00FD56DF">
      <w:pPr>
        <w:rPr>
          <w:rFonts w:ascii="Arial" w:hAnsi="Arial" w:cs="Arial"/>
          <w:sz w:val="22"/>
          <w:szCs w:val="22"/>
        </w:rPr>
      </w:pPr>
      <w:r w:rsidRPr="004F4D93">
        <w:rPr>
          <w:rFonts w:ascii="Arial" w:hAnsi="Arial" w:cs="Arial"/>
          <w:sz w:val="22"/>
          <w:szCs w:val="22"/>
        </w:rPr>
        <w:t>Además, conforme a los numerales 5 y 6 del artículo en cita, la ciudadanía mexicana podrá participar en la observación electoral, solo cuando hayan obtenido oportunamente su acreditación ante el INE; la cual surtirá efectos para el proceso federal y los concurrentes. Asimismo, en el caso de elecciones locales, la ciudadana o el ciudadano deberá tomar el curso referente a esa entidad a fin de conocer las modificaciones sustantivas de la elección local que pretenda observar.</w:t>
      </w:r>
    </w:p>
    <w:p w14:paraId="55524338" w14:textId="77777777" w:rsidR="00FD56DF" w:rsidRPr="004F4D93" w:rsidRDefault="00FD56DF" w:rsidP="00FD56DF">
      <w:pPr>
        <w:pStyle w:val="Ttulo2"/>
        <w:rPr>
          <w:rFonts w:ascii="Arial" w:hAnsi="Arial" w:cs="Arial"/>
          <w:color w:val="auto"/>
          <w:sz w:val="22"/>
          <w:szCs w:val="22"/>
        </w:rPr>
      </w:pPr>
      <w:r w:rsidRPr="004F4D93">
        <w:rPr>
          <w:rFonts w:ascii="Arial" w:hAnsi="Arial" w:cs="Arial"/>
          <w:color w:val="auto"/>
          <w:sz w:val="22"/>
          <w:szCs w:val="22"/>
        </w:rPr>
        <w:t>Plazo para la presentación de solicitudes</w:t>
      </w:r>
    </w:p>
    <w:p w14:paraId="4FE997BB" w14:textId="71E9AE12" w:rsidR="00FD56DF" w:rsidRPr="004F4D93" w:rsidRDefault="00FD56DF" w:rsidP="00FD56DF">
      <w:pPr>
        <w:rPr>
          <w:rFonts w:ascii="Arial" w:hAnsi="Arial" w:cs="Arial"/>
          <w:sz w:val="22"/>
          <w:szCs w:val="22"/>
        </w:rPr>
      </w:pPr>
      <w:r w:rsidRPr="004F4D93">
        <w:rPr>
          <w:rFonts w:ascii="Arial" w:hAnsi="Arial" w:cs="Arial"/>
          <w:sz w:val="22"/>
          <w:szCs w:val="22"/>
        </w:rPr>
        <w:t xml:space="preserve">Que, de acuerdo con el artículo 187 numeral 3 del Reglamento de Elecciones, en elecciones extraordinarias, el plazo para presentar la solicitud de acreditación o ratificación de la </w:t>
      </w:r>
      <w:r w:rsidR="00880360" w:rsidRPr="004F4D93">
        <w:rPr>
          <w:rFonts w:ascii="Arial" w:hAnsi="Arial" w:cs="Arial"/>
          <w:sz w:val="22"/>
          <w:szCs w:val="22"/>
        </w:rPr>
        <w:t>expedida</w:t>
      </w:r>
      <w:r w:rsidRPr="004F4D93">
        <w:rPr>
          <w:rFonts w:ascii="Arial" w:hAnsi="Arial" w:cs="Arial"/>
          <w:sz w:val="22"/>
          <w:szCs w:val="22"/>
        </w:rPr>
        <w:t xml:space="preserve"> será a partir del inicio del proceso electoral extraordinario correspondiente y hasta quince días previos a aquel en que se celebre la Jornada Electoral. No obstante, de conformidad con el acuerdo INE/</w:t>
      </w:r>
      <w:proofErr w:type="spellStart"/>
      <w:r w:rsidRPr="004F4D93">
        <w:rPr>
          <w:rFonts w:ascii="Arial" w:hAnsi="Arial" w:cs="Arial"/>
          <w:sz w:val="22"/>
          <w:szCs w:val="22"/>
        </w:rPr>
        <w:t>CG2467</w:t>
      </w:r>
      <w:proofErr w:type="spellEnd"/>
      <w:r w:rsidRPr="004F4D93">
        <w:rPr>
          <w:rFonts w:ascii="Arial" w:hAnsi="Arial" w:cs="Arial"/>
          <w:sz w:val="22"/>
          <w:szCs w:val="22"/>
        </w:rPr>
        <w:t>/2024, el Consejo General del INE estableció el 7 de mayo de 2025, como plazo límite para que las personas interesadas presenten su solicitud de acreditación será hasta; ello, con el objetivo de maximizar el ejercicio de los derechos políticos.</w:t>
      </w:r>
    </w:p>
    <w:p w14:paraId="4F6EB959" w14:textId="77777777" w:rsidR="00FD56DF" w:rsidRPr="004F4D93" w:rsidRDefault="00FD56DF" w:rsidP="00FD56DF">
      <w:pPr>
        <w:pStyle w:val="Ttulo2"/>
        <w:rPr>
          <w:rFonts w:ascii="Arial" w:hAnsi="Arial" w:cs="Arial"/>
          <w:color w:val="auto"/>
          <w:sz w:val="22"/>
          <w:szCs w:val="22"/>
        </w:rPr>
      </w:pPr>
      <w:r w:rsidRPr="004F4D93">
        <w:rPr>
          <w:rFonts w:ascii="Arial" w:hAnsi="Arial" w:cs="Arial"/>
          <w:color w:val="auto"/>
          <w:sz w:val="22"/>
          <w:szCs w:val="22"/>
        </w:rPr>
        <w:t xml:space="preserve">Requisitos para obtener la acreditación como observador u observadora electoral </w:t>
      </w:r>
    </w:p>
    <w:p w14:paraId="65C9720F" w14:textId="77777777" w:rsidR="00FD56DF" w:rsidRPr="004F4D93" w:rsidRDefault="00FD56DF" w:rsidP="00FD56DF">
      <w:pPr>
        <w:rPr>
          <w:rFonts w:ascii="Arial" w:hAnsi="Arial" w:cs="Arial"/>
          <w:sz w:val="22"/>
          <w:szCs w:val="22"/>
        </w:rPr>
      </w:pPr>
      <w:r w:rsidRPr="004F4D93">
        <w:rPr>
          <w:rFonts w:ascii="Arial" w:hAnsi="Arial" w:cs="Arial"/>
          <w:sz w:val="22"/>
          <w:szCs w:val="22"/>
        </w:rPr>
        <w:t>Que, el artículo 188, numeral 1 del Reglamento de Elecciones dispone que, la ciudadanía mexicana interesada en obtener la acreditación como observadora electoral, deberá cumplir con los requisitos establecidos en el artículo 217 de la Ley General y presentar los documentos que se citan a continuación:</w:t>
      </w:r>
    </w:p>
    <w:p w14:paraId="7C298469" w14:textId="77777777" w:rsidR="00FD56DF" w:rsidRPr="004F4D93" w:rsidRDefault="00FD56DF" w:rsidP="00FD56DF">
      <w:pPr>
        <w:pStyle w:val="Prrafodelista"/>
        <w:widowControl/>
        <w:numPr>
          <w:ilvl w:val="0"/>
          <w:numId w:val="5"/>
        </w:numPr>
        <w:ind w:left="510" w:hanging="510"/>
        <w:contextualSpacing w:val="0"/>
        <w:rPr>
          <w:rFonts w:ascii="Arial" w:hAnsi="Arial" w:cs="Arial"/>
          <w:sz w:val="22"/>
          <w:szCs w:val="22"/>
        </w:rPr>
      </w:pPr>
      <w:r w:rsidRPr="004F4D93">
        <w:rPr>
          <w:rFonts w:ascii="Arial" w:hAnsi="Arial" w:cs="Arial"/>
          <w:sz w:val="22"/>
          <w:szCs w:val="22"/>
        </w:rPr>
        <w:t>Solicitud de acreditación en el formato correspondiente;</w:t>
      </w:r>
    </w:p>
    <w:p w14:paraId="5FC99D9D" w14:textId="77777777" w:rsidR="00FD56DF" w:rsidRPr="004F4D93" w:rsidRDefault="00FD56DF" w:rsidP="00FD56DF">
      <w:pPr>
        <w:pStyle w:val="Prrafodelista"/>
        <w:widowControl/>
        <w:numPr>
          <w:ilvl w:val="0"/>
          <w:numId w:val="5"/>
        </w:numPr>
        <w:ind w:left="510" w:hanging="510"/>
        <w:contextualSpacing w:val="0"/>
        <w:rPr>
          <w:rFonts w:ascii="Arial" w:hAnsi="Arial" w:cs="Arial"/>
          <w:sz w:val="22"/>
          <w:szCs w:val="22"/>
        </w:rPr>
      </w:pPr>
      <w:r w:rsidRPr="004F4D93">
        <w:rPr>
          <w:rFonts w:ascii="Arial" w:hAnsi="Arial" w:cs="Arial"/>
          <w:sz w:val="22"/>
          <w:szCs w:val="22"/>
        </w:rPr>
        <w:t>En su caso, solicitud de ratificación para el caso de elecciones extraordinarias;</w:t>
      </w:r>
    </w:p>
    <w:p w14:paraId="54B07869" w14:textId="77777777" w:rsidR="00FD56DF" w:rsidRPr="004F4D93" w:rsidRDefault="00FD56DF" w:rsidP="00FD56DF">
      <w:pPr>
        <w:pStyle w:val="Prrafodelista"/>
        <w:widowControl/>
        <w:numPr>
          <w:ilvl w:val="0"/>
          <w:numId w:val="5"/>
        </w:numPr>
        <w:ind w:left="510" w:hanging="510"/>
        <w:contextualSpacing w:val="0"/>
        <w:rPr>
          <w:rFonts w:ascii="Arial" w:hAnsi="Arial" w:cs="Arial"/>
          <w:sz w:val="22"/>
          <w:szCs w:val="22"/>
        </w:rPr>
      </w:pPr>
      <w:r w:rsidRPr="004F4D93">
        <w:rPr>
          <w:rFonts w:ascii="Arial" w:hAnsi="Arial" w:cs="Arial"/>
          <w:sz w:val="22"/>
          <w:szCs w:val="22"/>
        </w:rPr>
        <w:t>Escrito bajo protesta en el que manifieste que cumple con los requisitos establecidos en el artículo 217, numeral 1, inciso d) de la Ley General;</w:t>
      </w:r>
    </w:p>
    <w:p w14:paraId="11082EF6" w14:textId="77777777" w:rsidR="00FD56DF" w:rsidRPr="004F4D93" w:rsidRDefault="00FD56DF" w:rsidP="00FD56DF">
      <w:pPr>
        <w:pStyle w:val="Prrafodelista"/>
        <w:widowControl/>
        <w:numPr>
          <w:ilvl w:val="0"/>
          <w:numId w:val="5"/>
        </w:numPr>
        <w:ind w:left="510" w:hanging="510"/>
        <w:contextualSpacing w:val="0"/>
        <w:rPr>
          <w:rFonts w:ascii="Arial" w:hAnsi="Arial" w:cs="Arial"/>
          <w:sz w:val="22"/>
          <w:szCs w:val="22"/>
        </w:rPr>
      </w:pPr>
      <w:r w:rsidRPr="004F4D93">
        <w:rPr>
          <w:rFonts w:ascii="Arial" w:hAnsi="Arial" w:cs="Arial"/>
          <w:sz w:val="22"/>
          <w:szCs w:val="22"/>
        </w:rPr>
        <w:t>Dos fotografías recientes tamaño infantil del solicitante, y</w:t>
      </w:r>
    </w:p>
    <w:p w14:paraId="01FE4C8B" w14:textId="77777777" w:rsidR="00FD56DF" w:rsidRPr="004F4D93" w:rsidRDefault="00FD56DF" w:rsidP="00FD56DF">
      <w:pPr>
        <w:pStyle w:val="Prrafodelista"/>
        <w:widowControl/>
        <w:numPr>
          <w:ilvl w:val="0"/>
          <w:numId w:val="5"/>
        </w:numPr>
        <w:ind w:left="510" w:hanging="510"/>
        <w:contextualSpacing w:val="0"/>
        <w:rPr>
          <w:rFonts w:ascii="Arial" w:hAnsi="Arial" w:cs="Arial"/>
          <w:sz w:val="22"/>
          <w:szCs w:val="22"/>
        </w:rPr>
      </w:pPr>
      <w:r w:rsidRPr="004F4D93">
        <w:rPr>
          <w:rFonts w:ascii="Arial" w:hAnsi="Arial" w:cs="Arial"/>
          <w:sz w:val="22"/>
          <w:szCs w:val="22"/>
        </w:rPr>
        <w:t>Copia de la credencial para votar vigente.</w:t>
      </w:r>
    </w:p>
    <w:p w14:paraId="13CB1451" w14:textId="77777777" w:rsidR="00FD56DF" w:rsidRPr="004F4D93" w:rsidRDefault="00FD56DF" w:rsidP="00FD56DF">
      <w:pPr>
        <w:rPr>
          <w:rFonts w:ascii="Arial" w:hAnsi="Arial" w:cs="Arial"/>
          <w:sz w:val="22"/>
          <w:szCs w:val="22"/>
        </w:rPr>
      </w:pPr>
      <w:r w:rsidRPr="004F4D93">
        <w:rPr>
          <w:rFonts w:ascii="Arial" w:hAnsi="Arial" w:cs="Arial"/>
          <w:sz w:val="22"/>
          <w:szCs w:val="22"/>
        </w:rPr>
        <w:lastRenderedPageBreak/>
        <w:t xml:space="preserve">Además, la solicitud podrá ser presentada individualmente o a través de la organización de observadores electorales a la que pertenezcan y en este último caso, la dirigencia o representantes de la organización, incluirán una relación de la ciudadanía interesada pertenecientes a ella, así como las solicitudes individuales debidamente </w:t>
      </w:r>
      <w:proofErr w:type="spellStart"/>
      <w:r w:rsidRPr="004F4D93">
        <w:rPr>
          <w:rFonts w:ascii="Arial" w:hAnsi="Arial" w:cs="Arial"/>
          <w:sz w:val="22"/>
          <w:szCs w:val="22"/>
        </w:rPr>
        <w:t>requisitadas</w:t>
      </w:r>
      <w:proofErr w:type="spellEnd"/>
      <w:r w:rsidRPr="004F4D93">
        <w:rPr>
          <w:rFonts w:ascii="Arial" w:hAnsi="Arial" w:cs="Arial"/>
          <w:sz w:val="22"/>
          <w:szCs w:val="22"/>
        </w:rPr>
        <w:t>.</w:t>
      </w:r>
    </w:p>
    <w:p w14:paraId="70D71428" w14:textId="77777777" w:rsidR="00FD56DF" w:rsidRPr="004F4D93" w:rsidRDefault="00FD56DF" w:rsidP="00FD56DF">
      <w:pPr>
        <w:pStyle w:val="Ttulo2"/>
        <w:rPr>
          <w:rFonts w:ascii="Arial" w:hAnsi="Arial" w:cs="Arial"/>
          <w:color w:val="auto"/>
          <w:sz w:val="22"/>
          <w:szCs w:val="22"/>
        </w:rPr>
      </w:pPr>
      <w:r w:rsidRPr="004F4D93">
        <w:rPr>
          <w:rFonts w:ascii="Arial" w:hAnsi="Arial" w:cs="Arial"/>
          <w:color w:val="auto"/>
          <w:sz w:val="22"/>
          <w:szCs w:val="22"/>
        </w:rPr>
        <w:t>Presentación de la solicitud</w:t>
      </w:r>
    </w:p>
    <w:p w14:paraId="062D443C" w14:textId="77777777" w:rsidR="00FD56DF" w:rsidRPr="004F4D93" w:rsidRDefault="00FD56DF" w:rsidP="00FD56DF">
      <w:pPr>
        <w:rPr>
          <w:rFonts w:ascii="Arial" w:hAnsi="Arial" w:cs="Arial"/>
          <w:sz w:val="22"/>
          <w:szCs w:val="22"/>
        </w:rPr>
      </w:pPr>
      <w:r w:rsidRPr="004F4D93">
        <w:rPr>
          <w:rFonts w:ascii="Arial" w:hAnsi="Arial" w:cs="Arial"/>
          <w:sz w:val="22"/>
          <w:szCs w:val="22"/>
        </w:rPr>
        <w:t>Que, de acuerdo con el artículo 189 numeral 1 del Reglamento de Elecciones, la solicitud para obtener la acreditación para la observación del desarrollo de las actividades de los Procesos Electorales Federales y locales, ordinarios y extraordinarios, se presentará preferentemente a través de las herramientas informáticas y tecnológicas que el INE implemente o, en su defecto, ante la presidencia del Consejo Local o distrital del INE o ante el organismo electoral correspondiente.</w:t>
      </w:r>
    </w:p>
    <w:p w14:paraId="119F7576" w14:textId="77777777" w:rsidR="00FD56DF" w:rsidRPr="004F4D93" w:rsidRDefault="00FD56DF" w:rsidP="00FD56DF">
      <w:pPr>
        <w:pStyle w:val="Ttulo2"/>
        <w:rPr>
          <w:rFonts w:ascii="Arial" w:hAnsi="Arial" w:cs="Arial"/>
          <w:color w:val="auto"/>
          <w:sz w:val="22"/>
          <w:szCs w:val="22"/>
        </w:rPr>
      </w:pPr>
      <w:r w:rsidRPr="004F4D93">
        <w:rPr>
          <w:rFonts w:ascii="Arial" w:hAnsi="Arial" w:cs="Arial"/>
          <w:color w:val="auto"/>
          <w:sz w:val="22"/>
          <w:szCs w:val="22"/>
        </w:rPr>
        <w:t>Acreditación de las personas solicitantes</w:t>
      </w:r>
    </w:p>
    <w:p w14:paraId="2D69E42B" w14:textId="77777777" w:rsidR="00FD56DF" w:rsidRPr="004F4D93" w:rsidRDefault="00FD56DF" w:rsidP="00FD56DF">
      <w:pPr>
        <w:rPr>
          <w:rFonts w:ascii="Arial" w:hAnsi="Arial" w:cs="Arial"/>
          <w:sz w:val="22"/>
          <w:szCs w:val="22"/>
        </w:rPr>
      </w:pPr>
      <w:r w:rsidRPr="004F4D93">
        <w:rPr>
          <w:rFonts w:ascii="Arial" w:hAnsi="Arial" w:cs="Arial"/>
          <w:sz w:val="22"/>
          <w:szCs w:val="22"/>
        </w:rPr>
        <w:t>Que, el artículo 193 numeral 1 del Reglamento de Elecciones establece que, una vez concluida la revisión de las solicitudes, se notificará dentro de los siguientes 3 días a la persona solicitante la obligación de tomar, en alguna de las modalidades aprobadas, el curso de capacitación, preparación o información a que se refiere el artículo 217, numeral 1, inciso d), fracción IV de la Ley General, apercibida que, de no tomar el curso de capacitación, la solicitud será improcedente.</w:t>
      </w:r>
    </w:p>
    <w:p w14:paraId="52631738" w14:textId="077BAF51" w:rsidR="00FD56DF" w:rsidRPr="004F4D93" w:rsidRDefault="00FD56DF" w:rsidP="00FD56DF">
      <w:pPr>
        <w:rPr>
          <w:rFonts w:ascii="Arial" w:hAnsi="Arial" w:cs="Arial"/>
          <w:sz w:val="22"/>
          <w:szCs w:val="22"/>
        </w:rPr>
      </w:pPr>
      <w:r w:rsidRPr="004F4D93">
        <w:rPr>
          <w:rFonts w:ascii="Arial" w:hAnsi="Arial" w:cs="Arial"/>
          <w:sz w:val="22"/>
          <w:szCs w:val="22"/>
        </w:rPr>
        <w:t xml:space="preserve">La capacitación que se imparta para elecciones </w:t>
      </w:r>
      <w:r w:rsidR="00880360" w:rsidRPr="004F4D93">
        <w:rPr>
          <w:rFonts w:ascii="Arial" w:hAnsi="Arial" w:cs="Arial"/>
          <w:sz w:val="22"/>
          <w:szCs w:val="22"/>
        </w:rPr>
        <w:t>concurrentes</w:t>
      </w:r>
      <w:r w:rsidRPr="004F4D93">
        <w:rPr>
          <w:rFonts w:ascii="Arial" w:hAnsi="Arial" w:cs="Arial"/>
          <w:sz w:val="22"/>
          <w:szCs w:val="22"/>
        </w:rPr>
        <w:t xml:space="preserve"> acreditará a la persona observadora electoral para realizar dicha función respecto de la elección federal en todo el territorio nacional y la local de la entidad federativa en la que se haya tomado dicha capacitación, de conformidad con el artículo 195 numeral 1 del Reglamento en cita.</w:t>
      </w:r>
    </w:p>
    <w:p w14:paraId="212BD577" w14:textId="0FBEEC32" w:rsidR="00901519" w:rsidRPr="004F4D93" w:rsidRDefault="00880360" w:rsidP="001C213E">
      <w:pPr>
        <w:pStyle w:val="Ttulo2"/>
        <w:rPr>
          <w:rFonts w:ascii="Arial" w:hAnsi="Arial" w:cs="Arial"/>
          <w:color w:val="auto"/>
          <w:sz w:val="22"/>
          <w:szCs w:val="22"/>
        </w:rPr>
      </w:pPr>
      <w:r w:rsidRPr="004F4D93">
        <w:rPr>
          <w:rFonts w:ascii="Arial" w:hAnsi="Arial" w:cs="Arial"/>
          <w:color w:val="auto"/>
          <w:sz w:val="22"/>
          <w:szCs w:val="22"/>
        </w:rPr>
        <w:t xml:space="preserve">Fiscalización a cargo de los </w:t>
      </w:r>
      <w:r w:rsidR="00B00F7B" w:rsidRPr="004F4D93">
        <w:rPr>
          <w:rFonts w:ascii="Arial" w:hAnsi="Arial" w:cs="Arial"/>
          <w:color w:val="auto"/>
          <w:sz w:val="22"/>
          <w:szCs w:val="22"/>
        </w:rPr>
        <w:t>organismos electorales</w:t>
      </w:r>
    </w:p>
    <w:p w14:paraId="05F2441A" w14:textId="16B963E1" w:rsidR="00566D22" w:rsidRPr="004F4D93" w:rsidRDefault="00566D22" w:rsidP="00566D22">
      <w:pPr>
        <w:rPr>
          <w:rFonts w:ascii="Arial" w:hAnsi="Arial" w:cs="Arial"/>
          <w:sz w:val="22"/>
          <w:szCs w:val="22"/>
        </w:rPr>
      </w:pPr>
      <w:r w:rsidRPr="004F4D93">
        <w:rPr>
          <w:rFonts w:ascii="Arial" w:hAnsi="Arial" w:cs="Arial"/>
          <w:sz w:val="22"/>
          <w:szCs w:val="22"/>
        </w:rPr>
        <w:t>Que, de conformidad con el artículo 45 de los Lineamientos para la fiscalización, corresponde a los Organismos Electorales fiscalizar, en el ámbito de su competencia, a las organizaciones de observación electoral local que les corresponda.</w:t>
      </w:r>
    </w:p>
    <w:p w14:paraId="36DA00BA" w14:textId="4C355D66" w:rsidR="002E4212" w:rsidRPr="004F4D93" w:rsidRDefault="002E4212" w:rsidP="002E4212">
      <w:pPr>
        <w:pStyle w:val="Ttulo2"/>
        <w:rPr>
          <w:rFonts w:ascii="Arial" w:hAnsi="Arial" w:cs="Arial"/>
          <w:color w:val="auto"/>
          <w:sz w:val="22"/>
          <w:szCs w:val="22"/>
        </w:rPr>
      </w:pPr>
      <w:r w:rsidRPr="004F4D93">
        <w:rPr>
          <w:rFonts w:ascii="Arial" w:hAnsi="Arial" w:cs="Arial"/>
          <w:color w:val="auto"/>
          <w:sz w:val="22"/>
          <w:szCs w:val="22"/>
        </w:rPr>
        <w:lastRenderedPageBreak/>
        <w:t>Lineamientos para las Organizaciones de Observadoras y Observadores Electorales</w:t>
      </w:r>
    </w:p>
    <w:p w14:paraId="4EC11120" w14:textId="0C9708AD" w:rsidR="002E4212" w:rsidRPr="004F4D93" w:rsidRDefault="002E4212" w:rsidP="002E4212">
      <w:pPr>
        <w:rPr>
          <w:rFonts w:ascii="Arial" w:hAnsi="Arial" w:cs="Arial"/>
          <w:sz w:val="22"/>
          <w:szCs w:val="22"/>
        </w:rPr>
      </w:pPr>
      <w:r w:rsidRPr="004F4D93">
        <w:rPr>
          <w:rFonts w:ascii="Arial" w:hAnsi="Arial" w:cs="Arial"/>
          <w:sz w:val="22"/>
          <w:szCs w:val="22"/>
        </w:rPr>
        <w:t>Que, a partir de las disposiciones señaladas y ante la necesidad de brindar certeza a las Organizaciones de personas observadoras electorales, respecto a la forma y términos bajo los cuales deberán rendir sus informes relacionados con el origen, monto, destino y aplicación del financiamiento que obtengan para el desarrollo de sus actividades relacionadas directamente con la Observación Electoral, el Órgano Técnico de Fiscalización propone la emisión de los lineamientos bajo los cuales las organizaciones ciudadanas cumplirán con las obligaciones en dicha materia.</w:t>
      </w:r>
    </w:p>
    <w:p w14:paraId="151ADC10" w14:textId="37AFB6C6" w:rsidR="002E4212" w:rsidRPr="004F4D93" w:rsidRDefault="002E4212" w:rsidP="002E4212">
      <w:pPr>
        <w:rPr>
          <w:rFonts w:ascii="Arial" w:hAnsi="Arial" w:cs="Arial"/>
          <w:sz w:val="22"/>
          <w:szCs w:val="22"/>
        </w:rPr>
      </w:pPr>
      <w:r w:rsidRPr="004F4D93">
        <w:rPr>
          <w:rFonts w:ascii="Arial" w:hAnsi="Arial" w:cs="Arial"/>
          <w:sz w:val="22"/>
          <w:szCs w:val="22"/>
        </w:rPr>
        <w:t>Además, los Lineamientos propuestos, establecen el procedimiento al cual se sujetará el Instituto y las Organizaciones de personas observadoras electorales para el desarrollo de la función de fiscalización. Todo esto, con apego a los principios de certeza, legalidad y objetividad y de conformidad con la Ley General, el Reglamento de Fiscalización del INE y las disposiciones contenidas en los Lineamientos para la fiscalización aprobados por el Consejo General del INE establecidos en el acuerdo INE/</w:t>
      </w:r>
      <w:proofErr w:type="spellStart"/>
      <w:r w:rsidRPr="004F4D93">
        <w:rPr>
          <w:rFonts w:ascii="Arial" w:hAnsi="Arial" w:cs="Arial"/>
          <w:sz w:val="22"/>
          <w:szCs w:val="22"/>
        </w:rPr>
        <w:t>CG54</w:t>
      </w:r>
      <w:proofErr w:type="spellEnd"/>
      <w:r w:rsidRPr="004F4D93">
        <w:rPr>
          <w:rFonts w:ascii="Arial" w:hAnsi="Arial" w:cs="Arial"/>
          <w:sz w:val="22"/>
          <w:szCs w:val="22"/>
        </w:rPr>
        <w:t>/2025.</w:t>
      </w:r>
    </w:p>
    <w:p w14:paraId="2553F4A3" w14:textId="2FC37D77" w:rsidR="00A4549F" w:rsidRPr="004F4D93" w:rsidRDefault="00A4549F" w:rsidP="00A4549F">
      <w:pPr>
        <w:rPr>
          <w:rFonts w:ascii="Arial" w:hAnsi="Arial" w:cs="Arial"/>
          <w:sz w:val="22"/>
          <w:szCs w:val="22"/>
        </w:rPr>
      </w:pPr>
      <w:r w:rsidRPr="004F4D93">
        <w:rPr>
          <w:rFonts w:ascii="Arial" w:hAnsi="Arial" w:cs="Arial"/>
          <w:sz w:val="22"/>
          <w:szCs w:val="22"/>
        </w:rPr>
        <w:t xml:space="preserve">Cabe señalar que, conforme al Reglamento de Elecciones, es obligación de este organismo electoral, establecer procedimientos de fiscalización acordes a lo que establece dicho Reglamento, para los siguientes sujetos: agrupaciones políticas locales, organizaciones de observación en elecciones locales y organizaciones ciudadanas que pretendan obtener su registro como partido político local. </w:t>
      </w:r>
    </w:p>
    <w:p w14:paraId="052856F8" w14:textId="15D55A25" w:rsidR="00A4549F" w:rsidRPr="004F4D93" w:rsidRDefault="00A4549F" w:rsidP="002E4212">
      <w:pPr>
        <w:rPr>
          <w:rFonts w:ascii="Arial" w:hAnsi="Arial" w:cs="Arial"/>
          <w:sz w:val="22"/>
          <w:szCs w:val="22"/>
        </w:rPr>
      </w:pPr>
      <w:r w:rsidRPr="004F4D93">
        <w:rPr>
          <w:rFonts w:ascii="Arial" w:hAnsi="Arial" w:cs="Arial"/>
          <w:sz w:val="22"/>
          <w:szCs w:val="22"/>
        </w:rPr>
        <w:t>C</w:t>
      </w:r>
      <w:r w:rsidR="002E4212" w:rsidRPr="004F4D93">
        <w:rPr>
          <w:rFonts w:ascii="Arial" w:hAnsi="Arial" w:cs="Arial"/>
          <w:sz w:val="22"/>
          <w:szCs w:val="22"/>
        </w:rPr>
        <w:t xml:space="preserve">onsiderando lo anterior y a partir de los Lineamientos </w:t>
      </w:r>
      <w:r w:rsidRPr="004F4D93">
        <w:rPr>
          <w:rFonts w:ascii="Arial" w:hAnsi="Arial" w:cs="Arial"/>
          <w:sz w:val="22"/>
          <w:szCs w:val="22"/>
        </w:rPr>
        <w:t>para la Verificación</w:t>
      </w:r>
      <w:r w:rsidR="002E4212" w:rsidRPr="004F4D93">
        <w:rPr>
          <w:rFonts w:ascii="Arial" w:hAnsi="Arial" w:cs="Arial"/>
          <w:sz w:val="22"/>
          <w:szCs w:val="22"/>
        </w:rPr>
        <w:t xml:space="preserve">, se propone que en la entidad se establezca una norma que regule las responsabilidades y obligaciones de las Organizaciones de personas observadoras electorales, a fin de que </w:t>
      </w:r>
      <w:r w:rsidRPr="004F4D93">
        <w:rPr>
          <w:rFonts w:ascii="Arial" w:hAnsi="Arial" w:cs="Arial"/>
          <w:sz w:val="22"/>
          <w:szCs w:val="22"/>
        </w:rPr>
        <w:t>cuenten con la información necesaria para cumplir con sus obligaciones en materia de fiscalización.</w:t>
      </w:r>
    </w:p>
    <w:p w14:paraId="22DA6650" w14:textId="34EFFB55" w:rsidR="002E4212" w:rsidRPr="004F4D93" w:rsidRDefault="002E4212" w:rsidP="002E4212">
      <w:pPr>
        <w:rPr>
          <w:rFonts w:ascii="Arial" w:hAnsi="Arial" w:cs="Arial"/>
          <w:sz w:val="22"/>
          <w:szCs w:val="22"/>
        </w:rPr>
      </w:pPr>
      <w:r w:rsidRPr="004F4D93">
        <w:rPr>
          <w:rFonts w:ascii="Arial" w:hAnsi="Arial" w:cs="Arial"/>
          <w:sz w:val="22"/>
          <w:szCs w:val="22"/>
        </w:rPr>
        <w:t>En ese sentido, se emiten los Lineamientos y Formatos a que deben sujetarse las Organizaciones de Observadores Electorales en la rendición de sus Informes sobre el origen, monto, destino y aplicación del Financiamiento que obtengan para el desarrollo de sus actividades relacionadas directamente con la Observación Electoral, mismo que forma parte integral del presente acuerdo como Anexo 1.</w:t>
      </w:r>
    </w:p>
    <w:p w14:paraId="6E9D72D0" w14:textId="77777777" w:rsidR="0092623C" w:rsidRPr="004F4D93" w:rsidRDefault="0092623C" w:rsidP="0092623C">
      <w:pPr>
        <w:rPr>
          <w:rFonts w:ascii="Arial" w:hAnsi="Arial" w:cs="Arial"/>
          <w:sz w:val="22"/>
          <w:szCs w:val="22"/>
        </w:rPr>
      </w:pPr>
      <w:r w:rsidRPr="004F4D93">
        <w:rPr>
          <w:rFonts w:ascii="Arial" w:hAnsi="Arial" w:cs="Arial"/>
          <w:sz w:val="22"/>
          <w:szCs w:val="22"/>
        </w:rPr>
        <w:t>Sobre la base de las consideraciones señaladas, este Consejo Estatal emite el siguiente:</w:t>
      </w:r>
    </w:p>
    <w:p w14:paraId="294A7FBD" w14:textId="77777777" w:rsidR="0092623C" w:rsidRPr="004F4D93" w:rsidRDefault="0092623C" w:rsidP="0092623C">
      <w:pPr>
        <w:pStyle w:val="Ttulo1"/>
        <w:rPr>
          <w:rFonts w:ascii="Arial" w:hAnsi="Arial" w:cs="Arial"/>
          <w:color w:val="auto"/>
          <w:sz w:val="24"/>
          <w:szCs w:val="24"/>
        </w:rPr>
      </w:pPr>
      <w:r w:rsidRPr="004F4D93">
        <w:rPr>
          <w:rFonts w:ascii="Arial" w:hAnsi="Arial" w:cs="Arial"/>
          <w:color w:val="auto"/>
          <w:sz w:val="24"/>
          <w:szCs w:val="24"/>
        </w:rPr>
        <w:lastRenderedPageBreak/>
        <w:t>Acuerdo</w:t>
      </w:r>
    </w:p>
    <w:p w14:paraId="2A1337F9" w14:textId="477C3986" w:rsidR="0092623C" w:rsidRPr="004F4D93" w:rsidRDefault="0092623C" w:rsidP="00963B45">
      <w:pPr>
        <w:rPr>
          <w:rFonts w:ascii="Arial" w:hAnsi="Arial" w:cs="Arial"/>
          <w:sz w:val="22"/>
          <w:szCs w:val="22"/>
        </w:rPr>
      </w:pPr>
      <w:r w:rsidRPr="004F4D93">
        <w:rPr>
          <w:rFonts w:ascii="Arial" w:hAnsi="Arial" w:cs="Arial"/>
          <w:b/>
          <w:bCs/>
          <w:sz w:val="22"/>
          <w:szCs w:val="22"/>
        </w:rPr>
        <w:t>Primero.</w:t>
      </w:r>
      <w:r w:rsidRPr="004F4D93">
        <w:rPr>
          <w:rFonts w:ascii="Arial" w:hAnsi="Arial" w:cs="Arial"/>
          <w:sz w:val="22"/>
          <w:szCs w:val="22"/>
        </w:rPr>
        <w:t xml:space="preserve"> Se </w:t>
      </w:r>
      <w:r w:rsidR="00963B45" w:rsidRPr="004F4D93">
        <w:rPr>
          <w:rFonts w:ascii="Arial" w:hAnsi="Arial" w:cs="Arial"/>
          <w:sz w:val="22"/>
          <w:szCs w:val="22"/>
        </w:rPr>
        <w:t xml:space="preserve">aprueban los </w:t>
      </w:r>
      <w:r w:rsidR="00BA0745" w:rsidRPr="004F4D93">
        <w:rPr>
          <w:rFonts w:ascii="Arial" w:hAnsi="Arial" w:cs="Arial"/>
          <w:sz w:val="22"/>
          <w:szCs w:val="22"/>
        </w:rPr>
        <w:t xml:space="preserve">Lineamientos en materia de Fiscalización para las organizaciones de personas observadoras electorales con motivo </w:t>
      </w:r>
      <w:r w:rsidR="00963B45" w:rsidRPr="004F4D93">
        <w:rPr>
          <w:rFonts w:ascii="Arial" w:hAnsi="Arial" w:cs="Arial"/>
          <w:sz w:val="22"/>
          <w:szCs w:val="22"/>
        </w:rPr>
        <w:t>del Proceso Electoral Local Extraordinario para personas juzgadoras del Poder Judicial del Estado 2024 – 2025 anexos al presente acuerdo.</w:t>
      </w:r>
    </w:p>
    <w:p w14:paraId="3F944D31" w14:textId="37621B5B" w:rsidR="00FD4D54" w:rsidRPr="004F4D93" w:rsidRDefault="0092623C" w:rsidP="0092623C">
      <w:pPr>
        <w:rPr>
          <w:rFonts w:ascii="Arial" w:hAnsi="Arial" w:cs="Arial"/>
          <w:sz w:val="22"/>
          <w:szCs w:val="22"/>
        </w:rPr>
      </w:pPr>
      <w:r w:rsidRPr="004F4D93">
        <w:rPr>
          <w:rFonts w:ascii="Arial" w:hAnsi="Arial" w:cs="Arial"/>
          <w:b/>
          <w:bCs/>
          <w:sz w:val="22"/>
          <w:szCs w:val="22"/>
        </w:rPr>
        <w:t>Segundo.</w:t>
      </w:r>
      <w:r w:rsidRPr="004F4D93">
        <w:rPr>
          <w:rFonts w:ascii="Arial" w:hAnsi="Arial" w:cs="Arial"/>
          <w:sz w:val="22"/>
          <w:szCs w:val="22"/>
        </w:rPr>
        <w:t xml:space="preserve"> </w:t>
      </w:r>
      <w:r w:rsidR="00FD4D54" w:rsidRPr="004F4D93">
        <w:rPr>
          <w:rFonts w:ascii="Arial" w:hAnsi="Arial" w:cs="Arial"/>
          <w:sz w:val="22"/>
          <w:szCs w:val="22"/>
        </w:rPr>
        <w:t>Se instruye al Secretario Ejecutivo haga del conocimiento de las juntas electorales distritales el contenido del presente acuerdo. Asimismo, en términos del artículo 387 numeral 9 de la Ley Electoral, lo notifique a las personas candidatas.</w:t>
      </w:r>
    </w:p>
    <w:p w14:paraId="585024FB" w14:textId="7EB0C2BF" w:rsidR="0092623C" w:rsidRPr="004F4D93" w:rsidRDefault="00FD4D54" w:rsidP="0092623C">
      <w:pPr>
        <w:rPr>
          <w:rFonts w:ascii="Arial" w:hAnsi="Arial" w:cs="Arial"/>
          <w:sz w:val="22"/>
          <w:szCs w:val="22"/>
        </w:rPr>
      </w:pPr>
      <w:r w:rsidRPr="004F4D93">
        <w:rPr>
          <w:rFonts w:ascii="Arial" w:hAnsi="Arial" w:cs="Arial"/>
          <w:b/>
          <w:bCs/>
          <w:sz w:val="22"/>
          <w:szCs w:val="22"/>
        </w:rPr>
        <w:t xml:space="preserve">Tercero. </w:t>
      </w:r>
      <w:r w:rsidRPr="004F4D93">
        <w:rPr>
          <w:rFonts w:ascii="Arial" w:hAnsi="Arial" w:cs="Arial"/>
          <w:sz w:val="22"/>
          <w:szCs w:val="22"/>
        </w:rPr>
        <w:t>Asimismo, s</w:t>
      </w:r>
      <w:r w:rsidR="0092623C" w:rsidRPr="004F4D93">
        <w:rPr>
          <w:rFonts w:ascii="Arial" w:hAnsi="Arial" w:cs="Arial"/>
          <w:sz w:val="22"/>
          <w:szCs w:val="22"/>
        </w:rPr>
        <w:t>e instruye a la Secretaría Ejecutiva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15A784A8" w14:textId="47ECDA3C" w:rsidR="0092623C" w:rsidRPr="004F4D93" w:rsidRDefault="00FD4D54" w:rsidP="0092623C">
      <w:pPr>
        <w:rPr>
          <w:rFonts w:ascii="Arial" w:hAnsi="Arial" w:cs="Arial"/>
          <w:sz w:val="22"/>
          <w:szCs w:val="22"/>
        </w:rPr>
      </w:pPr>
      <w:r w:rsidRPr="004F4D93">
        <w:rPr>
          <w:rFonts w:ascii="Arial" w:hAnsi="Arial" w:cs="Arial"/>
          <w:b/>
          <w:bCs/>
          <w:sz w:val="22"/>
          <w:szCs w:val="22"/>
        </w:rPr>
        <w:t>Cuarto</w:t>
      </w:r>
      <w:r w:rsidR="0092623C" w:rsidRPr="004F4D93">
        <w:rPr>
          <w:rFonts w:ascii="Arial" w:hAnsi="Arial" w:cs="Arial"/>
          <w:b/>
          <w:bCs/>
          <w:sz w:val="22"/>
          <w:szCs w:val="22"/>
        </w:rPr>
        <w:t>.</w:t>
      </w:r>
      <w:r w:rsidR="0092623C" w:rsidRPr="004F4D93">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5698E1D8" w14:textId="2697C585" w:rsidR="0092623C" w:rsidRPr="004F4D93" w:rsidRDefault="0092623C" w:rsidP="0092623C">
      <w:pPr>
        <w:rPr>
          <w:rFonts w:ascii="Arial" w:hAnsi="Arial" w:cs="Arial"/>
          <w:sz w:val="22"/>
          <w:szCs w:val="22"/>
        </w:rPr>
      </w:pPr>
      <w:r w:rsidRPr="004F4D93">
        <w:rPr>
          <w:rFonts w:ascii="Arial" w:hAnsi="Arial" w:cs="Arial"/>
          <w:sz w:val="22"/>
          <w:szCs w:val="22"/>
        </w:rPr>
        <w:t xml:space="preserve">El presente </w:t>
      </w:r>
      <w:r w:rsidR="004F4D93">
        <w:rPr>
          <w:rFonts w:ascii="Arial" w:hAnsi="Arial" w:cs="Arial"/>
          <w:sz w:val="22"/>
          <w:szCs w:val="22"/>
        </w:rPr>
        <w:t>acuerdo fue aprobado en sesión extraordinaria</w:t>
      </w:r>
      <w:r w:rsidRPr="004F4D93">
        <w:rPr>
          <w:rFonts w:ascii="Arial" w:hAnsi="Arial" w:cs="Arial"/>
          <w:sz w:val="22"/>
          <w:szCs w:val="22"/>
        </w:rPr>
        <w:t xml:space="preserve"> efectuada el</w:t>
      </w:r>
      <w:r w:rsidR="004F4D93">
        <w:rPr>
          <w:rFonts w:ascii="Arial" w:hAnsi="Arial" w:cs="Arial"/>
          <w:sz w:val="22"/>
          <w:szCs w:val="22"/>
        </w:rPr>
        <w:t xml:space="preserve"> día cuatro</w:t>
      </w:r>
      <w:r w:rsidRPr="004F4D93">
        <w:rPr>
          <w:rFonts w:ascii="Arial" w:hAnsi="Arial" w:cs="Arial"/>
          <w:sz w:val="22"/>
          <w:szCs w:val="22"/>
        </w:rPr>
        <w:t xml:space="preserve"> de </w:t>
      </w:r>
      <w:r w:rsidR="004F4D93">
        <w:rPr>
          <w:rFonts w:ascii="Arial" w:hAnsi="Arial" w:cs="Arial"/>
          <w:sz w:val="22"/>
          <w:szCs w:val="22"/>
        </w:rPr>
        <w:t>abril</w:t>
      </w:r>
      <w:r w:rsidRPr="004F4D93">
        <w:rPr>
          <w:rFonts w:ascii="Arial" w:hAnsi="Arial" w:cs="Arial"/>
          <w:sz w:val="22"/>
          <w:szCs w:val="22"/>
        </w:rPr>
        <w:t xml:space="preserve"> del año dos</w:t>
      </w:r>
      <w:r w:rsidR="004F4D93">
        <w:rPr>
          <w:rFonts w:ascii="Arial" w:hAnsi="Arial" w:cs="Arial"/>
          <w:sz w:val="22"/>
          <w:szCs w:val="22"/>
        </w:rPr>
        <w:t xml:space="preserve"> mil veinticinco, por votación unánime</w:t>
      </w:r>
      <w:r w:rsidRPr="004F4D93">
        <w:rPr>
          <w:rFonts w:ascii="Arial" w:hAnsi="Arial" w:cs="Arial"/>
          <w:sz w:val="22"/>
          <w:szCs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4F4D93">
        <w:rPr>
          <w:rFonts w:ascii="Arial" w:hAnsi="Arial" w:cs="Arial"/>
          <w:sz w:val="22"/>
          <w:szCs w:val="22"/>
        </w:rPr>
        <w:t>Beaurregard</w:t>
      </w:r>
      <w:proofErr w:type="spellEnd"/>
      <w:r w:rsidRPr="004F4D93">
        <w:rPr>
          <w:rFonts w:ascii="Arial" w:hAnsi="Arial" w:cs="Arial"/>
          <w:sz w:val="22"/>
          <w:szCs w:val="22"/>
        </w:rPr>
        <w:t xml:space="preserve">, Mtra. Ruth </w:t>
      </w:r>
      <w:proofErr w:type="spellStart"/>
      <w:r w:rsidRPr="004F4D93">
        <w:rPr>
          <w:rFonts w:ascii="Arial" w:hAnsi="Arial" w:cs="Arial"/>
          <w:sz w:val="22"/>
          <w:szCs w:val="22"/>
        </w:rPr>
        <w:t>Lizette</w:t>
      </w:r>
      <w:proofErr w:type="spellEnd"/>
      <w:r w:rsidRPr="004F4D93">
        <w:rPr>
          <w:rFonts w:ascii="Arial" w:hAnsi="Arial" w:cs="Arial"/>
          <w:sz w:val="22"/>
          <w:szCs w:val="22"/>
        </w:rPr>
        <w:t xml:space="preserve"> Toledo Peral y la Consejera Presidenta, Mtra. Elizabeth Nava Gutiérrez.</w:t>
      </w:r>
    </w:p>
    <w:p w14:paraId="204B3CE3" w14:textId="105FDD86" w:rsidR="00064C45" w:rsidRDefault="00064C45" w:rsidP="0092623C">
      <w:pPr>
        <w:rPr>
          <w:rFonts w:ascii="Arial" w:hAnsi="Arial" w:cs="Arial"/>
          <w:sz w:val="22"/>
          <w:szCs w:val="22"/>
        </w:rPr>
      </w:pPr>
    </w:p>
    <w:p w14:paraId="48C2271C" w14:textId="77777777" w:rsidR="004F4D93" w:rsidRPr="004F4D93" w:rsidRDefault="004F4D93" w:rsidP="0092623C">
      <w:pPr>
        <w:rPr>
          <w:rFonts w:ascii="Arial" w:hAnsi="Arial" w:cs="Arial"/>
          <w:sz w:val="22"/>
          <w:szCs w:val="22"/>
        </w:rPr>
      </w:pPr>
    </w:p>
    <w:p w14:paraId="421CF9E1" w14:textId="77777777" w:rsidR="0092623C" w:rsidRPr="004F4D93" w:rsidRDefault="0092623C" w:rsidP="0092623C">
      <w:pPr>
        <w:rPr>
          <w:rFonts w:ascii="Arial" w:hAnsi="Arial" w:cs="Arial"/>
          <w:sz w:val="22"/>
          <w:szCs w:val="22"/>
        </w:rPr>
      </w:pPr>
    </w:p>
    <w:tbl>
      <w:tblPr>
        <w:tblStyle w:val="Tablaconcuadrcula"/>
        <w:tblW w:w="9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9"/>
        <w:gridCol w:w="247"/>
        <w:gridCol w:w="4402"/>
      </w:tblGrid>
      <w:tr w:rsidR="004F4D93" w:rsidRPr="004F4D93" w14:paraId="56D5E08C" w14:textId="77777777" w:rsidTr="004F4D93">
        <w:trPr>
          <w:trHeight w:val="975"/>
        </w:trPr>
        <w:tc>
          <w:tcPr>
            <w:tcW w:w="4599" w:type="dxa"/>
          </w:tcPr>
          <w:p w14:paraId="6CAB017B" w14:textId="77777777" w:rsidR="0092623C" w:rsidRPr="004F4D93" w:rsidRDefault="0092623C" w:rsidP="00B67BCA">
            <w:pPr>
              <w:spacing w:before="0" w:after="0" w:line="288" w:lineRule="auto"/>
              <w:jc w:val="center"/>
              <w:rPr>
                <w:rFonts w:ascii="Arial" w:hAnsi="Arial" w:cs="Arial"/>
                <w:b/>
                <w:bCs/>
                <w:sz w:val="22"/>
                <w:szCs w:val="22"/>
              </w:rPr>
            </w:pPr>
            <w:r w:rsidRPr="004F4D93">
              <w:rPr>
                <w:rFonts w:ascii="Arial" w:hAnsi="Arial" w:cs="Arial"/>
                <w:b/>
                <w:bCs/>
                <w:sz w:val="22"/>
                <w:szCs w:val="22"/>
              </w:rPr>
              <w:t>MTRA. ELIZABETH NAVA GUTIÉRREZ</w:t>
            </w:r>
          </w:p>
          <w:p w14:paraId="7764B63B" w14:textId="77777777" w:rsidR="0092623C" w:rsidRPr="004F4D93" w:rsidRDefault="0092623C" w:rsidP="00B67BCA">
            <w:pPr>
              <w:spacing w:before="0" w:after="0" w:line="288" w:lineRule="auto"/>
              <w:jc w:val="center"/>
              <w:rPr>
                <w:rFonts w:ascii="Arial" w:hAnsi="Arial" w:cs="Arial"/>
                <w:b/>
                <w:bCs/>
                <w:sz w:val="22"/>
                <w:szCs w:val="22"/>
              </w:rPr>
            </w:pPr>
            <w:r w:rsidRPr="004F4D93">
              <w:rPr>
                <w:rFonts w:ascii="Arial" w:hAnsi="Arial" w:cs="Arial"/>
                <w:b/>
                <w:bCs/>
                <w:sz w:val="22"/>
                <w:szCs w:val="22"/>
              </w:rPr>
              <w:t>CONSEJERA PRESIDENTA</w:t>
            </w:r>
          </w:p>
        </w:tc>
        <w:tc>
          <w:tcPr>
            <w:tcW w:w="247" w:type="dxa"/>
          </w:tcPr>
          <w:p w14:paraId="6DAFDAA9" w14:textId="77777777" w:rsidR="0092623C" w:rsidRPr="004F4D93" w:rsidRDefault="0092623C" w:rsidP="00B67BCA">
            <w:pPr>
              <w:spacing w:before="0" w:after="0" w:line="288" w:lineRule="auto"/>
              <w:rPr>
                <w:rFonts w:ascii="Arial" w:hAnsi="Arial" w:cs="Arial"/>
                <w:b/>
                <w:bCs/>
                <w:sz w:val="22"/>
                <w:szCs w:val="22"/>
              </w:rPr>
            </w:pPr>
          </w:p>
        </w:tc>
        <w:tc>
          <w:tcPr>
            <w:tcW w:w="4402" w:type="dxa"/>
          </w:tcPr>
          <w:p w14:paraId="0E646E86" w14:textId="77777777" w:rsidR="0092623C" w:rsidRPr="004F4D93" w:rsidRDefault="0092623C" w:rsidP="00B67BCA">
            <w:pPr>
              <w:spacing w:before="0" w:after="0" w:line="288" w:lineRule="auto"/>
              <w:jc w:val="center"/>
              <w:rPr>
                <w:rFonts w:ascii="Arial" w:hAnsi="Arial" w:cs="Arial"/>
                <w:b/>
                <w:bCs/>
                <w:sz w:val="22"/>
                <w:szCs w:val="22"/>
              </w:rPr>
            </w:pPr>
            <w:r w:rsidRPr="004F4D93">
              <w:rPr>
                <w:rFonts w:ascii="Arial" w:hAnsi="Arial" w:cs="Arial"/>
                <w:b/>
                <w:bCs/>
                <w:sz w:val="22"/>
                <w:szCs w:val="22"/>
              </w:rPr>
              <w:t>LIC. JORGE ALBERTO ZAVALA FRÍAS</w:t>
            </w:r>
          </w:p>
          <w:p w14:paraId="3DF0B829" w14:textId="77777777" w:rsidR="0092623C" w:rsidRPr="004F4D93" w:rsidRDefault="0092623C" w:rsidP="00B67BCA">
            <w:pPr>
              <w:spacing w:before="0" w:after="0" w:line="288" w:lineRule="auto"/>
              <w:jc w:val="center"/>
              <w:rPr>
                <w:rFonts w:ascii="Arial" w:hAnsi="Arial" w:cs="Arial"/>
                <w:b/>
                <w:bCs/>
                <w:sz w:val="22"/>
                <w:szCs w:val="22"/>
              </w:rPr>
            </w:pPr>
            <w:r w:rsidRPr="004F4D93">
              <w:rPr>
                <w:rFonts w:ascii="Arial" w:hAnsi="Arial" w:cs="Arial"/>
                <w:b/>
                <w:bCs/>
                <w:sz w:val="22"/>
                <w:szCs w:val="22"/>
              </w:rPr>
              <w:t>SECRETARIO DEL CONSEJO</w:t>
            </w:r>
          </w:p>
        </w:tc>
      </w:tr>
    </w:tbl>
    <w:p w14:paraId="41A6B330" w14:textId="77777777" w:rsidR="00A4549F" w:rsidRPr="004F4D93" w:rsidRDefault="00A4549F" w:rsidP="002E4212">
      <w:pPr>
        <w:rPr>
          <w:rFonts w:ascii="Arial" w:hAnsi="Arial" w:cs="Arial"/>
          <w:sz w:val="22"/>
          <w:szCs w:val="22"/>
        </w:rPr>
      </w:pPr>
    </w:p>
    <w:sectPr w:rsidR="00A4549F" w:rsidRPr="004F4D93" w:rsidSect="00D26686">
      <w:headerReference w:type="default" r:id="rId7"/>
      <w:footerReference w:type="default" r:id="rId8"/>
      <w:pgSz w:w="12240" w:h="15840"/>
      <w:pgMar w:top="326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65E77" w14:textId="77777777" w:rsidR="00B72BDF" w:rsidRDefault="00B72BDF" w:rsidP="00A4549F">
      <w:pPr>
        <w:spacing w:before="0" w:after="0" w:line="240" w:lineRule="auto"/>
      </w:pPr>
      <w:r>
        <w:separator/>
      </w:r>
    </w:p>
  </w:endnote>
  <w:endnote w:type="continuationSeparator" w:id="0">
    <w:p w14:paraId="76DADCC3" w14:textId="77777777" w:rsidR="00B72BDF" w:rsidRDefault="00B72BDF" w:rsidP="00A4549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8F1410F-26B0-4A07-824F-68874C67A953}"/>
    <w:embedBold r:id="rId2" w:fontKey="{4921F4EA-F799-479F-ADBF-142F26A980DD}"/>
    <w:embedItalic r:id="rId3" w:fontKey="{D84C8F80-8C1B-4EAE-A689-B7B357A9A224}"/>
  </w:font>
  <w:font w:name="Exo">
    <w:altName w:val="Times New Roman"/>
    <w:charset w:val="00"/>
    <w:family w:val="auto"/>
    <w:pitch w:val="variable"/>
    <w:sig w:usb0="A00000FF" w:usb1="4000204B" w:usb2="00000000" w:usb3="00000000" w:csb0="00000193" w:csb1="00000000"/>
    <w:embedRegular r:id="rId4" w:fontKey="{37DED048-8881-425F-9008-6882229AE6E2}"/>
    <w:embedBold r:id="rId5" w:fontKey="{70632345-2F7A-4DEA-A811-C06B958C6E13}"/>
    <w:embedItalic r:id="rId6" w:fontKey="{0DBA8CF3-6CC6-4530-9FCA-19BF16AB6F7F}"/>
  </w:font>
  <w:font w:name="Aptos Display">
    <w:charset w:val="00"/>
    <w:family w:val="swiss"/>
    <w:pitch w:val="variable"/>
    <w:sig w:usb0="20000287" w:usb1="00000003" w:usb2="00000000" w:usb3="00000000" w:csb0="0000019F" w:csb1="00000000"/>
    <w:embedRegular r:id="rId7" w:fontKey="{D36B642D-C0A5-476D-85AD-103D389AB7D9}"/>
  </w:font>
  <w:font w:name="Segoe UI">
    <w:panose1 w:val="020B0502040204020203"/>
    <w:charset w:val="00"/>
    <w:family w:val="swiss"/>
    <w:pitch w:val="variable"/>
    <w:sig w:usb0="E4002EFF" w:usb1="C000E47F" w:usb2="00000009" w:usb3="00000000" w:csb0="000001FF" w:csb1="00000000"/>
    <w:embedRegular r:id="rId8" w:fontKey="{FA25F7F0-CCB6-4778-A1D6-9670305D96CD}"/>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901525023"/>
      <w:docPartObj>
        <w:docPartGallery w:val="Page Numbers (Top of Page)"/>
        <w:docPartUnique/>
      </w:docPartObj>
    </w:sdtPr>
    <w:sdtEndPr/>
    <w:sdtContent>
      <w:p w14:paraId="285CE4EB" w14:textId="2711C6BF" w:rsidR="00A4549F" w:rsidRPr="004F4D93" w:rsidRDefault="00A4549F" w:rsidP="00A4549F">
        <w:pPr>
          <w:pStyle w:val="Piedepgina"/>
          <w:spacing w:before="120"/>
          <w:jc w:val="right"/>
          <w:rPr>
            <w:rFonts w:ascii="Arial" w:hAnsi="Arial" w:cs="Arial"/>
            <w:color w:val="993366"/>
            <w:sz w:val="20"/>
            <w:szCs w:val="20"/>
          </w:rPr>
        </w:pPr>
        <w:r w:rsidRPr="004F4D93">
          <w:rPr>
            <w:rFonts w:ascii="Arial" w:hAnsi="Arial" w:cs="Arial"/>
            <w:b/>
            <w:bCs/>
            <w:color w:val="993366"/>
          </w:rPr>
          <w:t xml:space="preserve">Página </w:t>
        </w:r>
        <w:r w:rsidRPr="004F4D93">
          <w:rPr>
            <w:rFonts w:ascii="Arial" w:hAnsi="Arial" w:cs="Arial"/>
            <w:b/>
            <w:bCs/>
            <w:color w:val="993366"/>
          </w:rPr>
          <w:fldChar w:fldCharType="begin"/>
        </w:r>
        <w:r w:rsidRPr="004F4D93">
          <w:rPr>
            <w:rFonts w:ascii="Arial" w:hAnsi="Arial" w:cs="Arial"/>
            <w:b/>
            <w:bCs/>
            <w:color w:val="993366"/>
          </w:rPr>
          <w:instrText>PAGE</w:instrText>
        </w:r>
        <w:r w:rsidRPr="004F4D93">
          <w:rPr>
            <w:rFonts w:ascii="Arial" w:hAnsi="Arial" w:cs="Arial"/>
            <w:b/>
            <w:bCs/>
            <w:color w:val="993366"/>
          </w:rPr>
          <w:fldChar w:fldCharType="separate"/>
        </w:r>
        <w:r w:rsidR="004F4D93">
          <w:rPr>
            <w:rFonts w:ascii="Arial" w:hAnsi="Arial" w:cs="Arial"/>
            <w:b/>
            <w:bCs/>
            <w:noProof/>
            <w:color w:val="993366"/>
          </w:rPr>
          <w:t>14</w:t>
        </w:r>
        <w:r w:rsidRPr="004F4D93">
          <w:rPr>
            <w:rFonts w:ascii="Arial" w:hAnsi="Arial" w:cs="Arial"/>
            <w:b/>
            <w:bCs/>
            <w:color w:val="993366"/>
          </w:rPr>
          <w:fldChar w:fldCharType="end"/>
        </w:r>
        <w:r w:rsidRPr="004F4D93">
          <w:rPr>
            <w:rFonts w:ascii="Arial" w:hAnsi="Arial" w:cs="Arial"/>
            <w:b/>
            <w:bCs/>
            <w:color w:val="993366"/>
          </w:rPr>
          <w:t xml:space="preserve"> | </w:t>
        </w:r>
        <w:r w:rsidRPr="004F4D93">
          <w:rPr>
            <w:rFonts w:ascii="Arial" w:hAnsi="Arial" w:cs="Arial"/>
            <w:b/>
            <w:bCs/>
            <w:color w:val="993366"/>
          </w:rPr>
          <w:fldChar w:fldCharType="begin"/>
        </w:r>
        <w:r w:rsidRPr="004F4D93">
          <w:rPr>
            <w:rFonts w:ascii="Arial" w:hAnsi="Arial" w:cs="Arial"/>
            <w:b/>
            <w:bCs/>
            <w:color w:val="993366"/>
          </w:rPr>
          <w:instrText>NUMPAGES</w:instrText>
        </w:r>
        <w:r w:rsidRPr="004F4D93">
          <w:rPr>
            <w:rFonts w:ascii="Arial" w:hAnsi="Arial" w:cs="Arial"/>
            <w:b/>
            <w:bCs/>
            <w:color w:val="993366"/>
          </w:rPr>
          <w:fldChar w:fldCharType="separate"/>
        </w:r>
        <w:r w:rsidR="004F4D93">
          <w:rPr>
            <w:rFonts w:ascii="Arial" w:hAnsi="Arial" w:cs="Arial"/>
            <w:b/>
            <w:bCs/>
            <w:noProof/>
            <w:color w:val="993366"/>
          </w:rPr>
          <w:t>14</w:t>
        </w:r>
        <w:r w:rsidRPr="004F4D93">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4D87E" w14:textId="77777777" w:rsidR="00B72BDF" w:rsidRDefault="00B72BDF" w:rsidP="00A4549F">
      <w:pPr>
        <w:spacing w:before="0" w:after="0" w:line="240" w:lineRule="auto"/>
      </w:pPr>
      <w:r>
        <w:separator/>
      </w:r>
    </w:p>
  </w:footnote>
  <w:footnote w:type="continuationSeparator" w:id="0">
    <w:p w14:paraId="78FAD147" w14:textId="77777777" w:rsidR="00B72BDF" w:rsidRDefault="00B72BDF" w:rsidP="00A4549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A4549F" w14:paraId="48F2340D" w14:textId="77777777" w:rsidTr="00B67BCA">
      <w:tc>
        <w:tcPr>
          <w:tcW w:w="1813" w:type="dxa"/>
        </w:tcPr>
        <w:p w14:paraId="11D16CA1" w14:textId="77777777" w:rsidR="00A4549F" w:rsidRDefault="00A4549F" w:rsidP="00A4549F">
          <w:pPr>
            <w:pStyle w:val="Encabezado"/>
          </w:pPr>
          <w:r>
            <w:rPr>
              <w:b/>
              <w:noProof/>
              <w:sz w:val="32"/>
              <w:lang w:val="es-MX" w:eastAsia="es-MX"/>
            </w:rPr>
            <w:drawing>
              <wp:inline distT="0" distB="0" distL="0" distR="0" wp14:anchorId="0EC3B49C" wp14:editId="04F48F01">
                <wp:extent cx="1014331" cy="1199403"/>
                <wp:effectExtent l="0" t="0" r="0" b="1270"/>
                <wp:docPr id="1587872997" name="Imagen 1587872997"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2A41161C" w14:textId="77777777" w:rsidR="00A4549F" w:rsidRPr="00B33A23" w:rsidRDefault="00A4549F" w:rsidP="00A4549F">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14:paraId="1DF9FDCD" w14:textId="77777777" w:rsidR="00A4549F" w:rsidRDefault="00A4549F" w:rsidP="00A4549F">
          <w:pPr>
            <w:pStyle w:val="Encabezado"/>
            <w:spacing w:before="60"/>
            <w:jc w:val="center"/>
          </w:pPr>
          <w:r w:rsidRPr="00B33A23">
            <w:rPr>
              <w:rFonts w:ascii="Arial" w:hAnsi="Arial" w:cs="Arial"/>
              <w:b/>
              <w:bCs/>
              <w:sz w:val="28"/>
              <w:szCs w:val="28"/>
            </w:rPr>
            <w:t>CONSEJO ESTATAL</w:t>
          </w:r>
        </w:p>
      </w:tc>
      <w:tc>
        <w:tcPr>
          <w:tcW w:w="1560" w:type="dxa"/>
        </w:tcPr>
        <w:p w14:paraId="1A8A5BD8" w14:textId="77777777" w:rsidR="00A4549F" w:rsidRDefault="00A4549F" w:rsidP="00A4549F">
          <w:pPr>
            <w:pStyle w:val="Encabezado"/>
            <w:spacing w:before="480"/>
            <w:jc w:val="right"/>
          </w:pPr>
          <w:r>
            <w:rPr>
              <w:noProof/>
              <w:lang w:val="es-MX" w:eastAsia="es-MX"/>
            </w:rPr>
            <w:drawing>
              <wp:inline distT="0" distB="0" distL="0" distR="0" wp14:anchorId="351ED408" wp14:editId="7AB9195C">
                <wp:extent cx="921600" cy="756000"/>
                <wp:effectExtent l="0" t="0" r="0" b="6350"/>
                <wp:docPr id="146893042"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44005C1C" w14:textId="145928AB" w:rsidR="00A4549F" w:rsidRPr="004F4D93" w:rsidRDefault="004F4D93" w:rsidP="004F4D93">
    <w:pPr>
      <w:pStyle w:val="Encabezado"/>
      <w:jc w:val="right"/>
      <w:rPr>
        <w:rFonts w:ascii="Arial" w:hAnsi="Arial" w:cs="Arial"/>
        <w:b/>
      </w:rPr>
    </w:pPr>
    <w:r w:rsidRPr="004F4D93">
      <w:rPr>
        <w:rFonts w:ascii="Arial" w:hAnsi="Arial" w:cs="Arial"/>
        <w:b/>
      </w:rPr>
      <w:t>CE/2025/040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C7447"/>
    <w:multiLevelType w:val="hybridMultilevel"/>
    <w:tmpl w:val="70D6619C"/>
    <w:lvl w:ilvl="0" w:tplc="8BACB8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9BD74A4"/>
    <w:multiLevelType w:val="hybridMultilevel"/>
    <w:tmpl w:val="2AF21598"/>
    <w:lvl w:ilvl="0" w:tplc="DAFCA95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553CF3"/>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41970044"/>
    <w:multiLevelType w:val="hybridMultilevel"/>
    <w:tmpl w:val="1A045F6A"/>
    <w:lvl w:ilvl="0" w:tplc="B762C77A">
      <w:start w:val="1"/>
      <w:numFmt w:val="lowerLetter"/>
      <w:lvlText w:val="%1)"/>
      <w:lvlJc w:val="left"/>
      <w:pPr>
        <w:ind w:left="1065" w:hanging="705"/>
      </w:pPr>
      <w:rPr>
        <w:rFonts w:hint="default"/>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6A01C06"/>
    <w:multiLevelType w:val="hybridMultilevel"/>
    <w:tmpl w:val="9CDAFB9E"/>
    <w:lvl w:ilvl="0" w:tplc="EBB62F9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5BD840C9"/>
    <w:multiLevelType w:val="hybridMultilevel"/>
    <w:tmpl w:val="1CB83EDC"/>
    <w:lvl w:ilvl="0" w:tplc="E304C2F6">
      <w:start w:val="1"/>
      <w:numFmt w:val="lowerLetter"/>
      <w:lvlText w:val="%1)"/>
      <w:lvlJc w:val="left"/>
      <w:pPr>
        <w:ind w:left="1425" w:hanging="70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5"/>
  </w:num>
  <w:num w:numId="2">
    <w:abstractNumId w:val="4"/>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519"/>
    <w:rsid w:val="00064C45"/>
    <w:rsid w:val="00093DDE"/>
    <w:rsid w:val="00097C3E"/>
    <w:rsid w:val="001C213E"/>
    <w:rsid w:val="002B3B23"/>
    <w:rsid w:val="002E4212"/>
    <w:rsid w:val="00344F9D"/>
    <w:rsid w:val="00374705"/>
    <w:rsid w:val="003E283A"/>
    <w:rsid w:val="00452982"/>
    <w:rsid w:val="004F4D93"/>
    <w:rsid w:val="00563CEA"/>
    <w:rsid w:val="00566D22"/>
    <w:rsid w:val="0068747A"/>
    <w:rsid w:val="00745A85"/>
    <w:rsid w:val="00747D4B"/>
    <w:rsid w:val="007610F7"/>
    <w:rsid w:val="008328B2"/>
    <w:rsid w:val="00844C52"/>
    <w:rsid w:val="00880360"/>
    <w:rsid w:val="008E2C11"/>
    <w:rsid w:val="008F09EC"/>
    <w:rsid w:val="00901519"/>
    <w:rsid w:val="0092623C"/>
    <w:rsid w:val="00963B45"/>
    <w:rsid w:val="00A10273"/>
    <w:rsid w:val="00A1028F"/>
    <w:rsid w:val="00A4549F"/>
    <w:rsid w:val="00A6180A"/>
    <w:rsid w:val="00B00F7B"/>
    <w:rsid w:val="00B33967"/>
    <w:rsid w:val="00B72BDF"/>
    <w:rsid w:val="00BA0745"/>
    <w:rsid w:val="00D03FF7"/>
    <w:rsid w:val="00D26686"/>
    <w:rsid w:val="00EB4F0E"/>
    <w:rsid w:val="00EC2E19"/>
    <w:rsid w:val="00ED5258"/>
    <w:rsid w:val="00F152E3"/>
    <w:rsid w:val="00F63E10"/>
    <w:rsid w:val="00F731C0"/>
    <w:rsid w:val="00FD4D54"/>
    <w:rsid w:val="00FD56DF"/>
    <w:rsid w:val="00FD62E3"/>
    <w:rsid w:val="00FF3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FFE9E"/>
  <w15:chartTrackingRefBased/>
  <w15:docId w15:val="{5927376D-2284-4E4C-B293-6A20985FC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519"/>
    <w:pPr>
      <w:widowControl w:val="0"/>
      <w:spacing w:before="240" w:after="240" w:line="276" w:lineRule="auto"/>
      <w:jc w:val="both"/>
    </w:pPr>
    <w:rPr>
      <w:rFonts w:ascii="Exo" w:hAnsi="Exo"/>
      <w:lang w:val="es-ES"/>
    </w:rPr>
  </w:style>
  <w:style w:type="paragraph" w:styleId="Ttulo1">
    <w:name w:val="heading 1"/>
    <w:basedOn w:val="Normal"/>
    <w:next w:val="Normal"/>
    <w:link w:val="Ttulo1Car"/>
    <w:uiPriority w:val="9"/>
    <w:qFormat/>
    <w:rsid w:val="00901519"/>
    <w:pPr>
      <w:keepNext/>
      <w:keepLines/>
      <w:numPr>
        <w:numId w:val="6"/>
      </w:numPr>
      <w:spacing w:before="600" w:after="36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901519"/>
    <w:pPr>
      <w:keepNext/>
      <w:keepLines/>
      <w:numPr>
        <w:ilvl w:val="1"/>
        <w:numId w:val="6"/>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unhideWhenUsed/>
    <w:qFormat/>
    <w:rsid w:val="00901519"/>
    <w:pPr>
      <w:keepNext/>
      <w:keepLines/>
      <w:numPr>
        <w:ilvl w:val="2"/>
        <w:numId w:val="6"/>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01519"/>
    <w:pPr>
      <w:keepNext/>
      <w:keepLines/>
      <w:numPr>
        <w:ilvl w:val="3"/>
        <w:numId w:val="6"/>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01519"/>
    <w:pPr>
      <w:keepNext/>
      <w:keepLines/>
      <w:numPr>
        <w:ilvl w:val="4"/>
        <w:numId w:val="6"/>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1519"/>
    <w:pPr>
      <w:keepNext/>
      <w:keepLines/>
      <w:numPr>
        <w:ilvl w:val="5"/>
        <w:numId w:val="6"/>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1519"/>
    <w:pPr>
      <w:keepNext/>
      <w:keepLines/>
      <w:numPr>
        <w:ilvl w:val="6"/>
        <w:numId w:val="6"/>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1519"/>
    <w:pPr>
      <w:keepNext/>
      <w:keepLines/>
      <w:numPr>
        <w:ilvl w:val="7"/>
        <w:numId w:val="6"/>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1519"/>
    <w:pPr>
      <w:keepNext/>
      <w:keepLines/>
      <w:numPr>
        <w:ilvl w:val="8"/>
        <w:numId w:val="6"/>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1519"/>
    <w:rPr>
      <w:rFonts w:ascii="Exo" w:eastAsiaTheme="majorEastAsia" w:hAnsi="Exo" w:cstheme="majorBidi"/>
      <w:b/>
      <w:bCs/>
      <w:color w:val="0F4761" w:themeColor="accent1" w:themeShade="BF"/>
      <w:sz w:val="28"/>
      <w:szCs w:val="28"/>
      <w:lang w:val="es-ES"/>
    </w:rPr>
  </w:style>
  <w:style w:type="character" w:customStyle="1" w:styleId="Ttulo2Car">
    <w:name w:val="Título 2 Car"/>
    <w:basedOn w:val="Fuentedeprrafopredeter"/>
    <w:link w:val="Ttulo2"/>
    <w:uiPriority w:val="9"/>
    <w:rsid w:val="00901519"/>
    <w:rPr>
      <w:rFonts w:ascii="Exo" w:eastAsiaTheme="majorEastAsia" w:hAnsi="Exo" w:cstheme="majorBidi"/>
      <w:b/>
      <w:bCs/>
      <w:color w:val="0F4761" w:themeColor="accent1" w:themeShade="BF"/>
      <w:lang w:val="es-ES"/>
    </w:rPr>
  </w:style>
  <w:style w:type="character" w:customStyle="1" w:styleId="Ttulo3Car">
    <w:name w:val="Título 3 Car"/>
    <w:basedOn w:val="Fuentedeprrafopredeter"/>
    <w:link w:val="Ttulo3"/>
    <w:uiPriority w:val="9"/>
    <w:semiHidden/>
    <w:rsid w:val="0090151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0151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0151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151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151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151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1519"/>
    <w:rPr>
      <w:rFonts w:eastAsiaTheme="majorEastAsia" w:cstheme="majorBidi"/>
      <w:color w:val="272727" w:themeColor="text1" w:themeTint="D8"/>
    </w:rPr>
  </w:style>
  <w:style w:type="paragraph" w:styleId="Ttulo">
    <w:name w:val="Title"/>
    <w:basedOn w:val="Normal"/>
    <w:next w:val="Normal"/>
    <w:link w:val="TtuloCar"/>
    <w:uiPriority w:val="10"/>
    <w:qFormat/>
    <w:rsid w:val="009015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151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151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151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1519"/>
    <w:pPr>
      <w:spacing w:before="160"/>
      <w:jc w:val="center"/>
    </w:pPr>
    <w:rPr>
      <w:i/>
      <w:iCs/>
      <w:color w:val="404040" w:themeColor="text1" w:themeTint="BF"/>
    </w:rPr>
  </w:style>
  <w:style w:type="character" w:customStyle="1" w:styleId="CitaCar">
    <w:name w:val="Cita Car"/>
    <w:basedOn w:val="Fuentedeprrafopredeter"/>
    <w:link w:val="Cita"/>
    <w:uiPriority w:val="29"/>
    <w:rsid w:val="00901519"/>
    <w:rPr>
      <w:i/>
      <w:iCs/>
      <w:color w:val="404040" w:themeColor="text1" w:themeTint="BF"/>
    </w:rPr>
  </w:style>
  <w:style w:type="paragraph" w:styleId="Prrafodelista">
    <w:name w:val="List Paragraph"/>
    <w:basedOn w:val="Normal"/>
    <w:uiPriority w:val="34"/>
    <w:qFormat/>
    <w:rsid w:val="00901519"/>
    <w:pPr>
      <w:ind w:left="720"/>
      <w:contextualSpacing/>
    </w:pPr>
  </w:style>
  <w:style w:type="character" w:styleId="nfasisintenso">
    <w:name w:val="Intense Emphasis"/>
    <w:basedOn w:val="Fuentedeprrafopredeter"/>
    <w:uiPriority w:val="21"/>
    <w:qFormat/>
    <w:rsid w:val="00901519"/>
    <w:rPr>
      <w:i/>
      <w:iCs/>
      <w:color w:val="0F4761" w:themeColor="accent1" w:themeShade="BF"/>
    </w:rPr>
  </w:style>
  <w:style w:type="paragraph" w:styleId="Citadestacada">
    <w:name w:val="Intense Quote"/>
    <w:basedOn w:val="Normal"/>
    <w:next w:val="Normal"/>
    <w:link w:val="CitadestacadaCar"/>
    <w:uiPriority w:val="30"/>
    <w:qFormat/>
    <w:rsid w:val="009015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1519"/>
    <w:rPr>
      <w:i/>
      <w:iCs/>
      <w:color w:val="0F4761" w:themeColor="accent1" w:themeShade="BF"/>
    </w:rPr>
  </w:style>
  <w:style w:type="character" w:styleId="Referenciaintensa">
    <w:name w:val="Intense Reference"/>
    <w:basedOn w:val="Fuentedeprrafopredeter"/>
    <w:uiPriority w:val="32"/>
    <w:qFormat/>
    <w:rsid w:val="00901519"/>
    <w:rPr>
      <w:b/>
      <w:bCs/>
      <w:smallCaps/>
      <w:color w:val="0F4761" w:themeColor="accent1" w:themeShade="BF"/>
      <w:spacing w:val="5"/>
    </w:rPr>
  </w:style>
  <w:style w:type="paragraph" w:styleId="Encabezado">
    <w:name w:val="header"/>
    <w:basedOn w:val="Normal"/>
    <w:link w:val="EncabezadoCar"/>
    <w:uiPriority w:val="99"/>
    <w:unhideWhenUsed/>
    <w:rsid w:val="00A4549F"/>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A4549F"/>
    <w:rPr>
      <w:rFonts w:ascii="Exo" w:hAnsi="Exo"/>
      <w:lang w:val="es-ES"/>
    </w:rPr>
  </w:style>
  <w:style w:type="paragraph" w:styleId="Piedepgina">
    <w:name w:val="footer"/>
    <w:basedOn w:val="Normal"/>
    <w:link w:val="PiedepginaCar"/>
    <w:uiPriority w:val="99"/>
    <w:unhideWhenUsed/>
    <w:rsid w:val="00A4549F"/>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A4549F"/>
    <w:rPr>
      <w:rFonts w:ascii="Exo" w:hAnsi="Exo"/>
      <w:lang w:val="es-ES"/>
    </w:rPr>
  </w:style>
  <w:style w:type="table" w:styleId="Tablaconcuadrcula">
    <w:name w:val="Table Grid"/>
    <w:basedOn w:val="Tablanormal"/>
    <w:uiPriority w:val="39"/>
    <w:rsid w:val="00A45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F4D93"/>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4D93"/>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96</TotalTime>
  <Pages>14</Pages>
  <Words>4293</Words>
  <Characters>23612</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39</cp:revision>
  <cp:lastPrinted>2025-04-04T23:42:00Z</cp:lastPrinted>
  <dcterms:created xsi:type="dcterms:W3CDTF">2025-04-01T19:40:00Z</dcterms:created>
  <dcterms:modified xsi:type="dcterms:W3CDTF">2025-04-04T23:42:00Z</dcterms:modified>
</cp:coreProperties>
</file>