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B459" w14:textId="03AFE98E" w:rsidR="00C66CF5" w:rsidRPr="00EA5307" w:rsidRDefault="00EA5307" w:rsidP="00C66CF5">
      <w:pPr>
        <w:rPr>
          <w:b/>
          <w:sz w:val="24"/>
          <w:szCs w:val="24"/>
        </w:rPr>
      </w:pPr>
      <w:r w:rsidRPr="00EA5307">
        <w:rPr>
          <w:b/>
          <w:sz w:val="24"/>
          <w:szCs w:val="24"/>
        </w:rPr>
        <w:t>ACUERDO QUE, A PROPUESTA DE LA COMISIÓN TEMPORAL DEL PROGRAMA DE RESULTADOS ELECTORALES PRELIMINARES DEL ESTADO DE TABASCO, EMITE EL CONSEJO ESTATAL DEL INSTITUTO ELECTORAL Y DE PARTICIPACIÓN CIUDADANA DE TABASCO MEDIANTE EL CUAL DESIGNA AL ENTE AUDITOR RESPONSABLE DE LA VERIFICACIÓN Y ANÁLISIS DEL SISTEMA INFORMÁTICO A UTILIZARSE EN LA IMPLEMENTACIÓN Y OPERACIÓN DEL PROGRAMA DE RESULTADOS ELECTORALES PRELIMINARES DEL ESTADO DE TABASCO CON MOTIVO DEL PROCESO ELECTORAL LOCAL ORDINARIO 2023 – 2024</w:t>
      </w:r>
    </w:p>
    <w:p w14:paraId="472F6BA2" w14:textId="77777777" w:rsidR="00C01B57" w:rsidRPr="00D776A7" w:rsidRDefault="00C01B57" w:rsidP="00C01B57">
      <w:pPr>
        <w:widowControl w:val="0"/>
      </w:pPr>
      <w:r w:rsidRPr="00D776A7">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FF7DBD" w:rsidRPr="008220BB" w14:paraId="32056F5B" w14:textId="77777777" w:rsidTr="006C2951">
        <w:trPr>
          <w:trHeight w:val="624"/>
          <w:jc w:val="center"/>
        </w:trPr>
        <w:tc>
          <w:tcPr>
            <w:tcW w:w="2042" w:type="pct"/>
            <w:shd w:val="clear" w:color="auto" w:fill="auto"/>
            <w:vAlign w:val="center"/>
          </w:tcPr>
          <w:p w14:paraId="3CA9090A" w14:textId="77777777" w:rsidR="00FF7DBD" w:rsidRPr="00EA5307" w:rsidRDefault="00FF7DBD" w:rsidP="006C2951">
            <w:pPr>
              <w:widowControl w:val="0"/>
              <w:spacing w:before="60" w:after="60"/>
              <w:ind w:left="57"/>
              <w:jc w:val="right"/>
              <w:rPr>
                <w:b/>
                <w:sz w:val="20"/>
                <w:szCs w:val="20"/>
              </w:rPr>
            </w:pPr>
            <w:r w:rsidRPr="00EA5307">
              <w:rPr>
                <w:b/>
                <w:sz w:val="20"/>
                <w:szCs w:val="20"/>
              </w:rPr>
              <w:t>CATD:</w:t>
            </w:r>
          </w:p>
        </w:tc>
        <w:tc>
          <w:tcPr>
            <w:tcW w:w="2958" w:type="pct"/>
            <w:shd w:val="clear" w:color="auto" w:fill="auto"/>
            <w:vAlign w:val="center"/>
          </w:tcPr>
          <w:p w14:paraId="3BCC91E2" w14:textId="77777777" w:rsidR="00FF7DBD" w:rsidRPr="00EA5307" w:rsidRDefault="00FF7DBD" w:rsidP="006C2951">
            <w:pPr>
              <w:widowControl w:val="0"/>
              <w:spacing w:before="60" w:after="60"/>
              <w:ind w:left="57"/>
              <w:rPr>
                <w:sz w:val="20"/>
                <w:szCs w:val="20"/>
              </w:rPr>
            </w:pPr>
            <w:r w:rsidRPr="00EA5307">
              <w:rPr>
                <w:sz w:val="20"/>
                <w:szCs w:val="20"/>
              </w:rPr>
              <w:t>Centros de Acopio y Transmisión de Datos.</w:t>
            </w:r>
          </w:p>
        </w:tc>
      </w:tr>
      <w:tr w:rsidR="00FF7DBD" w:rsidRPr="008220BB" w14:paraId="5037087E" w14:textId="77777777" w:rsidTr="006C2951">
        <w:trPr>
          <w:trHeight w:val="624"/>
          <w:jc w:val="center"/>
        </w:trPr>
        <w:tc>
          <w:tcPr>
            <w:tcW w:w="2042" w:type="pct"/>
            <w:shd w:val="clear" w:color="auto" w:fill="auto"/>
            <w:vAlign w:val="center"/>
          </w:tcPr>
          <w:p w14:paraId="158DD140" w14:textId="77777777" w:rsidR="00FF7DBD" w:rsidRPr="00EA5307" w:rsidRDefault="00FF7DBD" w:rsidP="006C2951">
            <w:pPr>
              <w:widowControl w:val="0"/>
              <w:spacing w:before="60" w:after="60"/>
              <w:ind w:left="57"/>
              <w:jc w:val="right"/>
              <w:rPr>
                <w:b/>
                <w:sz w:val="20"/>
                <w:szCs w:val="20"/>
              </w:rPr>
            </w:pPr>
            <w:r w:rsidRPr="00EA5307">
              <w:rPr>
                <w:b/>
                <w:sz w:val="20"/>
                <w:szCs w:val="20"/>
              </w:rPr>
              <w:t>CCV:</w:t>
            </w:r>
          </w:p>
        </w:tc>
        <w:tc>
          <w:tcPr>
            <w:tcW w:w="2958" w:type="pct"/>
            <w:shd w:val="clear" w:color="auto" w:fill="auto"/>
            <w:vAlign w:val="center"/>
          </w:tcPr>
          <w:p w14:paraId="7CA139E5" w14:textId="77777777" w:rsidR="00FF7DBD" w:rsidRPr="00EA5307" w:rsidRDefault="00FF7DBD" w:rsidP="006C2951">
            <w:pPr>
              <w:widowControl w:val="0"/>
              <w:spacing w:before="60" w:after="60"/>
              <w:ind w:left="57"/>
              <w:rPr>
                <w:sz w:val="20"/>
                <w:szCs w:val="20"/>
              </w:rPr>
            </w:pPr>
            <w:r w:rsidRPr="00EA5307">
              <w:rPr>
                <w:sz w:val="20"/>
                <w:szCs w:val="20"/>
              </w:rPr>
              <w:t>Centros de Captura y Verificación.</w:t>
            </w:r>
          </w:p>
        </w:tc>
      </w:tr>
      <w:tr w:rsidR="00FF7DBD" w:rsidRPr="008220BB" w14:paraId="301D7324" w14:textId="77777777" w:rsidTr="006C2951">
        <w:trPr>
          <w:trHeight w:val="624"/>
          <w:jc w:val="center"/>
        </w:trPr>
        <w:tc>
          <w:tcPr>
            <w:tcW w:w="2042" w:type="pct"/>
            <w:shd w:val="clear" w:color="auto" w:fill="auto"/>
            <w:vAlign w:val="center"/>
          </w:tcPr>
          <w:p w14:paraId="6A4D9ED1" w14:textId="77777777" w:rsidR="00FF7DBD" w:rsidRPr="00EA5307" w:rsidRDefault="00FF7DBD" w:rsidP="006C2951">
            <w:pPr>
              <w:widowControl w:val="0"/>
              <w:spacing w:before="60" w:after="60"/>
              <w:ind w:left="57"/>
              <w:jc w:val="right"/>
              <w:rPr>
                <w:b/>
                <w:sz w:val="20"/>
                <w:szCs w:val="20"/>
              </w:rPr>
            </w:pPr>
            <w:r w:rsidRPr="00EA5307">
              <w:rPr>
                <w:b/>
                <w:sz w:val="20"/>
                <w:szCs w:val="20"/>
              </w:rPr>
              <w:t>Comisión:</w:t>
            </w:r>
          </w:p>
        </w:tc>
        <w:tc>
          <w:tcPr>
            <w:tcW w:w="2958" w:type="pct"/>
            <w:shd w:val="clear" w:color="auto" w:fill="auto"/>
            <w:vAlign w:val="center"/>
          </w:tcPr>
          <w:p w14:paraId="3ED297FC" w14:textId="77777777" w:rsidR="00FF7DBD" w:rsidRPr="00EA5307" w:rsidRDefault="00FF7DBD" w:rsidP="006C2951">
            <w:pPr>
              <w:widowControl w:val="0"/>
              <w:spacing w:before="60" w:after="60"/>
              <w:ind w:left="57"/>
              <w:rPr>
                <w:sz w:val="20"/>
                <w:szCs w:val="20"/>
              </w:rPr>
            </w:pPr>
            <w:r w:rsidRPr="00EA5307">
              <w:rPr>
                <w:sz w:val="20"/>
                <w:szCs w:val="20"/>
              </w:rPr>
              <w:t>Comisión Temporal del Programa de Resultados Electorales Preliminares del Estado de Tabasco.</w:t>
            </w:r>
          </w:p>
        </w:tc>
      </w:tr>
      <w:tr w:rsidR="00FF7DBD" w:rsidRPr="008220BB" w14:paraId="4388FF6A" w14:textId="77777777" w:rsidTr="006C2951">
        <w:trPr>
          <w:trHeight w:val="624"/>
          <w:jc w:val="center"/>
        </w:trPr>
        <w:tc>
          <w:tcPr>
            <w:tcW w:w="2042" w:type="pct"/>
            <w:shd w:val="clear" w:color="auto" w:fill="auto"/>
            <w:vAlign w:val="center"/>
          </w:tcPr>
          <w:p w14:paraId="74D708B0" w14:textId="77777777" w:rsidR="00FF7DBD" w:rsidRPr="00EA5307" w:rsidRDefault="00FF7DBD" w:rsidP="006C2951">
            <w:pPr>
              <w:widowControl w:val="0"/>
              <w:spacing w:before="60" w:after="60"/>
              <w:ind w:left="57"/>
              <w:jc w:val="right"/>
              <w:rPr>
                <w:b/>
                <w:sz w:val="20"/>
                <w:szCs w:val="20"/>
              </w:rPr>
            </w:pPr>
            <w:r w:rsidRPr="00EA5307">
              <w:rPr>
                <w:b/>
                <w:sz w:val="20"/>
                <w:szCs w:val="20"/>
              </w:rPr>
              <w:t>Comité:</w:t>
            </w:r>
          </w:p>
        </w:tc>
        <w:tc>
          <w:tcPr>
            <w:tcW w:w="2958" w:type="pct"/>
            <w:shd w:val="clear" w:color="auto" w:fill="auto"/>
            <w:vAlign w:val="center"/>
          </w:tcPr>
          <w:p w14:paraId="78753541" w14:textId="77777777" w:rsidR="00FF7DBD" w:rsidRPr="00EA5307" w:rsidRDefault="00FF7DBD" w:rsidP="006C2951">
            <w:pPr>
              <w:widowControl w:val="0"/>
              <w:spacing w:before="60" w:after="60"/>
              <w:ind w:left="57"/>
              <w:rPr>
                <w:sz w:val="20"/>
                <w:szCs w:val="20"/>
              </w:rPr>
            </w:pPr>
            <w:r w:rsidRPr="00EA5307">
              <w:rPr>
                <w:sz w:val="20"/>
                <w:szCs w:val="20"/>
              </w:rPr>
              <w:t>Comité Técnico Asesor para el Programa de Resultados Electorales Preliminares para el Proceso Electoral Local 2023 - 2024.</w:t>
            </w:r>
          </w:p>
        </w:tc>
      </w:tr>
      <w:tr w:rsidR="00FF7DBD" w:rsidRPr="008220BB" w14:paraId="09D96959" w14:textId="77777777" w:rsidTr="006C2951">
        <w:trPr>
          <w:trHeight w:val="624"/>
          <w:jc w:val="center"/>
        </w:trPr>
        <w:tc>
          <w:tcPr>
            <w:tcW w:w="2042" w:type="pct"/>
            <w:shd w:val="clear" w:color="auto" w:fill="auto"/>
            <w:vAlign w:val="center"/>
          </w:tcPr>
          <w:p w14:paraId="79BB68A2" w14:textId="77777777" w:rsidR="00FF7DBD" w:rsidRPr="00EA5307" w:rsidRDefault="00FF7DBD" w:rsidP="006C2951">
            <w:pPr>
              <w:widowControl w:val="0"/>
              <w:spacing w:before="60" w:after="60"/>
              <w:ind w:left="57"/>
              <w:jc w:val="right"/>
              <w:rPr>
                <w:b/>
                <w:sz w:val="20"/>
                <w:szCs w:val="20"/>
              </w:rPr>
            </w:pPr>
            <w:r w:rsidRPr="00EA5307">
              <w:rPr>
                <w:b/>
                <w:sz w:val="20"/>
                <w:szCs w:val="20"/>
              </w:rPr>
              <w:t>Consejo Estatal:</w:t>
            </w:r>
          </w:p>
        </w:tc>
        <w:tc>
          <w:tcPr>
            <w:tcW w:w="2958" w:type="pct"/>
            <w:shd w:val="clear" w:color="auto" w:fill="auto"/>
            <w:vAlign w:val="center"/>
          </w:tcPr>
          <w:p w14:paraId="25AA1AF8" w14:textId="77777777" w:rsidR="00FF7DBD" w:rsidRPr="00EA5307" w:rsidRDefault="00FF7DBD" w:rsidP="006C2951">
            <w:pPr>
              <w:widowControl w:val="0"/>
              <w:spacing w:before="60" w:after="60"/>
              <w:ind w:left="57"/>
              <w:rPr>
                <w:sz w:val="20"/>
                <w:szCs w:val="20"/>
              </w:rPr>
            </w:pPr>
            <w:r w:rsidRPr="00EA5307">
              <w:rPr>
                <w:sz w:val="20"/>
                <w:szCs w:val="20"/>
              </w:rPr>
              <w:t>Consejo Estatal del Instituto Electoral y de Participación Ciudadana de Tabasco.</w:t>
            </w:r>
          </w:p>
        </w:tc>
      </w:tr>
      <w:tr w:rsidR="00FF7DBD" w:rsidRPr="008220BB" w14:paraId="29779F48" w14:textId="77777777" w:rsidTr="006C2951">
        <w:trPr>
          <w:trHeight w:val="624"/>
          <w:jc w:val="center"/>
        </w:trPr>
        <w:tc>
          <w:tcPr>
            <w:tcW w:w="2042" w:type="pct"/>
            <w:shd w:val="clear" w:color="auto" w:fill="auto"/>
            <w:vAlign w:val="center"/>
          </w:tcPr>
          <w:p w14:paraId="74AB3938" w14:textId="77777777" w:rsidR="00FF7DBD" w:rsidRPr="00EA5307" w:rsidRDefault="00FF7DBD" w:rsidP="006C2951">
            <w:pPr>
              <w:widowControl w:val="0"/>
              <w:spacing w:before="60" w:after="60"/>
              <w:ind w:left="57"/>
              <w:jc w:val="right"/>
              <w:rPr>
                <w:b/>
                <w:sz w:val="20"/>
                <w:szCs w:val="20"/>
              </w:rPr>
            </w:pPr>
            <w:r w:rsidRPr="00EA5307">
              <w:rPr>
                <w:b/>
                <w:sz w:val="20"/>
                <w:szCs w:val="20"/>
              </w:rPr>
              <w:t>Consejos Distritales:</w:t>
            </w:r>
          </w:p>
        </w:tc>
        <w:tc>
          <w:tcPr>
            <w:tcW w:w="2958" w:type="pct"/>
            <w:shd w:val="clear" w:color="auto" w:fill="auto"/>
            <w:vAlign w:val="center"/>
          </w:tcPr>
          <w:p w14:paraId="67BF1AE5" w14:textId="77777777" w:rsidR="00FF7DBD" w:rsidRPr="00EA5307" w:rsidRDefault="00FF7DBD" w:rsidP="006C2951">
            <w:pPr>
              <w:widowControl w:val="0"/>
              <w:spacing w:before="60" w:after="60"/>
              <w:ind w:left="57"/>
              <w:rPr>
                <w:sz w:val="20"/>
                <w:szCs w:val="20"/>
              </w:rPr>
            </w:pPr>
            <w:r w:rsidRPr="00EA5307">
              <w:rPr>
                <w:sz w:val="20"/>
                <w:szCs w:val="20"/>
              </w:rPr>
              <w:t>Consejos Electorales Distritales del Instituto Electoral y de Participación Ciudadana de Tabasco.</w:t>
            </w:r>
          </w:p>
        </w:tc>
      </w:tr>
      <w:tr w:rsidR="00FF7DBD" w:rsidRPr="008220BB" w14:paraId="48BAF2EA" w14:textId="77777777" w:rsidTr="006C2951">
        <w:trPr>
          <w:trHeight w:val="624"/>
          <w:jc w:val="center"/>
        </w:trPr>
        <w:tc>
          <w:tcPr>
            <w:tcW w:w="2042" w:type="pct"/>
            <w:shd w:val="clear" w:color="auto" w:fill="auto"/>
            <w:vAlign w:val="center"/>
          </w:tcPr>
          <w:p w14:paraId="6D2649B2" w14:textId="77777777" w:rsidR="00FF7DBD" w:rsidRPr="00EA5307" w:rsidRDefault="00FF7DBD" w:rsidP="006C2951">
            <w:pPr>
              <w:widowControl w:val="0"/>
              <w:spacing w:before="60" w:after="60"/>
              <w:ind w:left="57"/>
              <w:jc w:val="right"/>
              <w:rPr>
                <w:b/>
                <w:sz w:val="20"/>
                <w:szCs w:val="20"/>
              </w:rPr>
            </w:pPr>
            <w:r w:rsidRPr="00EA5307">
              <w:rPr>
                <w:b/>
                <w:sz w:val="20"/>
                <w:szCs w:val="20"/>
              </w:rPr>
              <w:t>Constitución Federal:</w:t>
            </w:r>
          </w:p>
        </w:tc>
        <w:tc>
          <w:tcPr>
            <w:tcW w:w="2958" w:type="pct"/>
            <w:shd w:val="clear" w:color="auto" w:fill="auto"/>
            <w:vAlign w:val="center"/>
          </w:tcPr>
          <w:p w14:paraId="70E628DF" w14:textId="77777777" w:rsidR="00FF7DBD" w:rsidRPr="00EA5307" w:rsidRDefault="00FF7DBD" w:rsidP="006C2951">
            <w:pPr>
              <w:widowControl w:val="0"/>
              <w:spacing w:before="60" w:after="60"/>
              <w:ind w:left="57"/>
              <w:rPr>
                <w:sz w:val="20"/>
                <w:szCs w:val="20"/>
              </w:rPr>
            </w:pPr>
            <w:r w:rsidRPr="00EA5307">
              <w:rPr>
                <w:sz w:val="20"/>
                <w:szCs w:val="20"/>
              </w:rPr>
              <w:t>Constitución Política de los Estados Unidos Mexicanos.</w:t>
            </w:r>
          </w:p>
        </w:tc>
      </w:tr>
      <w:tr w:rsidR="00FF7DBD" w:rsidRPr="008220BB" w14:paraId="3B411CC1" w14:textId="77777777" w:rsidTr="006C2951">
        <w:trPr>
          <w:trHeight w:val="624"/>
          <w:jc w:val="center"/>
        </w:trPr>
        <w:tc>
          <w:tcPr>
            <w:tcW w:w="2042" w:type="pct"/>
            <w:shd w:val="clear" w:color="auto" w:fill="auto"/>
            <w:vAlign w:val="center"/>
          </w:tcPr>
          <w:p w14:paraId="4705D73F" w14:textId="77777777" w:rsidR="00FF7DBD" w:rsidRPr="00EA5307" w:rsidRDefault="00FF7DBD" w:rsidP="006C2951">
            <w:pPr>
              <w:widowControl w:val="0"/>
              <w:spacing w:before="60" w:after="60"/>
              <w:ind w:left="57"/>
              <w:jc w:val="right"/>
              <w:rPr>
                <w:b/>
                <w:sz w:val="20"/>
                <w:szCs w:val="20"/>
              </w:rPr>
            </w:pPr>
            <w:r w:rsidRPr="00EA5307">
              <w:rPr>
                <w:b/>
                <w:sz w:val="20"/>
                <w:szCs w:val="20"/>
              </w:rPr>
              <w:t>Constitución Local:</w:t>
            </w:r>
          </w:p>
        </w:tc>
        <w:tc>
          <w:tcPr>
            <w:tcW w:w="2958" w:type="pct"/>
            <w:shd w:val="clear" w:color="auto" w:fill="auto"/>
            <w:vAlign w:val="center"/>
          </w:tcPr>
          <w:p w14:paraId="461F565E" w14:textId="77777777" w:rsidR="00FF7DBD" w:rsidRPr="00EA5307" w:rsidRDefault="00FF7DBD" w:rsidP="006C2951">
            <w:pPr>
              <w:widowControl w:val="0"/>
              <w:spacing w:before="60" w:after="60"/>
              <w:ind w:left="57"/>
              <w:rPr>
                <w:sz w:val="20"/>
                <w:szCs w:val="20"/>
              </w:rPr>
            </w:pPr>
            <w:r w:rsidRPr="00EA5307">
              <w:rPr>
                <w:sz w:val="20"/>
                <w:szCs w:val="20"/>
              </w:rPr>
              <w:t>Constitución Política del Estado Libre y Soberano de Tabasco.</w:t>
            </w:r>
          </w:p>
        </w:tc>
      </w:tr>
      <w:tr w:rsidR="00FF7DBD" w:rsidRPr="008220BB" w14:paraId="3757BAE8" w14:textId="77777777" w:rsidTr="006C2951">
        <w:trPr>
          <w:trHeight w:val="624"/>
          <w:jc w:val="center"/>
        </w:trPr>
        <w:tc>
          <w:tcPr>
            <w:tcW w:w="2042" w:type="pct"/>
            <w:shd w:val="clear" w:color="auto" w:fill="auto"/>
            <w:vAlign w:val="center"/>
          </w:tcPr>
          <w:p w14:paraId="4BF8F254" w14:textId="77777777" w:rsidR="00FF7DBD" w:rsidRPr="00EA5307" w:rsidRDefault="00FF7DBD" w:rsidP="006C2951">
            <w:pPr>
              <w:widowControl w:val="0"/>
              <w:spacing w:before="60" w:after="60"/>
              <w:ind w:left="57"/>
              <w:jc w:val="right"/>
              <w:rPr>
                <w:b/>
                <w:sz w:val="20"/>
                <w:szCs w:val="20"/>
              </w:rPr>
            </w:pPr>
            <w:r w:rsidRPr="00EA5307">
              <w:rPr>
                <w:b/>
                <w:sz w:val="20"/>
                <w:szCs w:val="20"/>
              </w:rPr>
              <w:t>INE:</w:t>
            </w:r>
          </w:p>
        </w:tc>
        <w:tc>
          <w:tcPr>
            <w:tcW w:w="2958" w:type="pct"/>
            <w:shd w:val="clear" w:color="auto" w:fill="auto"/>
            <w:vAlign w:val="center"/>
          </w:tcPr>
          <w:p w14:paraId="28754EAB" w14:textId="77777777" w:rsidR="00FF7DBD" w:rsidRPr="00EA5307" w:rsidRDefault="00FF7DBD" w:rsidP="006C2951">
            <w:pPr>
              <w:widowControl w:val="0"/>
              <w:spacing w:before="60" w:after="60"/>
              <w:ind w:left="57"/>
              <w:rPr>
                <w:sz w:val="20"/>
                <w:szCs w:val="20"/>
              </w:rPr>
            </w:pPr>
            <w:r w:rsidRPr="00EA5307">
              <w:rPr>
                <w:sz w:val="20"/>
                <w:szCs w:val="20"/>
              </w:rPr>
              <w:t>Instituto Nacional Electoral.</w:t>
            </w:r>
          </w:p>
        </w:tc>
      </w:tr>
      <w:tr w:rsidR="00FF7DBD" w:rsidRPr="008220BB" w14:paraId="565A726D" w14:textId="77777777" w:rsidTr="006C2951">
        <w:trPr>
          <w:trHeight w:val="624"/>
          <w:jc w:val="center"/>
        </w:trPr>
        <w:tc>
          <w:tcPr>
            <w:tcW w:w="2042" w:type="pct"/>
            <w:shd w:val="clear" w:color="auto" w:fill="auto"/>
            <w:vAlign w:val="center"/>
          </w:tcPr>
          <w:p w14:paraId="3BAA2661" w14:textId="77777777" w:rsidR="00FF7DBD" w:rsidRPr="00EA5307" w:rsidRDefault="00FF7DBD" w:rsidP="006C2951">
            <w:pPr>
              <w:widowControl w:val="0"/>
              <w:spacing w:before="60" w:after="60"/>
              <w:ind w:left="57"/>
              <w:jc w:val="right"/>
              <w:rPr>
                <w:b/>
                <w:sz w:val="20"/>
                <w:szCs w:val="20"/>
              </w:rPr>
            </w:pPr>
            <w:r w:rsidRPr="00EA5307">
              <w:rPr>
                <w:b/>
                <w:sz w:val="20"/>
                <w:szCs w:val="20"/>
              </w:rPr>
              <w:t>Instituto:</w:t>
            </w:r>
          </w:p>
        </w:tc>
        <w:tc>
          <w:tcPr>
            <w:tcW w:w="2958" w:type="pct"/>
            <w:shd w:val="clear" w:color="auto" w:fill="auto"/>
          </w:tcPr>
          <w:p w14:paraId="098F37C0" w14:textId="77777777" w:rsidR="00FF7DBD" w:rsidRPr="00EA5307" w:rsidRDefault="00FF7DBD" w:rsidP="006C2951">
            <w:pPr>
              <w:widowControl w:val="0"/>
              <w:spacing w:before="60" w:after="60"/>
              <w:ind w:left="57"/>
              <w:rPr>
                <w:sz w:val="20"/>
                <w:szCs w:val="20"/>
              </w:rPr>
            </w:pPr>
            <w:r w:rsidRPr="00EA5307">
              <w:rPr>
                <w:sz w:val="20"/>
                <w:szCs w:val="20"/>
              </w:rPr>
              <w:t xml:space="preserve">Instituto Electoral y de Participación </w:t>
            </w:r>
            <w:r w:rsidRPr="00EA5307">
              <w:rPr>
                <w:sz w:val="20"/>
                <w:szCs w:val="20"/>
              </w:rPr>
              <w:lastRenderedPageBreak/>
              <w:t>Ciudadana de Tabasco.</w:t>
            </w:r>
          </w:p>
        </w:tc>
      </w:tr>
      <w:tr w:rsidR="00FF7DBD" w:rsidRPr="008220BB" w14:paraId="65654BDD" w14:textId="77777777" w:rsidTr="006C2951">
        <w:trPr>
          <w:trHeight w:val="624"/>
          <w:jc w:val="center"/>
        </w:trPr>
        <w:tc>
          <w:tcPr>
            <w:tcW w:w="2042" w:type="pct"/>
            <w:shd w:val="clear" w:color="auto" w:fill="auto"/>
            <w:vAlign w:val="center"/>
          </w:tcPr>
          <w:p w14:paraId="66E4A9D8" w14:textId="77777777" w:rsidR="00FF7DBD" w:rsidRPr="00EA5307" w:rsidRDefault="00FF7DBD" w:rsidP="006C2951">
            <w:pPr>
              <w:widowControl w:val="0"/>
              <w:spacing w:before="60" w:after="60"/>
              <w:ind w:left="57"/>
              <w:jc w:val="right"/>
              <w:rPr>
                <w:b/>
                <w:sz w:val="20"/>
                <w:szCs w:val="20"/>
              </w:rPr>
            </w:pPr>
            <w:r w:rsidRPr="00EA5307">
              <w:rPr>
                <w:b/>
                <w:sz w:val="20"/>
                <w:szCs w:val="20"/>
              </w:rPr>
              <w:lastRenderedPageBreak/>
              <w:t>Ley Electoral:</w:t>
            </w:r>
          </w:p>
        </w:tc>
        <w:tc>
          <w:tcPr>
            <w:tcW w:w="2958" w:type="pct"/>
            <w:shd w:val="clear" w:color="auto" w:fill="auto"/>
            <w:vAlign w:val="center"/>
          </w:tcPr>
          <w:p w14:paraId="6D54B309" w14:textId="77777777" w:rsidR="00FF7DBD" w:rsidRPr="00EA5307" w:rsidRDefault="00FF7DBD" w:rsidP="006C2951">
            <w:pPr>
              <w:widowControl w:val="0"/>
              <w:spacing w:before="60" w:after="60"/>
              <w:ind w:left="57"/>
              <w:rPr>
                <w:sz w:val="20"/>
                <w:szCs w:val="20"/>
              </w:rPr>
            </w:pPr>
            <w:r w:rsidRPr="00EA5307">
              <w:rPr>
                <w:sz w:val="20"/>
                <w:szCs w:val="20"/>
              </w:rPr>
              <w:t>Ley Electoral y de Partidos Políticos del Estado de Tabasco.</w:t>
            </w:r>
          </w:p>
        </w:tc>
      </w:tr>
      <w:tr w:rsidR="00FF7DBD" w:rsidRPr="008220BB" w14:paraId="29477E5B" w14:textId="77777777" w:rsidTr="006C2951">
        <w:trPr>
          <w:trHeight w:val="624"/>
          <w:jc w:val="center"/>
        </w:trPr>
        <w:tc>
          <w:tcPr>
            <w:tcW w:w="2042" w:type="pct"/>
            <w:shd w:val="clear" w:color="auto" w:fill="auto"/>
            <w:vAlign w:val="center"/>
          </w:tcPr>
          <w:p w14:paraId="7A1C5731" w14:textId="77777777" w:rsidR="00FF7DBD" w:rsidRPr="00EA5307" w:rsidRDefault="00FF7DBD" w:rsidP="006C2951">
            <w:pPr>
              <w:widowControl w:val="0"/>
              <w:spacing w:before="60" w:after="60"/>
              <w:ind w:left="57"/>
              <w:jc w:val="right"/>
              <w:rPr>
                <w:b/>
                <w:sz w:val="20"/>
                <w:szCs w:val="20"/>
              </w:rPr>
            </w:pPr>
            <w:r w:rsidRPr="00EA5307">
              <w:rPr>
                <w:b/>
                <w:sz w:val="20"/>
                <w:szCs w:val="20"/>
              </w:rPr>
              <w:t>Ley General:</w:t>
            </w:r>
          </w:p>
        </w:tc>
        <w:tc>
          <w:tcPr>
            <w:tcW w:w="2958" w:type="pct"/>
            <w:shd w:val="clear" w:color="auto" w:fill="auto"/>
            <w:vAlign w:val="center"/>
          </w:tcPr>
          <w:p w14:paraId="2C49E0F2" w14:textId="77777777" w:rsidR="00FF7DBD" w:rsidRPr="00EA5307" w:rsidRDefault="00FF7DBD" w:rsidP="006C2951">
            <w:pPr>
              <w:widowControl w:val="0"/>
              <w:spacing w:before="60" w:after="60"/>
              <w:ind w:left="57"/>
              <w:rPr>
                <w:sz w:val="20"/>
                <w:szCs w:val="20"/>
              </w:rPr>
            </w:pPr>
            <w:r w:rsidRPr="00EA5307">
              <w:rPr>
                <w:sz w:val="20"/>
                <w:szCs w:val="20"/>
              </w:rPr>
              <w:t>Ley General de Instituciones y Procedimientos Electorales.</w:t>
            </w:r>
          </w:p>
        </w:tc>
      </w:tr>
      <w:tr w:rsidR="00FF7DBD" w:rsidRPr="008220BB" w14:paraId="4B46F9FE" w14:textId="77777777" w:rsidTr="006C2951">
        <w:trPr>
          <w:trHeight w:val="624"/>
          <w:jc w:val="center"/>
        </w:trPr>
        <w:tc>
          <w:tcPr>
            <w:tcW w:w="2042" w:type="pct"/>
            <w:shd w:val="clear" w:color="auto" w:fill="auto"/>
            <w:vAlign w:val="center"/>
          </w:tcPr>
          <w:p w14:paraId="36C725C0" w14:textId="77777777" w:rsidR="00FF7DBD" w:rsidRPr="00EA5307" w:rsidRDefault="00FF7DBD" w:rsidP="006C2951">
            <w:pPr>
              <w:widowControl w:val="0"/>
              <w:spacing w:before="60" w:after="60"/>
              <w:ind w:left="57"/>
              <w:jc w:val="right"/>
              <w:rPr>
                <w:b/>
                <w:sz w:val="20"/>
                <w:szCs w:val="20"/>
              </w:rPr>
            </w:pPr>
            <w:r w:rsidRPr="00EA5307">
              <w:rPr>
                <w:b/>
                <w:sz w:val="20"/>
                <w:szCs w:val="20"/>
              </w:rPr>
              <w:t>Lineamientos del PREP:</w:t>
            </w:r>
          </w:p>
        </w:tc>
        <w:tc>
          <w:tcPr>
            <w:tcW w:w="2958" w:type="pct"/>
            <w:shd w:val="clear" w:color="auto" w:fill="auto"/>
            <w:vAlign w:val="center"/>
          </w:tcPr>
          <w:p w14:paraId="1100158A" w14:textId="77777777" w:rsidR="00FF7DBD" w:rsidRPr="00EA5307" w:rsidRDefault="00FF7DBD" w:rsidP="006C2951">
            <w:pPr>
              <w:widowControl w:val="0"/>
              <w:spacing w:before="60" w:after="60"/>
              <w:ind w:left="57"/>
              <w:rPr>
                <w:sz w:val="20"/>
                <w:szCs w:val="20"/>
              </w:rPr>
            </w:pPr>
            <w:r w:rsidRPr="00EA5307">
              <w:rPr>
                <w:sz w:val="20"/>
                <w:szCs w:val="20"/>
              </w:rPr>
              <w:t>Lineamientos del Programa de Resultados Electorales Preliminares contenidos en el anexo 13 del Reglamento de Elecciones.</w:t>
            </w:r>
          </w:p>
        </w:tc>
      </w:tr>
      <w:tr w:rsidR="00FF7DBD" w:rsidRPr="008220BB" w14:paraId="43E6217B" w14:textId="77777777" w:rsidTr="006C2951">
        <w:trPr>
          <w:trHeight w:val="624"/>
          <w:jc w:val="center"/>
        </w:trPr>
        <w:tc>
          <w:tcPr>
            <w:tcW w:w="2042" w:type="pct"/>
            <w:shd w:val="clear" w:color="auto" w:fill="auto"/>
            <w:vAlign w:val="center"/>
          </w:tcPr>
          <w:p w14:paraId="7CF15B36" w14:textId="77777777" w:rsidR="00FF7DBD" w:rsidRPr="00EA5307" w:rsidRDefault="00FF7DBD" w:rsidP="006C2951">
            <w:pPr>
              <w:widowControl w:val="0"/>
              <w:spacing w:before="60" w:after="60"/>
              <w:ind w:left="57"/>
              <w:jc w:val="right"/>
              <w:rPr>
                <w:b/>
                <w:sz w:val="20"/>
                <w:szCs w:val="20"/>
              </w:rPr>
            </w:pPr>
            <w:r w:rsidRPr="00EA5307">
              <w:rPr>
                <w:b/>
                <w:sz w:val="20"/>
                <w:szCs w:val="20"/>
              </w:rPr>
              <w:t>Organismo electoral:</w:t>
            </w:r>
          </w:p>
        </w:tc>
        <w:tc>
          <w:tcPr>
            <w:tcW w:w="2958" w:type="pct"/>
            <w:shd w:val="clear" w:color="auto" w:fill="auto"/>
            <w:vAlign w:val="center"/>
          </w:tcPr>
          <w:p w14:paraId="524533EE" w14:textId="77777777" w:rsidR="00FF7DBD" w:rsidRPr="00EA5307" w:rsidRDefault="00FF7DBD" w:rsidP="006C2951">
            <w:pPr>
              <w:widowControl w:val="0"/>
              <w:spacing w:before="60" w:after="60"/>
              <w:ind w:left="57"/>
              <w:rPr>
                <w:sz w:val="20"/>
                <w:szCs w:val="20"/>
              </w:rPr>
            </w:pPr>
            <w:r w:rsidRPr="00EA5307">
              <w:rPr>
                <w:sz w:val="20"/>
                <w:szCs w:val="20"/>
              </w:rPr>
              <w:t xml:space="preserve">Organismo(s) público(s) local(es) electoral(es). </w:t>
            </w:r>
          </w:p>
        </w:tc>
      </w:tr>
      <w:tr w:rsidR="00FF7DBD" w:rsidRPr="008220BB" w14:paraId="1F335833" w14:textId="77777777" w:rsidTr="006C2951">
        <w:trPr>
          <w:trHeight w:val="624"/>
          <w:jc w:val="center"/>
        </w:trPr>
        <w:tc>
          <w:tcPr>
            <w:tcW w:w="2042" w:type="pct"/>
            <w:shd w:val="clear" w:color="auto" w:fill="auto"/>
            <w:vAlign w:val="center"/>
          </w:tcPr>
          <w:p w14:paraId="6E9F345D" w14:textId="77777777" w:rsidR="00FF7DBD" w:rsidRPr="00EA5307" w:rsidRDefault="00FF7DBD" w:rsidP="006C2951">
            <w:pPr>
              <w:widowControl w:val="0"/>
              <w:spacing w:before="60" w:after="60"/>
              <w:ind w:left="57"/>
              <w:jc w:val="right"/>
              <w:rPr>
                <w:b/>
                <w:sz w:val="20"/>
                <w:szCs w:val="20"/>
              </w:rPr>
            </w:pPr>
            <w:r w:rsidRPr="00EA5307">
              <w:rPr>
                <w:b/>
                <w:sz w:val="20"/>
                <w:szCs w:val="20"/>
              </w:rPr>
              <w:t>PREP:</w:t>
            </w:r>
          </w:p>
        </w:tc>
        <w:tc>
          <w:tcPr>
            <w:tcW w:w="2958" w:type="pct"/>
            <w:shd w:val="clear" w:color="auto" w:fill="auto"/>
            <w:vAlign w:val="center"/>
          </w:tcPr>
          <w:p w14:paraId="6CA8B4F7" w14:textId="77777777" w:rsidR="00FF7DBD" w:rsidRPr="00EA5307" w:rsidRDefault="00FF7DBD" w:rsidP="006C2951">
            <w:pPr>
              <w:widowControl w:val="0"/>
              <w:spacing w:before="60" w:after="60"/>
              <w:ind w:left="57"/>
              <w:rPr>
                <w:sz w:val="20"/>
                <w:szCs w:val="20"/>
              </w:rPr>
            </w:pPr>
            <w:r w:rsidRPr="00EA5307">
              <w:rPr>
                <w:sz w:val="20"/>
                <w:szCs w:val="20"/>
              </w:rPr>
              <w:t>Programa de Resultados Electorales Preliminares.</w:t>
            </w:r>
          </w:p>
        </w:tc>
      </w:tr>
      <w:tr w:rsidR="00FF7DBD" w:rsidRPr="008220BB" w14:paraId="330A9A94" w14:textId="77777777" w:rsidTr="006C2951">
        <w:trPr>
          <w:trHeight w:val="624"/>
          <w:jc w:val="center"/>
        </w:trPr>
        <w:tc>
          <w:tcPr>
            <w:tcW w:w="2042" w:type="pct"/>
            <w:shd w:val="clear" w:color="auto" w:fill="auto"/>
            <w:vAlign w:val="center"/>
          </w:tcPr>
          <w:p w14:paraId="0FCB68BC" w14:textId="77777777" w:rsidR="00FF7DBD" w:rsidRPr="00EA5307" w:rsidRDefault="00FF7DBD" w:rsidP="006C2951">
            <w:pPr>
              <w:widowControl w:val="0"/>
              <w:spacing w:before="60" w:after="60"/>
              <w:ind w:left="57"/>
              <w:jc w:val="right"/>
              <w:rPr>
                <w:b/>
                <w:sz w:val="20"/>
                <w:szCs w:val="20"/>
              </w:rPr>
            </w:pPr>
            <w:r w:rsidRPr="00EA5307">
              <w:rPr>
                <w:b/>
                <w:sz w:val="20"/>
                <w:szCs w:val="20"/>
              </w:rPr>
              <w:t>PREPET:</w:t>
            </w:r>
          </w:p>
        </w:tc>
        <w:tc>
          <w:tcPr>
            <w:tcW w:w="2958" w:type="pct"/>
            <w:shd w:val="clear" w:color="auto" w:fill="auto"/>
            <w:vAlign w:val="center"/>
          </w:tcPr>
          <w:p w14:paraId="097D9D5C" w14:textId="77777777" w:rsidR="00FF7DBD" w:rsidRPr="00EA5307" w:rsidRDefault="00FF7DBD" w:rsidP="006C2951">
            <w:pPr>
              <w:widowControl w:val="0"/>
              <w:spacing w:before="60" w:after="60"/>
              <w:ind w:left="57"/>
              <w:rPr>
                <w:sz w:val="20"/>
                <w:szCs w:val="20"/>
              </w:rPr>
            </w:pPr>
            <w:r w:rsidRPr="00EA5307">
              <w:rPr>
                <w:sz w:val="20"/>
                <w:szCs w:val="20"/>
              </w:rPr>
              <w:t>Programa de Resultados Electorales Preliminares del Estado de Tabasco.</w:t>
            </w:r>
          </w:p>
        </w:tc>
      </w:tr>
      <w:tr w:rsidR="00FF7DBD" w:rsidRPr="008220BB" w14:paraId="40D6010E" w14:textId="77777777" w:rsidTr="006C2951">
        <w:trPr>
          <w:trHeight w:val="624"/>
          <w:jc w:val="center"/>
        </w:trPr>
        <w:tc>
          <w:tcPr>
            <w:tcW w:w="2042" w:type="pct"/>
            <w:shd w:val="clear" w:color="auto" w:fill="auto"/>
            <w:vAlign w:val="center"/>
          </w:tcPr>
          <w:p w14:paraId="38D8F689" w14:textId="77777777" w:rsidR="00FF7DBD" w:rsidRPr="00EA5307" w:rsidRDefault="00FF7DBD" w:rsidP="006C2951">
            <w:pPr>
              <w:widowControl w:val="0"/>
              <w:spacing w:before="60" w:after="60"/>
              <w:ind w:left="57"/>
              <w:jc w:val="right"/>
              <w:rPr>
                <w:b/>
                <w:sz w:val="20"/>
                <w:szCs w:val="20"/>
              </w:rPr>
            </w:pPr>
            <w:r w:rsidRPr="00EA5307">
              <w:rPr>
                <w:b/>
                <w:sz w:val="20"/>
                <w:szCs w:val="20"/>
              </w:rPr>
              <w:t>Proceso Electoral:</w:t>
            </w:r>
          </w:p>
        </w:tc>
        <w:tc>
          <w:tcPr>
            <w:tcW w:w="2958" w:type="pct"/>
            <w:shd w:val="clear" w:color="auto" w:fill="auto"/>
            <w:vAlign w:val="center"/>
          </w:tcPr>
          <w:p w14:paraId="7676A648" w14:textId="77777777" w:rsidR="00FF7DBD" w:rsidRPr="00EA5307" w:rsidRDefault="00FF7DBD" w:rsidP="006C2951">
            <w:pPr>
              <w:widowControl w:val="0"/>
              <w:spacing w:before="60" w:after="60"/>
              <w:ind w:left="57"/>
              <w:rPr>
                <w:sz w:val="20"/>
                <w:szCs w:val="20"/>
              </w:rPr>
            </w:pPr>
            <w:r w:rsidRPr="00EA5307">
              <w:rPr>
                <w:sz w:val="20"/>
                <w:szCs w:val="20"/>
              </w:rPr>
              <w:t>Proceso Electoral Local Ordinario 2023 – 2024.</w:t>
            </w:r>
          </w:p>
        </w:tc>
      </w:tr>
      <w:tr w:rsidR="00FF7DBD" w:rsidRPr="008220BB" w14:paraId="3F82267D" w14:textId="77777777" w:rsidTr="006C2951">
        <w:trPr>
          <w:trHeight w:val="624"/>
          <w:jc w:val="center"/>
        </w:trPr>
        <w:tc>
          <w:tcPr>
            <w:tcW w:w="2042" w:type="pct"/>
            <w:shd w:val="clear" w:color="auto" w:fill="auto"/>
            <w:vAlign w:val="center"/>
          </w:tcPr>
          <w:p w14:paraId="6CF35B50" w14:textId="77777777" w:rsidR="00FF7DBD" w:rsidRPr="00EA5307" w:rsidRDefault="00FF7DBD" w:rsidP="006C2951">
            <w:pPr>
              <w:widowControl w:val="0"/>
              <w:spacing w:before="60" w:after="60"/>
              <w:ind w:left="57"/>
              <w:jc w:val="right"/>
              <w:rPr>
                <w:b/>
                <w:sz w:val="20"/>
                <w:szCs w:val="20"/>
              </w:rPr>
            </w:pPr>
            <w:r w:rsidRPr="00EA5307">
              <w:rPr>
                <w:b/>
                <w:sz w:val="20"/>
                <w:szCs w:val="20"/>
              </w:rPr>
              <w:t>Reglamento de Elecciones:</w:t>
            </w:r>
          </w:p>
        </w:tc>
        <w:tc>
          <w:tcPr>
            <w:tcW w:w="2958" w:type="pct"/>
            <w:shd w:val="clear" w:color="auto" w:fill="auto"/>
            <w:vAlign w:val="center"/>
          </w:tcPr>
          <w:p w14:paraId="4F02F51D" w14:textId="77777777" w:rsidR="00FF7DBD" w:rsidRPr="00EA5307" w:rsidRDefault="00FF7DBD" w:rsidP="006C2951">
            <w:pPr>
              <w:widowControl w:val="0"/>
              <w:spacing w:before="60" w:after="60"/>
              <w:ind w:left="57"/>
              <w:rPr>
                <w:sz w:val="20"/>
                <w:szCs w:val="20"/>
              </w:rPr>
            </w:pPr>
            <w:r w:rsidRPr="00EA5307">
              <w:rPr>
                <w:sz w:val="20"/>
                <w:szCs w:val="20"/>
              </w:rPr>
              <w:t>Reglamento de Elecciones del Instituto Nacional Electoral.</w:t>
            </w:r>
          </w:p>
        </w:tc>
      </w:tr>
      <w:tr w:rsidR="00FF7DBD" w:rsidRPr="008220BB" w14:paraId="6CB559AC" w14:textId="77777777" w:rsidTr="006C2951">
        <w:trPr>
          <w:trHeight w:val="624"/>
          <w:jc w:val="center"/>
        </w:trPr>
        <w:tc>
          <w:tcPr>
            <w:tcW w:w="2042" w:type="pct"/>
            <w:shd w:val="clear" w:color="auto" w:fill="auto"/>
            <w:vAlign w:val="center"/>
          </w:tcPr>
          <w:p w14:paraId="7F0B51CA" w14:textId="77777777" w:rsidR="00FF7DBD" w:rsidRPr="00EA5307" w:rsidRDefault="00FF7DBD" w:rsidP="006C2951">
            <w:pPr>
              <w:widowControl w:val="0"/>
              <w:spacing w:before="60" w:after="60"/>
              <w:ind w:left="57"/>
              <w:jc w:val="right"/>
              <w:rPr>
                <w:b/>
                <w:sz w:val="20"/>
                <w:szCs w:val="20"/>
              </w:rPr>
            </w:pPr>
            <w:r w:rsidRPr="00EA5307">
              <w:rPr>
                <w:b/>
                <w:sz w:val="20"/>
                <w:szCs w:val="20"/>
              </w:rPr>
              <w:t>Secretaría Ejecutiva:</w:t>
            </w:r>
          </w:p>
        </w:tc>
        <w:tc>
          <w:tcPr>
            <w:tcW w:w="2958" w:type="pct"/>
            <w:shd w:val="clear" w:color="auto" w:fill="auto"/>
            <w:vAlign w:val="center"/>
          </w:tcPr>
          <w:p w14:paraId="704D9E0D" w14:textId="77777777" w:rsidR="00FF7DBD" w:rsidRPr="00EA5307" w:rsidRDefault="00FF7DBD" w:rsidP="006C2951">
            <w:pPr>
              <w:widowControl w:val="0"/>
              <w:spacing w:before="60" w:after="60"/>
              <w:ind w:left="57"/>
              <w:rPr>
                <w:sz w:val="20"/>
                <w:szCs w:val="20"/>
              </w:rPr>
            </w:pPr>
            <w:r w:rsidRPr="00EA5307">
              <w:rPr>
                <w:sz w:val="20"/>
                <w:szCs w:val="20"/>
              </w:rPr>
              <w:t>Secretaría Ejecutiva del Instituto Electoral y de Participación Ciudadana de Tabasco.</w:t>
            </w:r>
          </w:p>
        </w:tc>
      </w:tr>
    </w:tbl>
    <w:p w14:paraId="20B12F40" w14:textId="77777777" w:rsidR="00C01B57" w:rsidRPr="00EA5307" w:rsidRDefault="00C01B57" w:rsidP="00C01B57">
      <w:pPr>
        <w:pStyle w:val="Ttulo1"/>
        <w:rPr>
          <w:sz w:val="24"/>
          <w:szCs w:val="24"/>
        </w:rPr>
      </w:pPr>
      <w:r w:rsidRPr="00EA5307">
        <w:rPr>
          <w:sz w:val="24"/>
          <w:szCs w:val="24"/>
        </w:rPr>
        <w:t>Antecedentes</w:t>
      </w:r>
    </w:p>
    <w:p w14:paraId="486E8104" w14:textId="77777777" w:rsidR="00C01B57" w:rsidRPr="00EA5307" w:rsidRDefault="00C01B57" w:rsidP="00C01B57">
      <w:pPr>
        <w:pStyle w:val="Ttulo2"/>
        <w:rPr>
          <w:sz w:val="23"/>
        </w:rPr>
      </w:pPr>
      <w:r w:rsidRPr="00EA5307">
        <w:rPr>
          <w:sz w:val="23"/>
        </w:rPr>
        <w:t>Homologación de plazos y fechas en los Procesos Electorales Locales Concurrentes</w:t>
      </w:r>
    </w:p>
    <w:p w14:paraId="52585D54" w14:textId="59A0A8D5" w:rsidR="00C01B57" w:rsidRDefault="00C01B57" w:rsidP="00C01B57">
      <w:pPr>
        <w:widowControl w:val="0"/>
      </w:pPr>
      <w:r w:rsidRPr="00EA5307">
        <w:t xml:space="preserve">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w:t>
      </w:r>
      <w:r w:rsidRPr="00EA5307">
        <w:lastRenderedPageBreak/>
        <w:t>independientes, en los procesos electorales locales concurrentes con el Proceso Electoral Federal 2023 – 2024.</w:t>
      </w:r>
    </w:p>
    <w:p w14:paraId="0379EB91" w14:textId="77777777" w:rsidR="00EA5307" w:rsidRPr="00EA5307" w:rsidRDefault="00EA5307" w:rsidP="00C01B57">
      <w:pPr>
        <w:widowControl w:val="0"/>
      </w:pPr>
    </w:p>
    <w:p w14:paraId="2301486B" w14:textId="77777777" w:rsidR="00C01B57" w:rsidRPr="00EA5307" w:rsidRDefault="00C01B57" w:rsidP="00C01B57">
      <w:pPr>
        <w:pStyle w:val="Ttulo2"/>
        <w:rPr>
          <w:sz w:val="23"/>
        </w:rPr>
      </w:pPr>
      <w:r w:rsidRPr="00EA5307">
        <w:rPr>
          <w:sz w:val="23"/>
        </w:rPr>
        <w:t xml:space="preserve">Plan Integral y Calendario de Coordinación </w:t>
      </w:r>
    </w:p>
    <w:p w14:paraId="0343EFBD" w14:textId="77777777" w:rsidR="00C01B57" w:rsidRPr="00EA5307" w:rsidRDefault="00C01B57" w:rsidP="00C01B57">
      <w:pPr>
        <w:widowControl w:val="0"/>
      </w:pPr>
      <w:r w:rsidRPr="00EA5307">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6050E858" w14:textId="77777777" w:rsidR="00C01B57" w:rsidRPr="00EA5307" w:rsidRDefault="00C01B57" w:rsidP="00C01B57">
      <w:pPr>
        <w:pStyle w:val="Ttulo2"/>
        <w:rPr>
          <w:sz w:val="23"/>
        </w:rPr>
      </w:pPr>
      <w:r w:rsidRPr="00EA5307">
        <w:rPr>
          <w:sz w:val="23"/>
        </w:rPr>
        <w:t>Lineamientos para la organización del voto anticipado</w:t>
      </w:r>
    </w:p>
    <w:p w14:paraId="1AEE6B23" w14:textId="77777777" w:rsidR="00C01B57" w:rsidRPr="00EA5307" w:rsidRDefault="00C01B57" w:rsidP="00C01B57">
      <w:pPr>
        <w:widowControl w:val="0"/>
      </w:pPr>
      <w:r w:rsidRPr="00EA5307">
        <w:t>El 20 de julio de 2023, el Consejo General del INE, mediante acuerdo INE/CG436/2023 aprobó los Lineamientos para la organización del voto anticipado en el Proceso Electoral Concurrente 2023- 2024.</w:t>
      </w:r>
    </w:p>
    <w:p w14:paraId="4790EF29" w14:textId="77777777" w:rsidR="00C01B57" w:rsidRPr="00EA5307" w:rsidRDefault="00C01B57" w:rsidP="00C01B57">
      <w:pPr>
        <w:pStyle w:val="Ttulo2"/>
        <w:rPr>
          <w:sz w:val="23"/>
        </w:rPr>
      </w:pPr>
      <w:r w:rsidRPr="00EA5307">
        <w:rPr>
          <w:sz w:val="23"/>
        </w:rPr>
        <w:t>Designación de la instancia interna del PREPET</w:t>
      </w:r>
    </w:p>
    <w:p w14:paraId="1E33E2BF" w14:textId="77777777" w:rsidR="00C01B57" w:rsidRPr="00EA5307" w:rsidRDefault="00C01B57" w:rsidP="00C01B57">
      <w:pPr>
        <w:widowControl w:val="0"/>
      </w:pPr>
      <w:r w:rsidRPr="00EA5307">
        <w:t>El 31 de agosto de 2023, mediante acuerdo CE/2023/016, el Consejo Estatal determinó que, la Unidad de Tecnologías de la Información y Comunicaciones del propio Instituto, será la instancia que implementará y operará el PREPET con motivo del Proceso Electoral.</w:t>
      </w:r>
    </w:p>
    <w:p w14:paraId="478E6D9D" w14:textId="77777777" w:rsidR="00C01B57" w:rsidRPr="00EA5307" w:rsidRDefault="00C01B57" w:rsidP="00C01B57">
      <w:pPr>
        <w:pStyle w:val="Ttulo2"/>
        <w:rPr>
          <w:sz w:val="23"/>
        </w:rPr>
      </w:pPr>
      <w:r w:rsidRPr="00EA5307">
        <w:rPr>
          <w:sz w:val="23"/>
        </w:rPr>
        <w:t xml:space="preserve">Integración de la Comisión </w:t>
      </w:r>
    </w:p>
    <w:p w14:paraId="3E0FEAAA" w14:textId="77777777" w:rsidR="00C01B57" w:rsidRPr="00EA5307" w:rsidRDefault="00C01B57" w:rsidP="00C01B57">
      <w:pPr>
        <w:widowControl w:val="0"/>
      </w:pPr>
      <w:r w:rsidRPr="00EA5307">
        <w:t>Del mismo modo, en la fecha señalada, mediante acuerdo CE/2023/018, el Consejo Estatal constituyó la Comisión Temporal del Programa de Resultados Electorales Preliminares con motivo del Proceso Electoral.</w:t>
      </w:r>
    </w:p>
    <w:p w14:paraId="03AA524E" w14:textId="77777777" w:rsidR="00C01B57" w:rsidRPr="00EA5307" w:rsidRDefault="00C01B57" w:rsidP="00C01B57">
      <w:pPr>
        <w:pStyle w:val="Ttulo2"/>
        <w:rPr>
          <w:sz w:val="23"/>
        </w:rPr>
      </w:pPr>
      <w:r w:rsidRPr="00EA5307">
        <w:rPr>
          <w:sz w:val="23"/>
        </w:rPr>
        <w:t>Inicio del Proceso Electoral</w:t>
      </w:r>
    </w:p>
    <w:p w14:paraId="382425F2" w14:textId="5D8742D6" w:rsidR="00C01B57" w:rsidRDefault="00C01B57" w:rsidP="00C01B57">
      <w:pPr>
        <w:widowControl w:val="0"/>
      </w:pPr>
      <w:r w:rsidRPr="00EA5307">
        <w:t xml:space="preserve">El 6 de octubre de 2023, el Consejo Estatal de conformidad con el artículo 111 de la Ley Electoral declaró el inicio del Proceso Electoral por el que se renovarán los cargos relativos a la Gubernatura del Estado, diputaciones locales y presidencias municipales </w:t>
      </w:r>
      <w:r w:rsidRPr="00EA5307">
        <w:lastRenderedPageBreak/>
        <w:t>y regidurías.</w:t>
      </w:r>
    </w:p>
    <w:p w14:paraId="291BF551" w14:textId="77777777" w:rsidR="00EA5307" w:rsidRPr="00EA5307" w:rsidRDefault="00EA5307" w:rsidP="00C01B57">
      <w:pPr>
        <w:widowControl w:val="0"/>
      </w:pPr>
    </w:p>
    <w:p w14:paraId="5DD083D0" w14:textId="77777777" w:rsidR="00C01B57" w:rsidRPr="00EA5307" w:rsidRDefault="00C01B57" w:rsidP="00C01B57">
      <w:pPr>
        <w:pStyle w:val="Ttulo2"/>
        <w:rPr>
          <w:sz w:val="23"/>
        </w:rPr>
      </w:pPr>
      <w:r w:rsidRPr="00EA5307">
        <w:rPr>
          <w:sz w:val="23"/>
        </w:rPr>
        <w:t>Designación de las personas integrantes del Comité</w:t>
      </w:r>
    </w:p>
    <w:p w14:paraId="235DA6AB" w14:textId="77777777" w:rsidR="00C01B57" w:rsidRPr="00EA5307" w:rsidRDefault="00C01B57" w:rsidP="00C01B57">
      <w:pPr>
        <w:widowControl w:val="0"/>
      </w:pPr>
      <w:r w:rsidRPr="00EA5307">
        <w:t>El 31 de octubre de 2023, a propuesta de la Comisión, el Consejo Estatal aprobó el acuerdo CE/2023/042 mediante el cual designó a las personas integrantes del Comité Técnico Asesor del Programa de Resultados Electorales Preliminares del Estado de Tabasco que se instalará con motivo del Proceso Electoral.</w:t>
      </w:r>
    </w:p>
    <w:p w14:paraId="5ACFBB5F" w14:textId="77777777" w:rsidR="00C01B57" w:rsidRPr="00EA5307" w:rsidRDefault="00C01B57" w:rsidP="00C01B57">
      <w:pPr>
        <w:pStyle w:val="Ttulo2"/>
        <w:rPr>
          <w:sz w:val="23"/>
        </w:rPr>
      </w:pPr>
      <w:r w:rsidRPr="00EA5307">
        <w:rPr>
          <w:sz w:val="23"/>
        </w:rPr>
        <w:t xml:space="preserve">Sesión de Instalación del Comité  </w:t>
      </w:r>
    </w:p>
    <w:p w14:paraId="6E540FC3" w14:textId="77777777" w:rsidR="00C01B57" w:rsidRPr="00EA5307" w:rsidRDefault="00C01B57" w:rsidP="00C01B57">
      <w:pPr>
        <w:widowControl w:val="0"/>
      </w:pPr>
      <w:r w:rsidRPr="00EA5307">
        <w:t>El 6 de noviembre del año en curso, el Comité realizó la sesión de instalación, la cual se llevó a cabo dentro de los primeros cinco días siguientes a la aprobación del acuerdo por el que se determinó su integración. En dicha sesión se aprobó el plan de trabajo y el calendario para las sesiones ordinarias.</w:t>
      </w:r>
    </w:p>
    <w:p w14:paraId="29EDAD64" w14:textId="77777777" w:rsidR="00C01B57" w:rsidRPr="00EA5307" w:rsidRDefault="00C01B57" w:rsidP="00C01B57">
      <w:pPr>
        <w:pStyle w:val="Ttulo2"/>
        <w:rPr>
          <w:sz w:val="23"/>
        </w:rPr>
      </w:pPr>
      <w:r w:rsidRPr="00EA5307">
        <w:rPr>
          <w:sz w:val="23"/>
        </w:rPr>
        <w:t>Aprobación del Proceso Técnico Operativo</w:t>
      </w:r>
    </w:p>
    <w:p w14:paraId="1E21B16B" w14:textId="77777777" w:rsidR="00C01B57" w:rsidRPr="00EA5307" w:rsidRDefault="00C01B57" w:rsidP="00C01B57">
      <w:r w:rsidRPr="00EA5307">
        <w:t xml:space="preserve">El 29 de diciembre de 2023, mediante acuerdo CE/2023/65, este Consejo Estatal a propuesta de la Comisión, aprobó el Proceso Técnico Operativo por el que se establecen y describen las fases que regirán la operación del PREPET para el Proceso Electoral, mismo que, conforme  a los requisitos establecidos en el artículo 339 numeral 1, inciso </w:t>
      </w:r>
      <w:r w:rsidR="0051069F" w:rsidRPr="00EA5307">
        <w:t>d</w:t>
      </w:r>
      <w:r w:rsidRPr="00EA5307">
        <w:t>) del Reglamento de Elecciones contempla el rango mínimo y máximo de CATD y de los CCV, que podrán instalarse; así como también al menos, las fases de acopio y digitalización de las actas de escrutinio y cómputo destinadas para el PREP, la captura y verificación de datos, la publicación de datos e imágenes, el empaquetado de las actas destinadas para el PREP y la operación del mecanismo para digitalizar actas desde las casillas.</w:t>
      </w:r>
    </w:p>
    <w:p w14:paraId="0DA0126B" w14:textId="77777777" w:rsidR="0031245D" w:rsidRPr="00EA5307" w:rsidRDefault="0031245D" w:rsidP="0031245D">
      <w:pPr>
        <w:pStyle w:val="Ttulo2"/>
        <w:rPr>
          <w:sz w:val="23"/>
        </w:rPr>
      </w:pPr>
      <w:r w:rsidRPr="00EA5307">
        <w:rPr>
          <w:sz w:val="23"/>
        </w:rPr>
        <w:t>Presentación de la propuesta de ente auditor</w:t>
      </w:r>
    </w:p>
    <w:p w14:paraId="50EF3D5B" w14:textId="68F3F5A5" w:rsidR="0031245D" w:rsidRDefault="0031245D" w:rsidP="0031245D">
      <w:r w:rsidRPr="00EA5307">
        <w:t>El 24 de enero de 2024, la Secretaria Técnica de la Comisión, mediante oficio CTPREP/054/2024, remitió a la Presidencia del Consejo</w:t>
      </w:r>
      <w:r w:rsidR="002B19B9" w:rsidRPr="00EA5307">
        <w:t xml:space="preserve"> la propuesta de designación de ente auditor formulada</w:t>
      </w:r>
      <w:r w:rsidRPr="00EA5307">
        <w:t xml:space="preserve"> por dicha Comisión, para la deliberación por parte de este Consejo Estatal.</w:t>
      </w:r>
    </w:p>
    <w:p w14:paraId="7223A257" w14:textId="77777777" w:rsidR="00EA5307" w:rsidRPr="00EA5307" w:rsidRDefault="00EA5307" w:rsidP="0031245D"/>
    <w:p w14:paraId="0511A587" w14:textId="77777777" w:rsidR="00C01B57" w:rsidRPr="00EA5307" w:rsidRDefault="00C01B57" w:rsidP="00C01B57">
      <w:pPr>
        <w:pStyle w:val="Ttulo2"/>
        <w:rPr>
          <w:sz w:val="23"/>
        </w:rPr>
      </w:pPr>
      <w:r w:rsidRPr="00EA5307">
        <w:rPr>
          <w:sz w:val="23"/>
        </w:rPr>
        <w:lastRenderedPageBreak/>
        <w:t>Jornada electoral</w:t>
      </w:r>
    </w:p>
    <w:p w14:paraId="1107DAE0" w14:textId="77777777" w:rsidR="00C01B57" w:rsidRPr="00EA5307" w:rsidRDefault="00C01B57" w:rsidP="00C01B57">
      <w:pPr>
        <w:widowControl w:val="0"/>
      </w:pPr>
      <w:r w:rsidRPr="00EA5307">
        <w:t>Por su parte, los artículos 25, numeral 1 de la Ley General y 27, numeral 1, fracciones II y III de la Ley Electoral, disponen que las elecciones ordinarias en las que se elijan Gobernadoras o Gobernadores, miembros de las legislaturas locales e integrantes de los Ayuntamientos, deberán celebrarse el primer domingo de junio del año que corresponda. Conforme a tales disposiciones, la jornada electoral por la que se renovará al titular del Poder Ejecutivo, a las y los diputados, así como a las regidurías de los 17 ayuntamientos en la entidad se efectuará el 2 de junio del 2024.</w:t>
      </w:r>
    </w:p>
    <w:p w14:paraId="75648B01" w14:textId="77777777" w:rsidR="00C01B57" w:rsidRPr="00EA5307" w:rsidRDefault="00C01B57" w:rsidP="00C01B57">
      <w:pPr>
        <w:pStyle w:val="Ttulo1"/>
        <w:rPr>
          <w:sz w:val="24"/>
          <w:szCs w:val="24"/>
        </w:rPr>
      </w:pPr>
      <w:r w:rsidRPr="00EA5307">
        <w:rPr>
          <w:sz w:val="24"/>
          <w:szCs w:val="24"/>
        </w:rPr>
        <w:t>Considerando</w:t>
      </w:r>
    </w:p>
    <w:p w14:paraId="2D359814" w14:textId="77777777" w:rsidR="00C01B57" w:rsidRPr="00EA5307" w:rsidRDefault="00C01B57" w:rsidP="00C01B57">
      <w:pPr>
        <w:pStyle w:val="Ttulo2"/>
        <w:rPr>
          <w:sz w:val="23"/>
        </w:rPr>
      </w:pPr>
      <w:r w:rsidRPr="00EA5307">
        <w:rPr>
          <w:sz w:val="23"/>
        </w:rPr>
        <w:t xml:space="preserve">Fines del Instituto </w:t>
      </w:r>
    </w:p>
    <w:p w14:paraId="7C1814B3" w14:textId="77777777" w:rsidR="00C01B57" w:rsidRPr="00EA5307" w:rsidRDefault="00C01B57" w:rsidP="00C01B57">
      <w:pPr>
        <w:widowControl w:val="0"/>
      </w:pPr>
      <w:r w:rsidRPr="00EA5307">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42DF0446" w14:textId="77777777" w:rsidR="00C01B57" w:rsidRPr="00EA5307" w:rsidRDefault="00C01B57" w:rsidP="00C01B57">
      <w:pPr>
        <w:widowControl w:val="0"/>
      </w:pPr>
      <w:r w:rsidRPr="00EA5307">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00B3C4FB" w14:textId="77777777" w:rsidR="00C01B57" w:rsidRPr="00EA5307" w:rsidRDefault="00C01B57" w:rsidP="00C01B57">
      <w:pPr>
        <w:pStyle w:val="Ttulo2"/>
        <w:rPr>
          <w:sz w:val="23"/>
        </w:rPr>
      </w:pPr>
      <w:r w:rsidRPr="00EA5307">
        <w:rPr>
          <w:sz w:val="23"/>
        </w:rPr>
        <w:lastRenderedPageBreak/>
        <w:t xml:space="preserve">Órgano Superior de Dirección del Instituto </w:t>
      </w:r>
    </w:p>
    <w:p w14:paraId="0B98729B" w14:textId="77777777" w:rsidR="00C01B57" w:rsidRPr="00EA5307" w:rsidRDefault="00C01B57" w:rsidP="00C01B57">
      <w:pPr>
        <w:widowControl w:val="0"/>
      </w:pPr>
      <w:r w:rsidRPr="00EA5307">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7271583B" w14:textId="77777777" w:rsidR="00C01B57" w:rsidRPr="00EA5307" w:rsidRDefault="00C01B57" w:rsidP="00C01B57">
      <w:pPr>
        <w:pStyle w:val="Ttulo2"/>
        <w:rPr>
          <w:sz w:val="23"/>
        </w:rPr>
      </w:pPr>
      <w:r w:rsidRPr="00EA5307">
        <w:rPr>
          <w:sz w:val="23"/>
        </w:rPr>
        <w:t>Integración del Órgano de Dirección Superior</w:t>
      </w:r>
    </w:p>
    <w:p w14:paraId="0152D66C" w14:textId="77777777" w:rsidR="00C01B57" w:rsidRPr="00EA5307" w:rsidRDefault="00C01B57" w:rsidP="00C01B57">
      <w:pPr>
        <w:widowControl w:val="0"/>
      </w:pPr>
      <w:r w:rsidRPr="00EA5307">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61F89638" w14:textId="77777777" w:rsidR="00C01B57" w:rsidRPr="00EA5307" w:rsidRDefault="00C01B57" w:rsidP="00C01B57">
      <w:pPr>
        <w:pStyle w:val="Ttulo2"/>
        <w:rPr>
          <w:sz w:val="23"/>
        </w:rPr>
      </w:pPr>
      <w:r w:rsidRPr="00EA5307">
        <w:rPr>
          <w:sz w:val="23"/>
        </w:rPr>
        <w:t>Atribución de los organismos electorales de aplicar reglas, lineamientos, criterios emitidos por el INE</w:t>
      </w:r>
    </w:p>
    <w:p w14:paraId="18A7C9E6" w14:textId="77777777" w:rsidR="00C01B57" w:rsidRPr="00EA5307" w:rsidRDefault="00C01B57" w:rsidP="00C01B57">
      <w:pPr>
        <w:widowControl w:val="0"/>
      </w:pPr>
      <w:r w:rsidRPr="00EA5307">
        <w:t>Que, el artículo 104, numeral 1, inciso a), de la Ley General, establece que corresponde a los Organismos Electorales la aplicación de las disposiciones generales, reglas, lineamientos, criterios y formatos que determine el INE en ejercicio de las facultades que le confiere la Constitución Federal y dicha Ley.</w:t>
      </w:r>
    </w:p>
    <w:p w14:paraId="77F93C8A" w14:textId="77777777" w:rsidR="00C01B57" w:rsidRPr="00EA5307" w:rsidRDefault="00C01B57" w:rsidP="00C01B57">
      <w:pPr>
        <w:pStyle w:val="Ttulo2"/>
        <w:rPr>
          <w:sz w:val="23"/>
        </w:rPr>
      </w:pPr>
      <w:r w:rsidRPr="00EA5307">
        <w:rPr>
          <w:sz w:val="23"/>
        </w:rPr>
        <w:t xml:space="preserve">Competencia del Consejo Estatal </w:t>
      </w:r>
    </w:p>
    <w:p w14:paraId="2F947EFB" w14:textId="77777777" w:rsidR="00C01B57" w:rsidRPr="00EA5307" w:rsidRDefault="00C01B57" w:rsidP="00C01B57">
      <w:pPr>
        <w:widowControl w:val="0"/>
      </w:pPr>
      <w:r w:rsidRPr="00EA5307">
        <w:t>Que, de conformidad con el artículo 115 numeral 1, fracciones XV y XXVII de la Ley Electoral, el Consejo Estatal es competente para llevar a cabo las actividades necesarias para la preparación de la jornada electoral e implementar y operar el Programa de Resultados Electorales Preliminares de las elecciones que se lleven a cabo en la entidad, de conformidad con las reglas, lineamientos, criterios y formatos que al efecto emita el INE.</w:t>
      </w:r>
    </w:p>
    <w:p w14:paraId="6ED83EF8" w14:textId="77777777" w:rsidR="00C01B57" w:rsidRPr="00EA5307" w:rsidRDefault="00C01B57" w:rsidP="00C01B57">
      <w:pPr>
        <w:widowControl w:val="0"/>
      </w:pPr>
      <w:r w:rsidRPr="00EA5307">
        <w:t>Acorde a lo anterior,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78F49D7C" w14:textId="77777777" w:rsidR="00C01B57" w:rsidRPr="00EA5307" w:rsidRDefault="00C01B57" w:rsidP="00C01B57">
      <w:pPr>
        <w:pStyle w:val="Ttulo2"/>
        <w:rPr>
          <w:sz w:val="23"/>
        </w:rPr>
      </w:pPr>
      <w:r w:rsidRPr="00EA5307">
        <w:rPr>
          <w:sz w:val="23"/>
        </w:rPr>
        <w:t>Atribuciones de la Comisión</w:t>
      </w:r>
    </w:p>
    <w:p w14:paraId="5B4AA5BE" w14:textId="77777777" w:rsidR="00C01B57" w:rsidRPr="00EA5307" w:rsidRDefault="00C01B57" w:rsidP="00C01B57">
      <w:pPr>
        <w:widowControl w:val="0"/>
      </w:pPr>
      <w:r w:rsidRPr="00EA5307">
        <w:t>Que, en términos del acuerdo CE/2023/018, la Comisión para el cumplimiento de sus fines,  podrá supervisar la adecuada integración y funcionamiento, en su caso del Comité y verificar que quienes operen el PREPET y el Sistema “Candidatas y Candidatos: Conóceles”, garanticen un funcionamiento correcto a fin de éstos y cumplan con el propósito de informar a la ciudadanía, de manera oportuna, los resultados preliminares y la información curricular e identidad de las personas candidatas que se postulen en el próximo Proceso Electoral.</w:t>
      </w:r>
    </w:p>
    <w:p w14:paraId="59C54210" w14:textId="77777777" w:rsidR="00C01B57" w:rsidRPr="00EA5307" w:rsidRDefault="00C01B57" w:rsidP="00C01B57">
      <w:pPr>
        <w:pStyle w:val="Ttulo2"/>
        <w:rPr>
          <w:sz w:val="23"/>
        </w:rPr>
      </w:pPr>
      <w:r w:rsidRPr="00EA5307">
        <w:rPr>
          <w:sz w:val="23"/>
        </w:rPr>
        <w:t>Programa de Resultados Electorales Preliminares</w:t>
      </w:r>
    </w:p>
    <w:p w14:paraId="7F844A0F" w14:textId="77777777" w:rsidR="00C01B57" w:rsidRPr="00EA5307" w:rsidRDefault="00C01B57" w:rsidP="00C01B57">
      <w:pPr>
        <w:widowControl w:val="0"/>
      </w:pPr>
      <w:r w:rsidRPr="00EA5307">
        <w:t>Que, el artículo 173 numeral 1 de la Ley Electoral señala que el PREP es el mecanismo de información electoral encargado de proveer los resultados preliminares y no definitivos, de carácter estrictamente informativo a través de la captura, digitalización y publicación de los datos asentados en las actas de escrutinio y cómputo de las casillas que se reciben en los CATD autorizados por el Instituto.</w:t>
      </w:r>
    </w:p>
    <w:p w14:paraId="111A1105" w14:textId="77777777" w:rsidR="00C01B57" w:rsidRPr="00EA5307" w:rsidRDefault="00C01B57" w:rsidP="00C01B57">
      <w:pPr>
        <w:widowControl w:val="0"/>
      </w:pPr>
      <w:r w:rsidRPr="00EA5307">
        <w:t>Asimismo, en términos del numeral 2 del artículo en cita, en las elecciones de su competencia, el Instituto Estatal se sujetará a las reglas, lineamientos y criterios que en materia de resultados preliminares emita el INE.</w:t>
      </w:r>
    </w:p>
    <w:p w14:paraId="300BB220" w14:textId="77777777" w:rsidR="00C01B57" w:rsidRPr="00EA5307" w:rsidRDefault="00C01B57" w:rsidP="00C01B57">
      <w:pPr>
        <w:pStyle w:val="Ttulo2"/>
        <w:rPr>
          <w:sz w:val="23"/>
        </w:rPr>
      </w:pPr>
      <w:r w:rsidRPr="00EA5307">
        <w:rPr>
          <w:sz w:val="23"/>
        </w:rPr>
        <w:t>Regulación del Programa de Resultados Electorales Preliminares</w:t>
      </w:r>
    </w:p>
    <w:p w14:paraId="4BBD5023" w14:textId="77777777" w:rsidR="00C01B57" w:rsidRPr="00EA5307" w:rsidRDefault="00C01B57" w:rsidP="00C01B57">
      <w:pPr>
        <w:widowControl w:val="0"/>
      </w:pPr>
      <w:r w:rsidRPr="00EA5307">
        <w:t>Que, en términos de los artículos 41 base V, apartado B, inciso a), numeral 5 de la Constitución Federal y 336 del Reglamento de Elecciones, el INE estableció las bases y los procedimientos generales para el diseño, la implementación y operación del PREP, las cuales son aplicables para los organismos electorales en sus, así como para todas las personas que participen en las etapas de diseño, implementación, operación y evaluación de dicho programa.</w:t>
      </w:r>
    </w:p>
    <w:p w14:paraId="38B838BD" w14:textId="77777777" w:rsidR="00C01B57" w:rsidRPr="00EA5307" w:rsidRDefault="00C01B57" w:rsidP="00C01B57">
      <w:pPr>
        <w:pStyle w:val="Ttulo2"/>
        <w:rPr>
          <w:sz w:val="23"/>
        </w:rPr>
      </w:pPr>
      <w:r w:rsidRPr="00EA5307">
        <w:rPr>
          <w:sz w:val="23"/>
        </w:rPr>
        <w:t>Responsabilidad del Programa de Resultados Electorales Preliminares</w:t>
      </w:r>
    </w:p>
    <w:p w14:paraId="0E658554" w14:textId="77777777" w:rsidR="00C01B57" w:rsidRPr="00EA5307" w:rsidRDefault="00C01B57" w:rsidP="00C01B57">
      <w:pPr>
        <w:widowControl w:val="0"/>
      </w:pPr>
      <w:r w:rsidRPr="00EA5307">
        <w:t>Que, el artículo 338, numeral 2, inciso b) del Reglamento de Elecciones dispone que, con base en sus atribuciones legales, y en función al tipo de elección o mecanismo de participación ciudadana de que se trate, el diseño, la implementación y operación del Programa de Resultados Electorales Preliminares será responsabilidad de los organismos electorales cuando se trate de las elecciones para la Gubernatura, diputaciones y regidurías.</w:t>
      </w:r>
    </w:p>
    <w:p w14:paraId="67B892BF" w14:textId="77777777" w:rsidR="00C01B57" w:rsidRPr="00EA5307" w:rsidRDefault="00C01B57" w:rsidP="00C01B57">
      <w:pPr>
        <w:pStyle w:val="Ttulo2"/>
        <w:rPr>
          <w:sz w:val="23"/>
        </w:rPr>
      </w:pPr>
      <w:r w:rsidRPr="00EA5307">
        <w:rPr>
          <w:sz w:val="23"/>
        </w:rPr>
        <w:t>Atribuciones del Comité</w:t>
      </w:r>
    </w:p>
    <w:p w14:paraId="2EE2A22C" w14:textId="77777777" w:rsidR="00C01B57" w:rsidRPr="00EA5307" w:rsidRDefault="00C01B57" w:rsidP="00C01B57">
      <w:pPr>
        <w:widowControl w:val="0"/>
      </w:pPr>
      <w:r w:rsidRPr="00EA5307">
        <w:t>Que, conforme a lo dispuesto por el artículo 342, numeral 1 del Reglamento, el Comité tendrá las siguientes atribuciones:</w:t>
      </w:r>
    </w:p>
    <w:p w14:paraId="47744455" w14:textId="77777777" w:rsidR="00C01B57" w:rsidRPr="00EA5307" w:rsidRDefault="00C01B57" w:rsidP="00C01B57">
      <w:pPr>
        <w:pStyle w:val="Prrafodelista"/>
        <w:widowControl w:val="0"/>
        <w:numPr>
          <w:ilvl w:val="0"/>
          <w:numId w:val="3"/>
        </w:numPr>
        <w:ind w:left="703" w:hanging="703"/>
        <w:contextualSpacing w:val="0"/>
      </w:pPr>
      <w:r w:rsidRPr="00EA5307">
        <w:t>Realizar análisis, estudios y propuestas, en el desarrollo y optimización del PREP, con la finalidad que éste cumpla con los objetivos y metas planteadas;</w:t>
      </w:r>
    </w:p>
    <w:p w14:paraId="526E3C42" w14:textId="77777777" w:rsidR="00C01B57" w:rsidRPr="00EA5307" w:rsidRDefault="00C01B57" w:rsidP="00C01B57">
      <w:pPr>
        <w:pStyle w:val="Prrafodelista"/>
        <w:widowControl w:val="0"/>
        <w:numPr>
          <w:ilvl w:val="0"/>
          <w:numId w:val="3"/>
        </w:numPr>
        <w:ind w:left="703" w:hanging="703"/>
        <w:contextualSpacing w:val="0"/>
      </w:pPr>
      <w:r w:rsidRPr="00EA5307">
        <w:t>Asesorar los trabajos propios del PREP en materia de tecnologías de la información y comunicaciones, investigación de operaciones, ciencia política, análisis estadístico y/o ciencia de datos, así como en aspectos logísticos y operativos;</w:t>
      </w:r>
    </w:p>
    <w:p w14:paraId="6A0A7F79" w14:textId="77777777" w:rsidR="00C01B57" w:rsidRPr="00EA5307" w:rsidRDefault="00C01B57" w:rsidP="00C01B57">
      <w:pPr>
        <w:pStyle w:val="Prrafodelista"/>
        <w:widowControl w:val="0"/>
        <w:numPr>
          <w:ilvl w:val="0"/>
          <w:numId w:val="3"/>
        </w:numPr>
        <w:ind w:left="703" w:hanging="703"/>
        <w:contextualSpacing w:val="0"/>
      </w:pPr>
      <w:r w:rsidRPr="00EA5307">
        <w:t>Asesorar y dar seguimiento a la implementación y operación de los mecanismos para llevar a cabo el PREP;</w:t>
      </w:r>
    </w:p>
    <w:p w14:paraId="2FC93A72" w14:textId="77777777" w:rsidR="00C01B57" w:rsidRPr="00EA5307" w:rsidRDefault="00C01B57" w:rsidP="00C01B57">
      <w:pPr>
        <w:pStyle w:val="Prrafodelista"/>
        <w:widowControl w:val="0"/>
        <w:numPr>
          <w:ilvl w:val="0"/>
          <w:numId w:val="3"/>
        </w:numPr>
        <w:ind w:left="703" w:hanging="703"/>
        <w:contextualSpacing w:val="0"/>
      </w:pPr>
      <w:r w:rsidRPr="00EA5307">
        <w:t>Dar seguimiento a la coordinación y supervisión de la instalación y operación de los equipos de digitalización y captura, así como a la capacitación del personal o de los prestadores de servicios, en su caso, encargado del acopio y transmisión de los datos de los resultados electorales preliminares;</w:t>
      </w:r>
    </w:p>
    <w:p w14:paraId="55D3FA0F" w14:textId="77777777" w:rsidR="00C01B57" w:rsidRPr="00EA5307" w:rsidRDefault="00C01B57" w:rsidP="00C01B57">
      <w:pPr>
        <w:pStyle w:val="Prrafodelista"/>
        <w:widowControl w:val="0"/>
        <w:numPr>
          <w:ilvl w:val="0"/>
          <w:numId w:val="3"/>
        </w:numPr>
        <w:ind w:left="703" w:hanging="703"/>
        <w:contextualSpacing w:val="0"/>
      </w:pPr>
      <w:r w:rsidRPr="00EA5307">
        <w:t>Asesorar y dar seguimiento en el diseño y aplicación del sistema de digitalización, captura y verificación, del procedimiento de transmisión y recepción, así como de las medidas de seguridad y protección, consolidación, procesamiento y publicación de la información;</w:t>
      </w:r>
    </w:p>
    <w:p w14:paraId="402CF8B3" w14:textId="77777777" w:rsidR="00C01B57" w:rsidRPr="00EA5307" w:rsidRDefault="00C01B57" w:rsidP="00C01B57">
      <w:pPr>
        <w:pStyle w:val="Prrafodelista"/>
        <w:widowControl w:val="0"/>
        <w:numPr>
          <w:ilvl w:val="0"/>
          <w:numId w:val="3"/>
        </w:numPr>
        <w:ind w:left="703" w:hanging="703"/>
        <w:contextualSpacing w:val="0"/>
      </w:pPr>
      <w:r w:rsidRPr="00EA5307">
        <w:t>Revisar y emitir recomendaciones sobre la forma en que será presentada la información del PREP en las diferentes pantallas de publicación, verificando el apego a las plantillas base de la interfaz establecidas por el Instituto;</w:t>
      </w:r>
    </w:p>
    <w:p w14:paraId="184DD068" w14:textId="77777777" w:rsidR="00C01B57" w:rsidRPr="00EA5307" w:rsidRDefault="00C01B57" w:rsidP="00C01B57">
      <w:pPr>
        <w:pStyle w:val="Prrafodelista"/>
        <w:widowControl w:val="0"/>
        <w:numPr>
          <w:ilvl w:val="0"/>
          <w:numId w:val="3"/>
        </w:numPr>
        <w:ind w:left="703" w:hanging="703"/>
        <w:contextualSpacing w:val="0"/>
      </w:pPr>
      <w:r w:rsidRPr="00EA5307">
        <w:t>Realizar al menos una sesión ordinaria mensual;</w:t>
      </w:r>
    </w:p>
    <w:p w14:paraId="7C40F667" w14:textId="77777777" w:rsidR="00C01B57" w:rsidRPr="00EA5307" w:rsidRDefault="00C01B57" w:rsidP="00C01B57">
      <w:pPr>
        <w:pStyle w:val="Prrafodelista"/>
        <w:widowControl w:val="0"/>
        <w:numPr>
          <w:ilvl w:val="0"/>
          <w:numId w:val="3"/>
        </w:numPr>
        <w:ind w:left="703" w:hanging="703"/>
        <w:contextualSpacing w:val="0"/>
      </w:pPr>
      <w:r w:rsidRPr="00EA5307">
        <w:t>Realizar reuniones de trabajo con representantes de los partidos políticos y, en su caso, de las candidaturas independientes ante el Consejo General o el Órgano Superior de Dirección del OPL que corresponda, para dar a conocer el plan de trabajo, avances y seguimiento de la implementación y operación del PREP;</w:t>
      </w:r>
    </w:p>
    <w:p w14:paraId="6339B857" w14:textId="77777777" w:rsidR="00C01B57" w:rsidRPr="00EA5307" w:rsidRDefault="00C01B57" w:rsidP="00C01B57">
      <w:pPr>
        <w:pStyle w:val="Prrafodelista"/>
        <w:widowControl w:val="0"/>
        <w:numPr>
          <w:ilvl w:val="0"/>
          <w:numId w:val="3"/>
        </w:numPr>
        <w:ind w:left="703" w:hanging="703"/>
        <w:contextualSpacing w:val="0"/>
      </w:pPr>
      <w:r w:rsidRPr="00EA5307">
        <w:t>Elaborar un informe de actividades, al menos cada dos meses, que deberá ser entregado al Consejo General o al Órgano Superior de Dirección que corresponda;</w:t>
      </w:r>
    </w:p>
    <w:p w14:paraId="3861C33D" w14:textId="77777777" w:rsidR="00C01B57" w:rsidRPr="00EA5307" w:rsidRDefault="00C01B57" w:rsidP="00C01B57">
      <w:pPr>
        <w:pStyle w:val="Prrafodelista"/>
        <w:widowControl w:val="0"/>
        <w:numPr>
          <w:ilvl w:val="0"/>
          <w:numId w:val="3"/>
        </w:numPr>
        <w:ind w:left="703" w:hanging="703"/>
        <w:contextualSpacing w:val="0"/>
      </w:pPr>
      <w:r w:rsidRPr="00EA5307">
        <w:t>Presenciar la ejecución de todos los simulacros del PREP, debiendo asistir a algún recinto donde se lleven a cabo, al menos alguna de las fases del proceso técnico operativo;</w:t>
      </w:r>
    </w:p>
    <w:p w14:paraId="198BC8A4" w14:textId="77777777" w:rsidR="00C01B57" w:rsidRPr="00EA5307" w:rsidRDefault="00C01B57" w:rsidP="00C01B57">
      <w:pPr>
        <w:pStyle w:val="Prrafodelista"/>
        <w:widowControl w:val="0"/>
        <w:numPr>
          <w:ilvl w:val="0"/>
          <w:numId w:val="3"/>
        </w:numPr>
        <w:ind w:left="703" w:hanging="703"/>
        <w:contextualSpacing w:val="0"/>
      </w:pPr>
      <w:r w:rsidRPr="00EA5307">
        <w:t>Elaborar un informe final de las actividades desempeñadas durante la vigencia del Comité, que deberá ser entregado al Consejo General o al Órgano Superior de Dirección que corresponda, dentro del mes del día de la jornada electoral, y</w:t>
      </w:r>
    </w:p>
    <w:p w14:paraId="229CE803" w14:textId="77777777" w:rsidR="00C01B57" w:rsidRPr="00EA5307" w:rsidRDefault="00C01B57" w:rsidP="00C01B57">
      <w:pPr>
        <w:pStyle w:val="Prrafodelista"/>
        <w:widowControl w:val="0"/>
        <w:numPr>
          <w:ilvl w:val="0"/>
          <w:numId w:val="3"/>
        </w:numPr>
        <w:ind w:left="703" w:hanging="703"/>
        <w:contextualSpacing w:val="0"/>
      </w:pPr>
      <w:r w:rsidRPr="00EA5307">
        <w:t>Las demás que sean necesarias para el cumplimiento de sus atribuciones, siempre y cuando se encuentren apegadas a lo que dispone la Ley General, este Reglamento, sus anexos 13 y 18.5 y demás normatividad aplicable.</w:t>
      </w:r>
    </w:p>
    <w:p w14:paraId="787D89E9" w14:textId="77777777" w:rsidR="00C66CF5" w:rsidRPr="00EA5307" w:rsidRDefault="00301A1B" w:rsidP="00021AFD">
      <w:pPr>
        <w:pStyle w:val="Ttulo2"/>
        <w:rPr>
          <w:sz w:val="23"/>
        </w:rPr>
      </w:pPr>
      <w:r w:rsidRPr="00EA5307">
        <w:rPr>
          <w:sz w:val="23"/>
        </w:rPr>
        <w:t>Sistema i</w:t>
      </w:r>
      <w:r w:rsidR="00C01B57" w:rsidRPr="00EA5307">
        <w:rPr>
          <w:sz w:val="23"/>
        </w:rPr>
        <w:t>nformático</w:t>
      </w:r>
    </w:p>
    <w:p w14:paraId="0320B326" w14:textId="77777777" w:rsidR="00C01B57" w:rsidRPr="00EA5307" w:rsidRDefault="00C01B57" w:rsidP="00C01B57">
      <w:r w:rsidRPr="00EA5307">
        <w:t>Que, de conformidad con el artículo 346 numeral 1 del Reglamento de Elecciones, el INE y los organismos electorales, en el ámbito de su competencia, deberán implementar un sistema informático para la operación del PREP. El sistema, ya sea propio o desarrollado por terceros, será independiente y responsabilidad de cada una de dichas autoridades; además, deberá contemplar las etapas mínimas del Proceso Técnico Operativo, señaladas en el anexo 13 de dicho Reglamento.</w:t>
      </w:r>
    </w:p>
    <w:p w14:paraId="188563E4" w14:textId="77777777" w:rsidR="00C01B57" w:rsidRPr="00EA5307" w:rsidRDefault="007235F7" w:rsidP="00C01B57">
      <w:r w:rsidRPr="00EA5307">
        <w:t>D</w:t>
      </w:r>
      <w:r w:rsidR="00C01B57" w:rsidRPr="00EA5307">
        <w:t>e acu</w:t>
      </w:r>
      <w:r w:rsidR="00021AFD" w:rsidRPr="00EA5307">
        <w:t>e</w:t>
      </w:r>
      <w:r w:rsidR="00C01B57" w:rsidRPr="00EA5307">
        <w:t xml:space="preserve">rdo con </w:t>
      </w:r>
      <w:r w:rsidR="00021AFD" w:rsidRPr="00EA5307">
        <w:t xml:space="preserve">el numeral </w:t>
      </w:r>
      <w:r w:rsidR="00C01B57" w:rsidRPr="00EA5307">
        <w:t>2</w:t>
      </w:r>
      <w:r w:rsidR="00021AFD" w:rsidRPr="00EA5307">
        <w:t xml:space="preserve"> del artículo en cita, el INE y los organismos electorales </w:t>
      </w:r>
      <w:r w:rsidR="00C01B57" w:rsidRPr="00EA5307">
        <w:t xml:space="preserve">deberán establecer un </w:t>
      </w:r>
      <w:r w:rsidR="00021AFD" w:rsidRPr="00EA5307">
        <w:t>procedimiento de control de cam</w:t>
      </w:r>
      <w:r w:rsidR="00C01B57" w:rsidRPr="00EA5307">
        <w:t>bios del código fuente y de las configuraciones del sistema informático con el objeto de llevar un registro de las modificaciones al sistema y de sus correspondientes versiones.</w:t>
      </w:r>
    </w:p>
    <w:p w14:paraId="5055E650" w14:textId="77777777" w:rsidR="007235F7" w:rsidRPr="00EA5307" w:rsidRDefault="007235F7" w:rsidP="007235F7">
      <w:r w:rsidRPr="00EA5307">
        <w:t>Además, el anexo 13 del Reglamento de Elecciones refiere que para el desarrollo del sistema informático se deberán cumplir las siguientes etapas mínimas y contar con evidencia documental de las mismas:</w:t>
      </w:r>
    </w:p>
    <w:p w14:paraId="0A717CA8" w14:textId="77777777" w:rsidR="007235F7" w:rsidRPr="00EA5307" w:rsidRDefault="007235F7" w:rsidP="007235F7">
      <w:pPr>
        <w:pStyle w:val="Prrafodelista"/>
        <w:numPr>
          <w:ilvl w:val="1"/>
          <w:numId w:val="3"/>
        </w:numPr>
        <w:ind w:left="703" w:hanging="703"/>
        <w:contextualSpacing w:val="0"/>
      </w:pPr>
      <w:r w:rsidRPr="00EA5307">
        <w:rPr>
          <w:b/>
        </w:rPr>
        <w:t>Análisis:</w:t>
      </w:r>
      <w:r w:rsidRPr="00EA5307">
        <w:t xml:space="preserve"> en esta etapa se deben llevar a cabo la investigación y revisión de todos los aspectos (técnicos y legales) relacionados con la implementación y operación delos procesos y del sistema informático que conformarán el PREP;</w:t>
      </w:r>
    </w:p>
    <w:p w14:paraId="3EC7FA98" w14:textId="77777777" w:rsidR="007235F7" w:rsidRPr="00EA5307" w:rsidRDefault="007235F7" w:rsidP="007235F7">
      <w:pPr>
        <w:pStyle w:val="Prrafodelista"/>
        <w:numPr>
          <w:ilvl w:val="1"/>
          <w:numId w:val="3"/>
        </w:numPr>
        <w:ind w:left="703" w:hanging="703"/>
        <w:contextualSpacing w:val="0"/>
      </w:pPr>
      <w:r w:rsidRPr="00EA5307">
        <w:rPr>
          <w:b/>
        </w:rPr>
        <w:t>Diseño:</w:t>
      </w:r>
      <w:r w:rsidRPr="00EA5307">
        <w:t xml:space="preserve"> esta etapa consiste en utilizar la información recolectada en la etapa de análisis con el propósito de desarrollar un modelo con las correspondientes especificaciones de cada uno de los componentes del sistema informático (hardware, software), así como de los procesos; tomando en cuenta aspectos de funcionalidad, capacidad, continuidad y seguridad;</w:t>
      </w:r>
    </w:p>
    <w:p w14:paraId="18E57096" w14:textId="77777777" w:rsidR="007235F7" w:rsidRPr="00EA5307" w:rsidRDefault="007235F7" w:rsidP="007235F7">
      <w:pPr>
        <w:pStyle w:val="Prrafodelista"/>
        <w:numPr>
          <w:ilvl w:val="1"/>
          <w:numId w:val="3"/>
        </w:numPr>
        <w:ind w:left="703" w:hanging="703"/>
        <w:contextualSpacing w:val="0"/>
      </w:pPr>
      <w:r w:rsidRPr="00EA5307">
        <w:rPr>
          <w:b/>
        </w:rPr>
        <w:t>Construcción:</w:t>
      </w:r>
      <w:r w:rsidRPr="00EA5307">
        <w:t xml:space="preserve"> en esta etapa se utiliza el modelo o los modelos establecidos en la etapa de diseño con el objetivo de llevar a cabo las adquisiciones de bienes, la contratación de servicios, así como la instalación y configuración de hardware y software, y el desarrollo de las aplicaciones; y,</w:t>
      </w:r>
    </w:p>
    <w:p w14:paraId="351CFC64" w14:textId="77777777" w:rsidR="007235F7" w:rsidRPr="00EA5307" w:rsidRDefault="007235F7" w:rsidP="006C2951">
      <w:pPr>
        <w:pStyle w:val="Prrafodelista"/>
        <w:numPr>
          <w:ilvl w:val="1"/>
          <w:numId w:val="3"/>
        </w:numPr>
        <w:ind w:left="703" w:hanging="703"/>
        <w:contextualSpacing w:val="0"/>
      </w:pPr>
      <w:r w:rsidRPr="00EA5307">
        <w:rPr>
          <w:b/>
        </w:rPr>
        <w:t>Pruebas:</w:t>
      </w:r>
      <w:r w:rsidRPr="00EA5307">
        <w:t xml:space="preserve"> esta etapa consiste en verificar y asegurar que todos los componentes que integran el sistema informático operan conforme a los requerimientos establecidos en la etapa de análisis, cumplen con el modelo determinado en la etapa de diseño y aseguran la integridad en el procesamiento de la información. Las pruebas deben realizarse tanto de forma unitaria como de manera integral, cubriendo los aspectos de funcionalidad, capacidad, continuidad y seguridad.</w:t>
      </w:r>
      <w:r w:rsidRPr="00EA5307">
        <w:cr/>
      </w:r>
    </w:p>
    <w:p w14:paraId="340B5043" w14:textId="77777777" w:rsidR="00021AFD" w:rsidRPr="00EA5307" w:rsidRDefault="007235F7" w:rsidP="007235F7">
      <w:pPr>
        <w:pStyle w:val="Ttulo2"/>
        <w:rPr>
          <w:sz w:val="23"/>
        </w:rPr>
      </w:pPr>
      <w:r w:rsidRPr="00EA5307">
        <w:rPr>
          <w:sz w:val="23"/>
        </w:rPr>
        <w:t>A</w:t>
      </w:r>
      <w:r w:rsidR="00021AFD" w:rsidRPr="00EA5307">
        <w:rPr>
          <w:sz w:val="23"/>
        </w:rPr>
        <w:t>uditoría técnica al Sistema Informático</w:t>
      </w:r>
    </w:p>
    <w:p w14:paraId="3112DC34" w14:textId="77777777" w:rsidR="00021AFD" w:rsidRPr="00EA5307" w:rsidRDefault="00021AFD" w:rsidP="00021AFD">
      <w:r w:rsidRPr="00EA5307">
        <w:t>Que, el artículo 347 numeral 1 del Reglamento de Elecciones dispone que el INE y los organismos electorales deberán someter su Sistema Informático a una auditoría técnica para lo cual se deberá designar un ente auditor. El alcance de la auditoría deberá cubrir, como mínimo, los puntos siguientes:</w:t>
      </w:r>
    </w:p>
    <w:p w14:paraId="3B9683C5" w14:textId="77777777" w:rsidR="00021AFD" w:rsidRPr="00EA5307" w:rsidRDefault="00021AFD" w:rsidP="00021AFD">
      <w:pPr>
        <w:pStyle w:val="Prrafodelista"/>
        <w:numPr>
          <w:ilvl w:val="0"/>
          <w:numId w:val="5"/>
        </w:numPr>
        <w:ind w:left="357" w:hanging="357"/>
        <w:contextualSpacing w:val="0"/>
      </w:pPr>
      <w:r w:rsidRPr="00EA5307">
        <w:t>Pruebas funcionales de caja negra al sistema informático para evaluar la integridad en el procesamiento de la información y la generación de resultados preliminares; y</w:t>
      </w:r>
    </w:p>
    <w:p w14:paraId="1849DDFB" w14:textId="77777777" w:rsidR="00021AFD" w:rsidRPr="00EA5307" w:rsidRDefault="00021AFD" w:rsidP="00021AFD">
      <w:pPr>
        <w:pStyle w:val="Prrafodelista"/>
        <w:numPr>
          <w:ilvl w:val="0"/>
          <w:numId w:val="5"/>
        </w:numPr>
        <w:ind w:left="357" w:hanging="357"/>
        <w:contextualSpacing w:val="0"/>
      </w:pPr>
      <w:r w:rsidRPr="00EA5307">
        <w:t>Análisis de vulnerabilidades, considerando al menos pruebas de penetración y revisión de las configuraciones de la infraestructura tecnológica del PREP.</w:t>
      </w:r>
    </w:p>
    <w:p w14:paraId="64D5AF9D" w14:textId="77777777" w:rsidR="000E2FA6" w:rsidRPr="00EA5307" w:rsidRDefault="00301A1B" w:rsidP="000E2FA6">
      <w:r w:rsidRPr="00EA5307">
        <w:t>Por su parte</w:t>
      </w:r>
      <w:r w:rsidR="000E2FA6" w:rsidRPr="00EA5307">
        <w:t>, el anexo 13 del Reglamento de Elecciones establece la realización de pruebas de negación de servicio al sitio del PREP. Asimismo, el INE y los organismos electorales, deberán incorporar en el desarrollo de su sistema informático, la función requerida para la generación y el almacenamiento de bitácoras que faciliten los procedimientos de verificación, análisis y auditoría del sistema.</w:t>
      </w:r>
    </w:p>
    <w:p w14:paraId="74BEF42C" w14:textId="77777777" w:rsidR="00301A1B" w:rsidRPr="00EA5307" w:rsidRDefault="00301A1B" w:rsidP="00301A1B">
      <w:r w:rsidRPr="00EA5307">
        <w:t>Adicionalmente, la auditoría deberá ejecutarse sobre todos los módulos del sistema informático previo al inicio de los simulacros. Si de las pruebas y simulacros resultara necesario realizar ajustes al sistema, esto deberá hacerse del conocimiento del ente auditor para contar con un margen de tiempo que permita aplicar las medidas que resulten necesarias y se garantice que el sistema auditado sea el que opere para el PREP.</w:t>
      </w:r>
    </w:p>
    <w:p w14:paraId="5CAA2987" w14:textId="77777777" w:rsidR="00021AFD" w:rsidRPr="00EA5307" w:rsidRDefault="00301A1B" w:rsidP="00021AFD">
      <w:pPr>
        <w:pStyle w:val="Ttulo2"/>
        <w:rPr>
          <w:sz w:val="23"/>
        </w:rPr>
      </w:pPr>
      <w:r w:rsidRPr="00EA5307">
        <w:rPr>
          <w:sz w:val="23"/>
        </w:rPr>
        <w:t>E</w:t>
      </w:r>
      <w:r w:rsidR="00021AFD" w:rsidRPr="00EA5307">
        <w:rPr>
          <w:sz w:val="23"/>
        </w:rPr>
        <w:t>nte auditor</w:t>
      </w:r>
    </w:p>
    <w:p w14:paraId="07080F77" w14:textId="77777777" w:rsidR="00021AFD" w:rsidRPr="00EA5307" w:rsidRDefault="00021AFD" w:rsidP="00021AFD">
      <w:r w:rsidRPr="00EA5307">
        <w:t>Que, el numeral 2 del artículo 347 del Reglamento de Elecciones señala que, para la designación del ente auditor se dará preferencia a instituciones académicas o de investigación y deberá efectuarse a más tardar, cuatro meses antes del día de la Jornada Electoral. El ente auditor deberá contar con experiencia en la aplicación de auditorías con los alcances establecidos en el considerando anterior, por lo que, la instancia interna responsable de coordinar el desarrollo de las actividades del PREP será la encargada de validar el cumplimiento de la experiencia del ente auditor.</w:t>
      </w:r>
    </w:p>
    <w:p w14:paraId="5B45FF87" w14:textId="77777777" w:rsidR="00021AFD" w:rsidRPr="00EA5307" w:rsidRDefault="000E2FA6" w:rsidP="00021AFD">
      <w:r w:rsidRPr="00EA5307">
        <w:t>Además</w:t>
      </w:r>
      <w:r w:rsidR="00021AFD" w:rsidRPr="00EA5307">
        <w:t>, el ente auditor deberá presentar, previo a su designación y de acuerdo con el numeral 4 del artículo 347 del Reglamento de Elecciones, una propuesta técnico-económica que incluya el cronograma de las actividades a realizar y que cumpla con el anexo técnico que para tal efecto se establezca, el cual a su vez deberá considerar los requisitos mínimos establecidos por el INE.</w:t>
      </w:r>
    </w:p>
    <w:p w14:paraId="2768B9D5" w14:textId="77777777" w:rsidR="00021AFD" w:rsidRPr="00EA5307" w:rsidRDefault="00021AFD" w:rsidP="00021AFD">
      <w:r w:rsidRPr="00EA5307">
        <w:t>Posterior a su designación, el ente auditor deberá entregar al INE o al organismo electoral, según corresponda, la aceptación formal de su designación.</w:t>
      </w:r>
    </w:p>
    <w:p w14:paraId="77ADE768" w14:textId="77777777" w:rsidR="00021AFD" w:rsidRPr="00EA5307" w:rsidRDefault="00021AFD" w:rsidP="00021AFD">
      <w:r w:rsidRPr="00EA5307">
        <w:t>Finalmente, el INE, a través de la instancia interna, será el encargado de vigilar el cumplimiento por parte del ente auditor, de las disposiciones que rigen al PREP, tratándose de elecciones federales, mecanismos de participación ciudadana y aquellas elecciones o PREP que corresponda al INE llevar a cabo. Lo mismo corresponderá a los organismos electorales, a través de la instancia interna, tratándose de elecciones locales y ejercicios de participación ciudadana locales.</w:t>
      </w:r>
    </w:p>
    <w:p w14:paraId="65938879" w14:textId="77777777" w:rsidR="000E2FA6" w:rsidRPr="00EA5307" w:rsidRDefault="000E2FA6" w:rsidP="000E2FA6">
      <w:r w:rsidRPr="00EA5307">
        <w:t>Por su parte, el anexo 13 del Reglamento de Elecciones exige que el personal del ente responsable de llevar a cabo la auditoría deberá contar con experiencia en auditorías a sistemas informáticos, conforme al alcance especificado en dicho Reglamento y anexo mencionado, así como apegarse a la metodología que se establezca en el instrumento jurídico correspondiente y, conducirse con imparcialidad.</w:t>
      </w:r>
    </w:p>
    <w:p w14:paraId="67E7885C" w14:textId="77777777" w:rsidR="000E2FA6" w:rsidRPr="00EA5307" w:rsidRDefault="000E2FA6" w:rsidP="00025790">
      <w:pPr>
        <w:pStyle w:val="Ttulo2"/>
        <w:rPr>
          <w:sz w:val="23"/>
        </w:rPr>
      </w:pPr>
      <w:r w:rsidRPr="00EA5307">
        <w:rPr>
          <w:sz w:val="23"/>
        </w:rPr>
        <w:t>Instrumento jurídico</w:t>
      </w:r>
    </w:p>
    <w:p w14:paraId="38671BAC" w14:textId="77777777" w:rsidR="00301A1B" w:rsidRPr="00EA5307" w:rsidRDefault="00301A1B" w:rsidP="00301A1B">
      <w:r w:rsidRPr="00EA5307">
        <w:t>Que, de acuerdo con el anexo 13 del Reglamento de Elecciones, en todos los casos, se deberá formalizar un instrumento jurídico donde se establezcan las cláusulas que el INE y los organismos electorales pacten con el ente auditor, con el propósito de que se realice la auditoría. Asimismo, dicho instrumento deberá estar acompañado del anexo técnico establecido, el cual a su vez deberá considerar los requisitos mínimos establecidos por el INE.</w:t>
      </w:r>
    </w:p>
    <w:p w14:paraId="669D5EB0" w14:textId="77777777" w:rsidR="00301A1B" w:rsidRPr="00EA5307" w:rsidRDefault="00301A1B" w:rsidP="00301A1B">
      <w:r w:rsidRPr="00EA5307">
        <w:t>En el instrumento jurídico antes referido, se deberá establecer al ente auditor, como mínimo los siguientes elementos:</w:t>
      </w:r>
    </w:p>
    <w:p w14:paraId="3E467189" w14:textId="77777777" w:rsidR="00301A1B" w:rsidRPr="00EA5307" w:rsidRDefault="00301A1B" w:rsidP="00301A1B">
      <w:pPr>
        <w:pStyle w:val="Prrafodelista"/>
        <w:numPr>
          <w:ilvl w:val="0"/>
          <w:numId w:val="7"/>
        </w:numPr>
        <w:ind w:left="680" w:hanging="680"/>
        <w:contextualSpacing w:val="0"/>
      </w:pPr>
      <w:r w:rsidRPr="00EA5307">
        <w:t>Los alcances mínimos de la auditoría, establecidos en el Reglamento y el anexo 13;</w:t>
      </w:r>
    </w:p>
    <w:p w14:paraId="2F7E6851" w14:textId="77777777" w:rsidR="00301A1B" w:rsidRPr="00EA5307" w:rsidRDefault="00301A1B" w:rsidP="00301A1B">
      <w:pPr>
        <w:pStyle w:val="Prrafodelista"/>
        <w:numPr>
          <w:ilvl w:val="0"/>
          <w:numId w:val="7"/>
        </w:numPr>
        <w:ind w:left="680" w:hanging="680"/>
        <w:contextualSpacing w:val="0"/>
      </w:pPr>
      <w:r w:rsidRPr="00EA5307">
        <w:t xml:space="preserve">Metodología; </w:t>
      </w:r>
    </w:p>
    <w:p w14:paraId="1F74B336" w14:textId="77777777" w:rsidR="00025790" w:rsidRPr="00EA5307" w:rsidRDefault="00301A1B" w:rsidP="00301A1B">
      <w:pPr>
        <w:pStyle w:val="Prrafodelista"/>
        <w:numPr>
          <w:ilvl w:val="0"/>
          <w:numId w:val="7"/>
        </w:numPr>
        <w:ind w:left="680" w:hanging="680"/>
        <w:contextualSpacing w:val="0"/>
      </w:pPr>
      <w:r w:rsidRPr="00EA5307">
        <w:t>Un plan de trabajo base que establezca las actividades, fechas, responsabilidades, así como los recursos necesarios para llevarla a cabo;</w:t>
      </w:r>
    </w:p>
    <w:p w14:paraId="5B0BD28B" w14:textId="77777777" w:rsidR="00301A1B" w:rsidRPr="00EA5307" w:rsidRDefault="00301A1B" w:rsidP="00301A1B">
      <w:pPr>
        <w:pStyle w:val="Prrafodelista"/>
        <w:numPr>
          <w:ilvl w:val="0"/>
          <w:numId w:val="7"/>
        </w:numPr>
        <w:ind w:left="680" w:hanging="680"/>
        <w:contextualSpacing w:val="0"/>
      </w:pPr>
      <w:r w:rsidRPr="00EA5307">
        <w:t>La información que la autoridad electoral administrativa pone a disposición del ente auditor, salvaguardando en todo momento los derechos de la propiedad intelectual;</w:t>
      </w:r>
    </w:p>
    <w:p w14:paraId="6F98F39D" w14:textId="77777777" w:rsidR="00301A1B" w:rsidRPr="00EA5307" w:rsidRDefault="00301A1B" w:rsidP="00301A1B">
      <w:pPr>
        <w:pStyle w:val="Prrafodelista"/>
        <w:numPr>
          <w:ilvl w:val="0"/>
          <w:numId w:val="7"/>
        </w:numPr>
        <w:ind w:left="680" w:hanging="680"/>
        <w:contextualSpacing w:val="0"/>
      </w:pPr>
      <w:r w:rsidRPr="00EA5307">
        <w:t>Las obligaciones de las partes;</w:t>
      </w:r>
    </w:p>
    <w:p w14:paraId="59C6B50F" w14:textId="77777777" w:rsidR="00301A1B" w:rsidRPr="00EA5307" w:rsidRDefault="00301A1B" w:rsidP="00301A1B">
      <w:pPr>
        <w:pStyle w:val="Prrafodelista"/>
        <w:numPr>
          <w:ilvl w:val="0"/>
          <w:numId w:val="7"/>
        </w:numPr>
        <w:ind w:left="680" w:hanging="680"/>
        <w:contextualSpacing w:val="0"/>
      </w:pPr>
      <w:r w:rsidRPr="00EA5307">
        <w:t>Las fechas, contenido y términos en los que se presentarán los informes de la auditoría tanto parciales y final, como de evaluación de la operación del PREP, por parte del ente auditor;</w:t>
      </w:r>
    </w:p>
    <w:p w14:paraId="371CF75C" w14:textId="77777777" w:rsidR="00301A1B" w:rsidRPr="00EA5307" w:rsidRDefault="00301A1B" w:rsidP="00301A1B">
      <w:pPr>
        <w:pStyle w:val="Prrafodelista"/>
        <w:numPr>
          <w:ilvl w:val="0"/>
          <w:numId w:val="7"/>
        </w:numPr>
        <w:ind w:left="680" w:hanging="680"/>
        <w:contextualSpacing w:val="0"/>
      </w:pPr>
      <w:r w:rsidRPr="00EA5307">
        <w:t>La vigencia de dicho instrumento jurídico; y,</w:t>
      </w:r>
    </w:p>
    <w:p w14:paraId="6D4A6860" w14:textId="77777777" w:rsidR="00301A1B" w:rsidRPr="00EA5307" w:rsidRDefault="00301A1B" w:rsidP="00301A1B">
      <w:pPr>
        <w:pStyle w:val="Prrafodelista"/>
        <w:numPr>
          <w:ilvl w:val="0"/>
          <w:numId w:val="7"/>
        </w:numPr>
        <w:ind w:left="680" w:hanging="680"/>
        <w:contextualSpacing w:val="0"/>
      </w:pPr>
      <w:r w:rsidRPr="00EA5307">
        <w:t>La posibilidad de que el instrumento jurídico pueda modificarse siempre y cuando las partes estén de acuerdo y manifiesten su consentimiento por escrito.</w:t>
      </w:r>
    </w:p>
    <w:p w14:paraId="5A93108D" w14:textId="77777777" w:rsidR="00301A1B" w:rsidRPr="00EA5307" w:rsidRDefault="00301A1B" w:rsidP="00301A1B">
      <w:pPr>
        <w:pStyle w:val="Ttulo2"/>
        <w:rPr>
          <w:sz w:val="23"/>
        </w:rPr>
      </w:pPr>
      <w:r w:rsidRPr="00EA5307">
        <w:rPr>
          <w:sz w:val="23"/>
        </w:rPr>
        <w:t>Informes a cargo del ente auditor</w:t>
      </w:r>
    </w:p>
    <w:p w14:paraId="56EEDDCB" w14:textId="77777777" w:rsidR="00301A1B" w:rsidRPr="00EA5307" w:rsidRDefault="00301A1B" w:rsidP="00301A1B">
      <w:r w:rsidRPr="00EA5307">
        <w:t>Que, el anexo 13 del Reglamento de Elecciones dispone que el ente auditor deberá presentar informes de la auditoría debiendo considerar tres modelos básicos:</w:t>
      </w:r>
    </w:p>
    <w:p w14:paraId="24BF9628" w14:textId="77777777" w:rsidR="00301A1B" w:rsidRPr="00EA5307" w:rsidRDefault="00301A1B" w:rsidP="00301A1B">
      <w:pPr>
        <w:pStyle w:val="Prrafodelista"/>
        <w:numPr>
          <w:ilvl w:val="0"/>
          <w:numId w:val="9"/>
        </w:numPr>
        <w:ind w:left="703" w:hanging="703"/>
        <w:contextualSpacing w:val="0"/>
      </w:pPr>
      <w:r w:rsidRPr="00EA5307">
        <w:rPr>
          <w:b/>
        </w:rPr>
        <w:t>Informes parciales:</w:t>
      </w:r>
      <w:r w:rsidRPr="00EA5307">
        <w:t xml:space="preserve"> referentes a los resultados emitidos durante el proceso de auditoría, los cuales tendrán calidad de reservados en términos de las disposiciones aplicables en materia de transparencia y acceso a la información. Deberán incluir, al menos lo siguiente:</w:t>
      </w:r>
    </w:p>
    <w:p w14:paraId="64F0351A" w14:textId="77777777" w:rsidR="00301A1B" w:rsidRPr="00EA5307" w:rsidRDefault="00301A1B" w:rsidP="00301A1B">
      <w:pPr>
        <w:pStyle w:val="Prrafodelista"/>
        <w:numPr>
          <w:ilvl w:val="1"/>
          <w:numId w:val="9"/>
        </w:numPr>
        <w:ind w:left="1406" w:hanging="703"/>
      </w:pPr>
      <w:r w:rsidRPr="00EA5307">
        <w:t>Los criterios utilizados para la auditoría;</w:t>
      </w:r>
    </w:p>
    <w:p w14:paraId="6E32059A" w14:textId="77777777" w:rsidR="00301A1B" w:rsidRPr="00EA5307" w:rsidRDefault="00301A1B" w:rsidP="00301A1B">
      <w:pPr>
        <w:pStyle w:val="Prrafodelista"/>
        <w:numPr>
          <w:ilvl w:val="1"/>
          <w:numId w:val="9"/>
        </w:numPr>
        <w:ind w:left="1406" w:hanging="703"/>
      </w:pPr>
      <w:r w:rsidRPr="00EA5307">
        <w:t>El método para clasificar los hallazgos que permitan priorizar su atención;</w:t>
      </w:r>
    </w:p>
    <w:p w14:paraId="100DD903" w14:textId="77777777" w:rsidR="00301A1B" w:rsidRPr="00EA5307" w:rsidRDefault="00301A1B" w:rsidP="00301A1B">
      <w:pPr>
        <w:pStyle w:val="Prrafodelista"/>
        <w:numPr>
          <w:ilvl w:val="1"/>
          <w:numId w:val="9"/>
        </w:numPr>
        <w:ind w:left="1406" w:hanging="703"/>
      </w:pPr>
      <w:r w:rsidRPr="00EA5307">
        <w:t>Los hallazgos identificados y clasificados, y</w:t>
      </w:r>
    </w:p>
    <w:p w14:paraId="7E4B0980" w14:textId="77777777" w:rsidR="00301A1B" w:rsidRPr="00EA5307" w:rsidRDefault="00301A1B" w:rsidP="00301A1B">
      <w:pPr>
        <w:pStyle w:val="Prrafodelista"/>
        <w:numPr>
          <w:ilvl w:val="1"/>
          <w:numId w:val="9"/>
        </w:numPr>
        <w:spacing w:before="0"/>
        <w:ind w:left="1406" w:hanging="703"/>
        <w:contextualSpacing w:val="0"/>
      </w:pPr>
      <w:r w:rsidRPr="00EA5307">
        <w:t>Las posibles recomendaciones que permitan, al INE o a los organismos electorales, atenderlos.</w:t>
      </w:r>
    </w:p>
    <w:p w14:paraId="1FB8634C" w14:textId="77777777" w:rsidR="00301A1B" w:rsidRPr="00EA5307" w:rsidRDefault="00301A1B" w:rsidP="00301A1B">
      <w:pPr>
        <w:pStyle w:val="Prrafodelista"/>
        <w:numPr>
          <w:ilvl w:val="0"/>
          <w:numId w:val="9"/>
        </w:numPr>
        <w:ind w:left="703" w:hanging="703"/>
        <w:contextualSpacing w:val="0"/>
      </w:pPr>
      <w:r w:rsidRPr="00EA5307">
        <w:rPr>
          <w:b/>
        </w:rPr>
        <w:t>Informe final:</w:t>
      </w:r>
      <w:r w:rsidRPr="00EA5307">
        <w:t xml:space="preserve"> correspondiente a los resultados finales de la auditoría, el cual deberá publicarse en el portal oficial del INE o del organismo electoral, a más tardar un día antes de la jornada electoral.</w:t>
      </w:r>
    </w:p>
    <w:p w14:paraId="7FC60E62" w14:textId="77777777" w:rsidR="00301A1B" w:rsidRPr="00EA5307" w:rsidRDefault="00301A1B" w:rsidP="00301A1B">
      <w:pPr>
        <w:pStyle w:val="Prrafodelista"/>
        <w:numPr>
          <w:ilvl w:val="0"/>
          <w:numId w:val="9"/>
        </w:numPr>
        <w:ind w:left="703" w:hanging="703"/>
        <w:contextualSpacing w:val="0"/>
      </w:pPr>
      <w:r w:rsidRPr="00EA5307">
        <w:rPr>
          <w:b/>
        </w:rPr>
        <w:t>Informe de evaluación de la operación del PREP:</w:t>
      </w:r>
      <w:r w:rsidRPr="00EA5307">
        <w:t xml:space="preserve"> considera el cierre de operaciones del PREP, así como la etapa de evaluación del mismo.</w:t>
      </w:r>
    </w:p>
    <w:p w14:paraId="6C22B325" w14:textId="77777777" w:rsidR="00301A1B" w:rsidRPr="00EA5307" w:rsidRDefault="00301A1B" w:rsidP="009800AF">
      <w:pPr>
        <w:pStyle w:val="Ttulo2"/>
        <w:rPr>
          <w:sz w:val="23"/>
        </w:rPr>
      </w:pPr>
      <w:r w:rsidRPr="00EA5307">
        <w:rPr>
          <w:sz w:val="23"/>
        </w:rPr>
        <w:t>Designación del ente auditor</w:t>
      </w:r>
    </w:p>
    <w:p w14:paraId="0A3F81DD" w14:textId="77777777" w:rsidR="00733448" w:rsidRPr="00EA5307" w:rsidRDefault="00733448" w:rsidP="006C2951">
      <w:r w:rsidRPr="00EA5307">
        <w:t xml:space="preserve">Que, para dar cumplimiento a lo anterior y a partir de las consideraciones anteriores, se estableció comunicación con </w:t>
      </w:r>
      <w:r w:rsidR="006C2951" w:rsidRPr="00EA5307">
        <w:t xml:space="preserve">diversas </w:t>
      </w:r>
      <w:r w:rsidRPr="00EA5307">
        <w:t>empresas, instituciones académic</w:t>
      </w:r>
      <w:r w:rsidR="006C2951" w:rsidRPr="00EA5307">
        <w:t xml:space="preserve">as y universidades de prestigio que a su vez cuenten con la capacidad profesional y técnica, así como la experiencia en auditorías informáticas; ello con el propósito de que participen y colaboren con este Instituto en la verificación y el análisis al sistema </w:t>
      </w:r>
      <w:r w:rsidRPr="00EA5307">
        <w:t>informático que será utilizado en la implementación y operación del PREPET.</w:t>
      </w:r>
    </w:p>
    <w:p w14:paraId="4165B2A8" w14:textId="77777777" w:rsidR="006C2951" w:rsidRPr="00EA5307" w:rsidRDefault="006C2951" w:rsidP="006C2951">
      <w:r w:rsidRPr="00EA5307">
        <w:t xml:space="preserve">A partir de las comunicaciones anteriores, la Universidad Autónoma Metropolitana, el Instituto Tecnológico y de Estudios Superiores de Monterrey, así como la empresa </w:t>
      </w:r>
      <w:proofErr w:type="spellStart"/>
      <w:r w:rsidRPr="00EA5307">
        <w:t>Appworld</w:t>
      </w:r>
      <w:proofErr w:type="spellEnd"/>
      <w:r w:rsidRPr="00EA5307">
        <w:t xml:space="preserve"> S. de R.L. de C.V. manifestaron su interés en participar </w:t>
      </w:r>
      <w:r w:rsidR="00733448" w:rsidRPr="00EA5307">
        <w:t xml:space="preserve">en la auditoría </w:t>
      </w:r>
      <w:r w:rsidRPr="00EA5307">
        <w:t>mencionada. Para tal efecto, las interesadas presentaron la documentación requerida para acreditar su experiencia, de conformidad con lo siguiente:</w:t>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68"/>
        <w:gridCol w:w="1407"/>
        <w:gridCol w:w="1408"/>
        <w:gridCol w:w="1545"/>
      </w:tblGrid>
      <w:tr w:rsidR="00733448" w:rsidRPr="00733448" w14:paraId="036BF490" w14:textId="77777777" w:rsidTr="0084761D">
        <w:tc>
          <w:tcPr>
            <w:tcW w:w="4531" w:type="dxa"/>
            <w:shd w:val="clear" w:color="auto" w:fill="993366"/>
            <w:vAlign w:val="center"/>
          </w:tcPr>
          <w:p w14:paraId="7583B9C9" w14:textId="77777777" w:rsidR="00733448" w:rsidRPr="00733448" w:rsidRDefault="00733448" w:rsidP="00733448">
            <w:pPr>
              <w:spacing w:before="40" w:after="40"/>
              <w:jc w:val="center"/>
              <w:rPr>
                <w:b/>
                <w:color w:val="FFFFFF" w:themeColor="background1"/>
                <w:sz w:val="14"/>
              </w:rPr>
            </w:pPr>
            <w:r w:rsidRPr="00733448">
              <w:rPr>
                <w:b/>
                <w:color w:val="FFFFFF" w:themeColor="background1"/>
                <w:sz w:val="14"/>
              </w:rPr>
              <w:t>Institución</w:t>
            </w:r>
          </w:p>
        </w:tc>
        <w:tc>
          <w:tcPr>
            <w:tcW w:w="1417" w:type="dxa"/>
            <w:shd w:val="clear" w:color="auto" w:fill="993366"/>
            <w:vAlign w:val="center"/>
          </w:tcPr>
          <w:p w14:paraId="597B3D4B" w14:textId="77777777" w:rsidR="00733448" w:rsidRPr="0084761D" w:rsidRDefault="00733448" w:rsidP="00733448">
            <w:pPr>
              <w:spacing w:before="40" w:after="40"/>
              <w:jc w:val="center"/>
              <w:rPr>
                <w:rFonts w:ascii="Arial Negrita" w:hAnsi="Arial Negrita"/>
                <w:b/>
                <w:color w:val="FFFFFF" w:themeColor="background1"/>
                <w:spacing w:val="-10"/>
                <w:sz w:val="14"/>
              </w:rPr>
            </w:pPr>
            <w:r w:rsidRPr="0084761D">
              <w:rPr>
                <w:rFonts w:ascii="Arial Negrita" w:hAnsi="Arial Negrita"/>
                <w:b/>
                <w:color w:val="FFFFFF" w:themeColor="background1"/>
                <w:spacing w:val="-10"/>
                <w:sz w:val="14"/>
              </w:rPr>
              <w:t>Realizó auditorías a  organismos públicos locales en procesos anteriores</w:t>
            </w:r>
          </w:p>
        </w:tc>
        <w:tc>
          <w:tcPr>
            <w:tcW w:w="1418" w:type="dxa"/>
            <w:shd w:val="clear" w:color="auto" w:fill="993366"/>
            <w:vAlign w:val="center"/>
          </w:tcPr>
          <w:p w14:paraId="67EB4807" w14:textId="77777777" w:rsidR="00733448" w:rsidRPr="0084761D" w:rsidRDefault="00733448" w:rsidP="00733448">
            <w:pPr>
              <w:spacing w:before="40" w:after="40"/>
              <w:jc w:val="center"/>
              <w:rPr>
                <w:rFonts w:ascii="Arial Negrita" w:hAnsi="Arial Negrita"/>
                <w:b/>
                <w:color w:val="FFFFFF" w:themeColor="background1"/>
                <w:spacing w:val="-10"/>
                <w:sz w:val="14"/>
              </w:rPr>
            </w:pPr>
            <w:r w:rsidRPr="0084761D">
              <w:rPr>
                <w:rFonts w:ascii="Arial Negrita" w:hAnsi="Arial Negrita"/>
                <w:b/>
                <w:color w:val="FFFFFF" w:themeColor="background1"/>
                <w:spacing w:val="-10"/>
                <w:sz w:val="14"/>
              </w:rPr>
              <w:t>Presentó síntesis de experiencia en materia de auditorías</w:t>
            </w:r>
          </w:p>
        </w:tc>
        <w:tc>
          <w:tcPr>
            <w:tcW w:w="1462" w:type="dxa"/>
            <w:shd w:val="clear" w:color="auto" w:fill="993366"/>
            <w:vAlign w:val="center"/>
          </w:tcPr>
          <w:p w14:paraId="48370FF5" w14:textId="77777777" w:rsidR="00733448" w:rsidRPr="0084761D" w:rsidRDefault="00733448" w:rsidP="00733448">
            <w:pPr>
              <w:spacing w:before="40" w:after="40"/>
              <w:jc w:val="center"/>
              <w:rPr>
                <w:rFonts w:ascii="Arial Negrita" w:hAnsi="Arial Negrita"/>
                <w:b/>
                <w:color w:val="FFFFFF" w:themeColor="background1"/>
                <w:spacing w:val="-10"/>
                <w:sz w:val="14"/>
              </w:rPr>
            </w:pPr>
            <w:r w:rsidRPr="0084761D">
              <w:rPr>
                <w:rFonts w:ascii="Arial Negrita" w:hAnsi="Arial Negrita"/>
                <w:b/>
                <w:color w:val="FFFFFF" w:themeColor="background1"/>
                <w:spacing w:val="-10"/>
                <w:sz w:val="14"/>
              </w:rPr>
              <w:t>Propuesta Técnica Económica</w:t>
            </w:r>
          </w:p>
        </w:tc>
      </w:tr>
      <w:tr w:rsidR="00733448" w:rsidRPr="00733448" w14:paraId="1E80D323" w14:textId="77777777" w:rsidTr="0084761D">
        <w:tc>
          <w:tcPr>
            <w:tcW w:w="4531" w:type="dxa"/>
            <w:vAlign w:val="center"/>
          </w:tcPr>
          <w:p w14:paraId="5F91E185" w14:textId="77777777" w:rsidR="00733448" w:rsidRPr="0084761D" w:rsidRDefault="0084761D" w:rsidP="00733448">
            <w:pPr>
              <w:spacing w:before="40" w:after="40"/>
              <w:rPr>
                <w:spacing w:val="-8"/>
                <w:sz w:val="18"/>
              </w:rPr>
            </w:pPr>
            <w:r w:rsidRPr="0084761D">
              <w:rPr>
                <w:spacing w:val="-8"/>
                <w:sz w:val="18"/>
              </w:rPr>
              <w:t>Universidad Autónoma Metropolitana Unidad Iztapalapa</w:t>
            </w:r>
          </w:p>
        </w:tc>
        <w:tc>
          <w:tcPr>
            <w:tcW w:w="1417" w:type="dxa"/>
            <w:vAlign w:val="center"/>
          </w:tcPr>
          <w:p w14:paraId="7A85A7C5" w14:textId="77777777" w:rsidR="00733448" w:rsidRPr="0084761D" w:rsidRDefault="0084761D" w:rsidP="0084761D">
            <w:pPr>
              <w:spacing w:before="40" w:after="40"/>
              <w:jc w:val="center"/>
              <w:rPr>
                <w:spacing w:val="-10"/>
                <w:sz w:val="18"/>
              </w:rPr>
            </w:pPr>
            <w:r w:rsidRPr="0084761D">
              <w:rPr>
                <w:spacing w:val="-10"/>
                <w:sz w:val="18"/>
              </w:rPr>
              <w:t>Sí</w:t>
            </w:r>
          </w:p>
        </w:tc>
        <w:tc>
          <w:tcPr>
            <w:tcW w:w="1418" w:type="dxa"/>
            <w:vAlign w:val="center"/>
          </w:tcPr>
          <w:p w14:paraId="74822574" w14:textId="77777777" w:rsidR="00733448" w:rsidRPr="0084761D" w:rsidRDefault="0084761D" w:rsidP="0084761D">
            <w:pPr>
              <w:spacing w:before="40" w:after="40"/>
              <w:jc w:val="center"/>
              <w:rPr>
                <w:spacing w:val="-10"/>
                <w:sz w:val="18"/>
              </w:rPr>
            </w:pPr>
            <w:r w:rsidRPr="0084761D">
              <w:rPr>
                <w:spacing w:val="-10"/>
                <w:sz w:val="18"/>
              </w:rPr>
              <w:t>Sí</w:t>
            </w:r>
          </w:p>
        </w:tc>
        <w:tc>
          <w:tcPr>
            <w:tcW w:w="1462" w:type="dxa"/>
            <w:vAlign w:val="center"/>
          </w:tcPr>
          <w:p w14:paraId="3FE3BAC4" w14:textId="77777777" w:rsidR="00733448" w:rsidRPr="0084761D" w:rsidRDefault="0084761D" w:rsidP="0084761D">
            <w:pPr>
              <w:spacing w:before="40" w:after="40"/>
              <w:jc w:val="right"/>
              <w:rPr>
                <w:spacing w:val="-10"/>
                <w:sz w:val="18"/>
              </w:rPr>
            </w:pPr>
            <w:r w:rsidRPr="0084761D">
              <w:rPr>
                <w:spacing w:val="-10"/>
                <w:sz w:val="18"/>
              </w:rPr>
              <w:t xml:space="preserve">$2’400,000.00             </w:t>
            </w:r>
          </w:p>
        </w:tc>
      </w:tr>
      <w:tr w:rsidR="00733448" w:rsidRPr="00733448" w14:paraId="07523C16" w14:textId="77777777" w:rsidTr="0084761D">
        <w:tc>
          <w:tcPr>
            <w:tcW w:w="4531" w:type="dxa"/>
            <w:vAlign w:val="center"/>
          </w:tcPr>
          <w:p w14:paraId="4F30A8B3" w14:textId="77777777" w:rsidR="00733448" w:rsidRPr="0084761D" w:rsidRDefault="0084761D" w:rsidP="00733448">
            <w:pPr>
              <w:spacing w:before="40" w:after="40"/>
              <w:rPr>
                <w:spacing w:val="-10"/>
                <w:sz w:val="18"/>
              </w:rPr>
            </w:pPr>
            <w:r w:rsidRPr="0084761D">
              <w:rPr>
                <w:spacing w:val="-10"/>
                <w:sz w:val="18"/>
              </w:rPr>
              <w:t>Instituto Tecnológico y de Estudios Superiores de Monterrey</w:t>
            </w:r>
          </w:p>
        </w:tc>
        <w:tc>
          <w:tcPr>
            <w:tcW w:w="1417" w:type="dxa"/>
            <w:vAlign w:val="center"/>
          </w:tcPr>
          <w:p w14:paraId="18C4C3B4" w14:textId="77777777" w:rsidR="00733448" w:rsidRPr="0084761D" w:rsidRDefault="0084761D" w:rsidP="0084761D">
            <w:pPr>
              <w:spacing w:before="40" w:after="40"/>
              <w:jc w:val="center"/>
              <w:rPr>
                <w:spacing w:val="-10"/>
                <w:sz w:val="18"/>
              </w:rPr>
            </w:pPr>
            <w:r w:rsidRPr="0084761D">
              <w:rPr>
                <w:spacing w:val="-10"/>
                <w:sz w:val="18"/>
              </w:rPr>
              <w:t>Sí</w:t>
            </w:r>
          </w:p>
        </w:tc>
        <w:tc>
          <w:tcPr>
            <w:tcW w:w="1418" w:type="dxa"/>
            <w:vAlign w:val="center"/>
          </w:tcPr>
          <w:p w14:paraId="4F94A0B7" w14:textId="77777777" w:rsidR="00733448" w:rsidRPr="0084761D" w:rsidRDefault="0084761D" w:rsidP="0084761D">
            <w:pPr>
              <w:spacing w:before="40" w:after="40"/>
              <w:jc w:val="center"/>
              <w:rPr>
                <w:spacing w:val="-10"/>
                <w:sz w:val="18"/>
              </w:rPr>
            </w:pPr>
            <w:r w:rsidRPr="0084761D">
              <w:rPr>
                <w:spacing w:val="-10"/>
                <w:sz w:val="18"/>
              </w:rPr>
              <w:t>Sí</w:t>
            </w:r>
          </w:p>
        </w:tc>
        <w:tc>
          <w:tcPr>
            <w:tcW w:w="1462" w:type="dxa"/>
            <w:vAlign w:val="center"/>
          </w:tcPr>
          <w:p w14:paraId="13E65B88" w14:textId="77777777" w:rsidR="00733448" w:rsidRPr="0084761D" w:rsidRDefault="0084761D" w:rsidP="0084761D">
            <w:pPr>
              <w:spacing w:before="40" w:after="40"/>
              <w:jc w:val="right"/>
              <w:rPr>
                <w:spacing w:val="-10"/>
                <w:sz w:val="18"/>
              </w:rPr>
            </w:pPr>
            <w:r w:rsidRPr="0084761D">
              <w:rPr>
                <w:spacing w:val="-10"/>
                <w:sz w:val="18"/>
              </w:rPr>
              <w:t>$1’180,500.00</w:t>
            </w:r>
          </w:p>
        </w:tc>
      </w:tr>
      <w:tr w:rsidR="00733448" w:rsidRPr="00EA5307" w14:paraId="1563902A" w14:textId="77777777" w:rsidTr="0084761D">
        <w:tc>
          <w:tcPr>
            <w:tcW w:w="4531" w:type="dxa"/>
            <w:vAlign w:val="center"/>
          </w:tcPr>
          <w:p w14:paraId="78D7DCFF" w14:textId="77777777" w:rsidR="00733448" w:rsidRPr="00EA5307" w:rsidRDefault="0084761D" w:rsidP="00733448">
            <w:pPr>
              <w:spacing w:before="40" w:after="40"/>
              <w:rPr>
                <w:spacing w:val="-10"/>
              </w:rPr>
            </w:pPr>
            <w:proofErr w:type="spellStart"/>
            <w:r w:rsidRPr="00EA5307">
              <w:rPr>
                <w:spacing w:val="-10"/>
              </w:rPr>
              <w:t>Appworld</w:t>
            </w:r>
            <w:proofErr w:type="spellEnd"/>
            <w:r w:rsidRPr="00EA5307">
              <w:rPr>
                <w:spacing w:val="-10"/>
              </w:rPr>
              <w:t xml:space="preserve"> S. de R.L. de C.V.</w:t>
            </w:r>
          </w:p>
        </w:tc>
        <w:tc>
          <w:tcPr>
            <w:tcW w:w="1417" w:type="dxa"/>
            <w:vAlign w:val="center"/>
          </w:tcPr>
          <w:p w14:paraId="0C462E02" w14:textId="77777777" w:rsidR="00733448" w:rsidRPr="00EA5307" w:rsidRDefault="0084761D" w:rsidP="0084761D">
            <w:pPr>
              <w:spacing w:before="40" w:after="40"/>
              <w:jc w:val="center"/>
              <w:rPr>
                <w:spacing w:val="-10"/>
              </w:rPr>
            </w:pPr>
            <w:r w:rsidRPr="00EA5307">
              <w:rPr>
                <w:spacing w:val="-10"/>
              </w:rPr>
              <w:t>Sí</w:t>
            </w:r>
          </w:p>
        </w:tc>
        <w:tc>
          <w:tcPr>
            <w:tcW w:w="1418" w:type="dxa"/>
            <w:vAlign w:val="center"/>
          </w:tcPr>
          <w:p w14:paraId="7B5FB081" w14:textId="77777777" w:rsidR="00733448" w:rsidRPr="00EA5307" w:rsidRDefault="0084761D" w:rsidP="0084761D">
            <w:pPr>
              <w:spacing w:before="40" w:after="40"/>
              <w:jc w:val="center"/>
              <w:rPr>
                <w:spacing w:val="-10"/>
              </w:rPr>
            </w:pPr>
            <w:r w:rsidRPr="00EA5307">
              <w:rPr>
                <w:spacing w:val="-10"/>
              </w:rPr>
              <w:t>No</w:t>
            </w:r>
          </w:p>
        </w:tc>
        <w:tc>
          <w:tcPr>
            <w:tcW w:w="1462" w:type="dxa"/>
            <w:vAlign w:val="center"/>
          </w:tcPr>
          <w:p w14:paraId="21034465" w14:textId="77777777" w:rsidR="00733448" w:rsidRPr="00EA5307" w:rsidRDefault="0084761D" w:rsidP="0084761D">
            <w:pPr>
              <w:spacing w:before="40" w:after="40"/>
              <w:jc w:val="right"/>
              <w:rPr>
                <w:spacing w:val="-10"/>
              </w:rPr>
            </w:pPr>
            <w:r w:rsidRPr="00EA5307">
              <w:rPr>
                <w:spacing w:val="-10"/>
              </w:rPr>
              <w:t xml:space="preserve">$2’150,000.00           </w:t>
            </w:r>
          </w:p>
        </w:tc>
      </w:tr>
    </w:tbl>
    <w:p w14:paraId="279E5AF3" w14:textId="77777777" w:rsidR="006C2951" w:rsidRPr="00EA5307" w:rsidRDefault="006C2951" w:rsidP="006C2951">
      <w:pPr>
        <w:widowControl w:val="0"/>
        <w:rPr>
          <w:color w:val="221E1F"/>
        </w:rPr>
      </w:pPr>
      <w:r w:rsidRPr="00EA5307">
        <w:rPr>
          <w:color w:val="221E1F"/>
        </w:rPr>
        <w:t xml:space="preserve">Como se advierte, las instituciones y empresa interesadas presentaron, además, su propuesta técnico económica, incluyendo el cronograma de las actividades a desarrollar; documentación que se </w:t>
      </w:r>
      <w:r w:rsidR="008B2871" w:rsidRPr="00EA5307">
        <w:rPr>
          <w:color w:val="221E1F"/>
        </w:rPr>
        <w:t xml:space="preserve">turnó a la Comisión para su análisis y deliberación. </w:t>
      </w:r>
    </w:p>
    <w:p w14:paraId="0113DEE5" w14:textId="77777777" w:rsidR="0019104F" w:rsidRPr="00EA5307" w:rsidRDefault="0084761D" w:rsidP="0084761D">
      <w:pPr>
        <w:widowControl w:val="0"/>
      </w:pPr>
      <w:r w:rsidRPr="00EA5307">
        <w:t>En ese contexto, la Comisión consideró que</w:t>
      </w:r>
      <w:r w:rsidR="008B2871" w:rsidRPr="00EA5307">
        <w:t xml:space="preserve"> el Instituto Tecnológico y de Estudios Superiores de Monterrey es la institución </w:t>
      </w:r>
      <w:r w:rsidRPr="00EA5307">
        <w:t xml:space="preserve">que </w:t>
      </w:r>
      <w:r w:rsidR="008B2871" w:rsidRPr="00EA5307">
        <w:t>mejores condiciones ofrece, aunado a su experiencia en la ejecución de auditorías a sistemas informáticos relacionados con organismos electorales en procesos previos; particularmente en lo relativo a auditorías a pruebas funcionales de caja negra al sistema informático para evaluar la integridad en el procesamiento de la información y la generación de resultados preliminares en el análisis de vulnerabilidades, así como en pruebas de penetración y revisión de configuraciones a la infraes</w:t>
      </w:r>
      <w:r w:rsidR="0019104F" w:rsidRPr="00EA5307">
        <w:t>tructura tecnológica del PREPET en términos de lo que disponen los artículos 346 y 347 del Reglamento de Elecciones.</w:t>
      </w:r>
    </w:p>
    <w:p w14:paraId="725A96A9" w14:textId="77777777" w:rsidR="0084761D" w:rsidRPr="00EA5307" w:rsidRDefault="008B2871" w:rsidP="0084761D">
      <w:pPr>
        <w:widowControl w:val="0"/>
      </w:pPr>
      <w:r w:rsidRPr="00EA5307">
        <w:t>Así, conforme a</w:t>
      </w:r>
      <w:r w:rsidR="0084761D" w:rsidRPr="00EA5307">
        <w:t>l análisis a la síntesis de experiencia en materia de auditorías del 27 noviembre del 2023 que obra anexa al presente acuerdo</w:t>
      </w:r>
      <w:r w:rsidRPr="00EA5307">
        <w:t>,</w:t>
      </w:r>
      <w:r w:rsidR="0084761D" w:rsidRPr="00EA5307">
        <w:t xml:space="preserve"> se desprende que dicha </w:t>
      </w:r>
      <w:r w:rsidRPr="00EA5307">
        <w:t>i</w:t>
      </w:r>
      <w:r w:rsidR="0084761D" w:rsidRPr="00EA5307">
        <w:t xml:space="preserve">nstitución ha participado en al menos 17 procesos electorales en los últimos años, los cuales se detallan a continuación: </w:t>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8"/>
        <w:gridCol w:w="7840"/>
      </w:tblGrid>
      <w:tr w:rsidR="008B2871" w:rsidRPr="008B2871" w14:paraId="275F0EC2" w14:textId="77777777" w:rsidTr="00BF04B4">
        <w:trPr>
          <w:tblHeader/>
        </w:trPr>
        <w:tc>
          <w:tcPr>
            <w:tcW w:w="988" w:type="dxa"/>
            <w:shd w:val="clear" w:color="auto" w:fill="993366"/>
            <w:vAlign w:val="center"/>
          </w:tcPr>
          <w:p w14:paraId="1852B654" w14:textId="77777777" w:rsidR="008B2871" w:rsidRPr="00BF04B4" w:rsidRDefault="008B2871" w:rsidP="008B2871">
            <w:pPr>
              <w:widowControl w:val="0"/>
              <w:spacing w:before="40" w:after="40"/>
              <w:jc w:val="center"/>
              <w:rPr>
                <w:b/>
                <w:color w:val="FFFFFF" w:themeColor="background1"/>
                <w:sz w:val="16"/>
                <w:szCs w:val="20"/>
              </w:rPr>
            </w:pPr>
            <w:r w:rsidRPr="00BF04B4">
              <w:rPr>
                <w:b/>
                <w:color w:val="FFFFFF" w:themeColor="background1"/>
                <w:sz w:val="16"/>
                <w:szCs w:val="20"/>
              </w:rPr>
              <w:t>Año</w:t>
            </w:r>
          </w:p>
        </w:tc>
        <w:tc>
          <w:tcPr>
            <w:tcW w:w="7840" w:type="dxa"/>
            <w:shd w:val="clear" w:color="auto" w:fill="993366"/>
            <w:vAlign w:val="center"/>
          </w:tcPr>
          <w:p w14:paraId="382966F1" w14:textId="77777777" w:rsidR="008B2871" w:rsidRPr="00BF04B4" w:rsidRDefault="008B2871" w:rsidP="008B2871">
            <w:pPr>
              <w:widowControl w:val="0"/>
              <w:spacing w:before="40" w:after="40"/>
              <w:jc w:val="center"/>
              <w:rPr>
                <w:b/>
                <w:color w:val="FFFFFF" w:themeColor="background1"/>
                <w:sz w:val="16"/>
                <w:szCs w:val="20"/>
              </w:rPr>
            </w:pPr>
            <w:r w:rsidRPr="00BF04B4">
              <w:rPr>
                <w:b/>
                <w:color w:val="FFFFFF" w:themeColor="background1"/>
                <w:sz w:val="16"/>
                <w:szCs w:val="20"/>
              </w:rPr>
              <w:t>Organismo electoral / proyecto</w:t>
            </w:r>
          </w:p>
        </w:tc>
      </w:tr>
      <w:tr w:rsidR="008B2871" w:rsidRPr="008B2871" w14:paraId="14ED9FE7" w14:textId="77777777" w:rsidTr="00BF04B4">
        <w:tc>
          <w:tcPr>
            <w:tcW w:w="988" w:type="dxa"/>
            <w:vMerge w:val="restart"/>
            <w:vAlign w:val="center"/>
          </w:tcPr>
          <w:p w14:paraId="04C5EED7" w14:textId="77777777" w:rsidR="008B2871" w:rsidRPr="008B2871" w:rsidRDefault="008B2871" w:rsidP="008B2871">
            <w:pPr>
              <w:widowControl w:val="0"/>
              <w:spacing w:before="40" w:after="40"/>
              <w:jc w:val="center"/>
              <w:rPr>
                <w:b/>
                <w:sz w:val="20"/>
                <w:szCs w:val="20"/>
              </w:rPr>
            </w:pPr>
            <w:r w:rsidRPr="008B2871">
              <w:rPr>
                <w:b/>
                <w:sz w:val="20"/>
                <w:szCs w:val="20"/>
              </w:rPr>
              <w:t>2017</w:t>
            </w:r>
          </w:p>
        </w:tc>
        <w:tc>
          <w:tcPr>
            <w:tcW w:w="7840" w:type="dxa"/>
            <w:vAlign w:val="center"/>
          </w:tcPr>
          <w:p w14:paraId="386850B9" w14:textId="77777777" w:rsidR="008B2871" w:rsidRPr="008B2871" w:rsidRDefault="008B2871" w:rsidP="008B2871">
            <w:pPr>
              <w:widowControl w:val="0"/>
              <w:spacing w:before="40" w:after="40"/>
              <w:rPr>
                <w:sz w:val="20"/>
                <w:szCs w:val="20"/>
              </w:rPr>
            </w:pPr>
            <w:r w:rsidRPr="008B2871">
              <w:rPr>
                <w:sz w:val="20"/>
                <w:szCs w:val="20"/>
              </w:rPr>
              <w:t>Instituto Electoral de Coahuila</w:t>
            </w:r>
          </w:p>
        </w:tc>
      </w:tr>
      <w:tr w:rsidR="008B2871" w:rsidRPr="008B2871" w14:paraId="4E91A265" w14:textId="77777777" w:rsidTr="00BF04B4">
        <w:tc>
          <w:tcPr>
            <w:tcW w:w="988" w:type="dxa"/>
            <w:vMerge/>
            <w:vAlign w:val="center"/>
          </w:tcPr>
          <w:p w14:paraId="7B1C1A76" w14:textId="77777777" w:rsidR="008B2871" w:rsidRPr="008B2871" w:rsidRDefault="008B2871" w:rsidP="008B2871">
            <w:pPr>
              <w:widowControl w:val="0"/>
              <w:spacing w:before="40" w:after="40"/>
              <w:jc w:val="center"/>
              <w:rPr>
                <w:b/>
                <w:sz w:val="20"/>
                <w:szCs w:val="20"/>
              </w:rPr>
            </w:pPr>
          </w:p>
        </w:tc>
        <w:tc>
          <w:tcPr>
            <w:tcW w:w="7840" w:type="dxa"/>
            <w:vAlign w:val="center"/>
          </w:tcPr>
          <w:p w14:paraId="00300DE4" w14:textId="77777777" w:rsidR="008B2871" w:rsidRPr="008B2871" w:rsidRDefault="008B2871" w:rsidP="008B2871">
            <w:pPr>
              <w:widowControl w:val="0"/>
              <w:spacing w:before="40" w:after="40"/>
              <w:rPr>
                <w:sz w:val="20"/>
                <w:szCs w:val="20"/>
              </w:rPr>
            </w:pPr>
            <w:r w:rsidRPr="008B2871">
              <w:rPr>
                <w:sz w:val="20"/>
                <w:szCs w:val="20"/>
              </w:rPr>
              <w:t>Comisión Estatal Electoral de Nuevo León</w:t>
            </w:r>
          </w:p>
        </w:tc>
      </w:tr>
      <w:tr w:rsidR="008B2871" w:rsidRPr="008B2871" w14:paraId="64CA654D" w14:textId="77777777" w:rsidTr="00BF04B4">
        <w:tc>
          <w:tcPr>
            <w:tcW w:w="988" w:type="dxa"/>
            <w:vMerge w:val="restart"/>
            <w:vAlign w:val="center"/>
          </w:tcPr>
          <w:p w14:paraId="440FC9DE" w14:textId="77777777" w:rsidR="008B2871" w:rsidRPr="008B2871" w:rsidRDefault="008B2871" w:rsidP="008B2871">
            <w:pPr>
              <w:widowControl w:val="0"/>
              <w:spacing w:before="40" w:after="40"/>
              <w:jc w:val="center"/>
              <w:rPr>
                <w:b/>
                <w:sz w:val="20"/>
                <w:szCs w:val="20"/>
              </w:rPr>
            </w:pPr>
            <w:r w:rsidRPr="008B2871">
              <w:rPr>
                <w:b/>
                <w:sz w:val="20"/>
                <w:szCs w:val="20"/>
              </w:rPr>
              <w:t>2018</w:t>
            </w:r>
          </w:p>
        </w:tc>
        <w:tc>
          <w:tcPr>
            <w:tcW w:w="7840" w:type="dxa"/>
            <w:vAlign w:val="center"/>
          </w:tcPr>
          <w:p w14:paraId="2CC03552" w14:textId="77777777" w:rsidR="008B2871" w:rsidRPr="008B2871" w:rsidRDefault="008B2871" w:rsidP="008B2871">
            <w:pPr>
              <w:widowControl w:val="0"/>
              <w:spacing w:before="40" w:after="40"/>
              <w:rPr>
                <w:sz w:val="20"/>
                <w:szCs w:val="20"/>
              </w:rPr>
            </w:pPr>
            <w:r w:rsidRPr="008B2871">
              <w:rPr>
                <w:sz w:val="20"/>
                <w:szCs w:val="20"/>
              </w:rPr>
              <w:t>Instituto Electoral de Coahuila</w:t>
            </w:r>
          </w:p>
        </w:tc>
      </w:tr>
      <w:tr w:rsidR="008B2871" w:rsidRPr="008B2871" w14:paraId="0720CC93" w14:textId="77777777" w:rsidTr="00BF04B4">
        <w:tc>
          <w:tcPr>
            <w:tcW w:w="988" w:type="dxa"/>
            <w:vMerge/>
            <w:vAlign w:val="center"/>
          </w:tcPr>
          <w:p w14:paraId="439D24FF" w14:textId="77777777" w:rsidR="008B2871" w:rsidRPr="008B2871" w:rsidRDefault="008B2871" w:rsidP="008B2871">
            <w:pPr>
              <w:widowControl w:val="0"/>
              <w:spacing w:before="40" w:after="40"/>
              <w:jc w:val="center"/>
              <w:rPr>
                <w:b/>
                <w:sz w:val="20"/>
                <w:szCs w:val="20"/>
              </w:rPr>
            </w:pPr>
          </w:p>
        </w:tc>
        <w:tc>
          <w:tcPr>
            <w:tcW w:w="7840" w:type="dxa"/>
            <w:vAlign w:val="center"/>
          </w:tcPr>
          <w:p w14:paraId="7EA1254C" w14:textId="77777777" w:rsidR="008B2871" w:rsidRPr="008B2871" w:rsidRDefault="008B2871" w:rsidP="008B2871">
            <w:pPr>
              <w:widowControl w:val="0"/>
              <w:spacing w:before="40" w:after="40"/>
              <w:rPr>
                <w:sz w:val="20"/>
                <w:szCs w:val="20"/>
              </w:rPr>
            </w:pPr>
            <w:r w:rsidRPr="008B2871">
              <w:rPr>
                <w:sz w:val="20"/>
                <w:szCs w:val="20"/>
              </w:rPr>
              <w:t>Comisión Estatal Electoral de Nuevo León (Elecciones ordinarias y extraordinaria)</w:t>
            </w:r>
          </w:p>
        </w:tc>
      </w:tr>
      <w:tr w:rsidR="008B2871" w:rsidRPr="008B2871" w14:paraId="4AFFD740" w14:textId="77777777" w:rsidTr="00BF04B4">
        <w:tc>
          <w:tcPr>
            <w:tcW w:w="988" w:type="dxa"/>
            <w:vAlign w:val="center"/>
          </w:tcPr>
          <w:p w14:paraId="1054CF8A" w14:textId="77777777" w:rsidR="008B2871" w:rsidRPr="008B2871" w:rsidRDefault="008B2871" w:rsidP="008B2871">
            <w:pPr>
              <w:widowControl w:val="0"/>
              <w:spacing w:before="40" w:after="40"/>
              <w:jc w:val="center"/>
              <w:rPr>
                <w:b/>
                <w:sz w:val="20"/>
                <w:szCs w:val="20"/>
              </w:rPr>
            </w:pPr>
            <w:r w:rsidRPr="008B2871">
              <w:rPr>
                <w:b/>
                <w:sz w:val="20"/>
                <w:szCs w:val="20"/>
              </w:rPr>
              <w:t>2020</w:t>
            </w:r>
          </w:p>
        </w:tc>
        <w:tc>
          <w:tcPr>
            <w:tcW w:w="7840" w:type="dxa"/>
            <w:vAlign w:val="center"/>
          </w:tcPr>
          <w:p w14:paraId="20AA9416" w14:textId="77777777" w:rsidR="008B2871" w:rsidRPr="008B2871" w:rsidRDefault="008B2871" w:rsidP="008B2871">
            <w:pPr>
              <w:widowControl w:val="0"/>
              <w:spacing w:before="40" w:after="40"/>
              <w:rPr>
                <w:sz w:val="20"/>
                <w:szCs w:val="20"/>
              </w:rPr>
            </w:pPr>
            <w:r w:rsidRPr="008B2871">
              <w:rPr>
                <w:sz w:val="20"/>
                <w:szCs w:val="20"/>
              </w:rPr>
              <w:t>Instituto Electoral de Coahuila</w:t>
            </w:r>
          </w:p>
        </w:tc>
      </w:tr>
      <w:tr w:rsidR="008B2871" w:rsidRPr="008B2871" w14:paraId="407C8279" w14:textId="77777777" w:rsidTr="00BF04B4">
        <w:tc>
          <w:tcPr>
            <w:tcW w:w="988" w:type="dxa"/>
            <w:vMerge w:val="restart"/>
            <w:vAlign w:val="center"/>
          </w:tcPr>
          <w:p w14:paraId="53F1821F" w14:textId="77777777" w:rsidR="008B2871" w:rsidRPr="008B2871" w:rsidRDefault="008B2871" w:rsidP="008B2871">
            <w:pPr>
              <w:widowControl w:val="0"/>
              <w:spacing w:before="40" w:after="40"/>
              <w:jc w:val="center"/>
              <w:rPr>
                <w:b/>
                <w:sz w:val="20"/>
                <w:szCs w:val="20"/>
              </w:rPr>
            </w:pPr>
            <w:r w:rsidRPr="008B2871">
              <w:rPr>
                <w:b/>
                <w:sz w:val="20"/>
                <w:szCs w:val="20"/>
              </w:rPr>
              <w:t>2021</w:t>
            </w:r>
          </w:p>
        </w:tc>
        <w:tc>
          <w:tcPr>
            <w:tcW w:w="7840" w:type="dxa"/>
            <w:vAlign w:val="center"/>
          </w:tcPr>
          <w:p w14:paraId="7319D13A" w14:textId="77777777" w:rsidR="008B2871" w:rsidRPr="008B2871" w:rsidRDefault="008B2871" w:rsidP="008B2871">
            <w:pPr>
              <w:widowControl w:val="0"/>
              <w:spacing w:before="40" w:after="40"/>
              <w:rPr>
                <w:sz w:val="20"/>
                <w:szCs w:val="20"/>
              </w:rPr>
            </w:pPr>
            <w:r w:rsidRPr="008B2871">
              <w:rPr>
                <w:sz w:val="20"/>
                <w:szCs w:val="20"/>
              </w:rPr>
              <w:t>Instituto Electoral de Coahuila</w:t>
            </w:r>
          </w:p>
        </w:tc>
      </w:tr>
      <w:tr w:rsidR="008B2871" w:rsidRPr="008B2871" w14:paraId="685CC7BD" w14:textId="77777777" w:rsidTr="00BF04B4">
        <w:tc>
          <w:tcPr>
            <w:tcW w:w="988" w:type="dxa"/>
            <w:vMerge/>
            <w:vAlign w:val="center"/>
          </w:tcPr>
          <w:p w14:paraId="03A64516" w14:textId="77777777" w:rsidR="008B2871" w:rsidRPr="008B2871" w:rsidRDefault="008B2871" w:rsidP="008B2871">
            <w:pPr>
              <w:widowControl w:val="0"/>
              <w:spacing w:before="40" w:after="40"/>
              <w:jc w:val="center"/>
              <w:rPr>
                <w:b/>
                <w:sz w:val="20"/>
                <w:szCs w:val="20"/>
              </w:rPr>
            </w:pPr>
          </w:p>
        </w:tc>
        <w:tc>
          <w:tcPr>
            <w:tcW w:w="7840" w:type="dxa"/>
            <w:vAlign w:val="center"/>
          </w:tcPr>
          <w:p w14:paraId="1CB50A67" w14:textId="77777777" w:rsidR="008B2871" w:rsidRPr="008B2871" w:rsidRDefault="008B2871" w:rsidP="008B2871">
            <w:pPr>
              <w:widowControl w:val="0"/>
              <w:spacing w:before="40" w:after="40"/>
              <w:rPr>
                <w:sz w:val="20"/>
                <w:szCs w:val="20"/>
              </w:rPr>
            </w:pPr>
            <w:r w:rsidRPr="008B2871">
              <w:rPr>
                <w:sz w:val="20"/>
                <w:szCs w:val="20"/>
              </w:rPr>
              <w:t>Comisión Estatal Electoral de Nuevo León</w:t>
            </w:r>
          </w:p>
        </w:tc>
      </w:tr>
      <w:tr w:rsidR="008B2871" w:rsidRPr="008B2871" w14:paraId="5BE2E3C7" w14:textId="77777777" w:rsidTr="00BF04B4">
        <w:tc>
          <w:tcPr>
            <w:tcW w:w="988" w:type="dxa"/>
            <w:vMerge/>
            <w:vAlign w:val="center"/>
          </w:tcPr>
          <w:p w14:paraId="4A6791F3" w14:textId="77777777" w:rsidR="008B2871" w:rsidRPr="008B2871" w:rsidRDefault="008B2871" w:rsidP="008B2871">
            <w:pPr>
              <w:widowControl w:val="0"/>
              <w:spacing w:before="40" w:after="40"/>
              <w:jc w:val="center"/>
              <w:rPr>
                <w:b/>
                <w:sz w:val="20"/>
                <w:szCs w:val="20"/>
              </w:rPr>
            </w:pPr>
          </w:p>
        </w:tc>
        <w:tc>
          <w:tcPr>
            <w:tcW w:w="7840" w:type="dxa"/>
            <w:vAlign w:val="center"/>
          </w:tcPr>
          <w:p w14:paraId="0256ED86" w14:textId="77777777" w:rsidR="008B2871" w:rsidRPr="008B2871" w:rsidRDefault="008B2871" w:rsidP="008B2871">
            <w:pPr>
              <w:widowControl w:val="0"/>
              <w:spacing w:before="40" w:after="40"/>
              <w:rPr>
                <w:sz w:val="20"/>
                <w:szCs w:val="20"/>
              </w:rPr>
            </w:pPr>
            <w:r w:rsidRPr="008B2871">
              <w:rPr>
                <w:sz w:val="20"/>
                <w:szCs w:val="20"/>
              </w:rPr>
              <w:t>Organismo Público Local Electoral de Veracruz</w:t>
            </w:r>
          </w:p>
        </w:tc>
      </w:tr>
      <w:tr w:rsidR="008B2871" w:rsidRPr="008B2871" w14:paraId="4C5C50C6" w14:textId="77777777" w:rsidTr="00BF04B4">
        <w:tc>
          <w:tcPr>
            <w:tcW w:w="988" w:type="dxa"/>
            <w:vMerge/>
            <w:vAlign w:val="center"/>
          </w:tcPr>
          <w:p w14:paraId="2A4928AE" w14:textId="77777777" w:rsidR="008B2871" w:rsidRPr="008B2871" w:rsidRDefault="008B2871" w:rsidP="008B2871">
            <w:pPr>
              <w:widowControl w:val="0"/>
              <w:spacing w:before="40" w:after="40"/>
              <w:jc w:val="center"/>
              <w:rPr>
                <w:b/>
                <w:sz w:val="20"/>
                <w:szCs w:val="20"/>
              </w:rPr>
            </w:pPr>
          </w:p>
        </w:tc>
        <w:tc>
          <w:tcPr>
            <w:tcW w:w="7840" w:type="dxa"/>
            <w:vAlign w:val="center"/>
          </w:tcPr>
          <w:p w14:paraId="53AA6E75" w14:textId="77777777" w:rsidR="008B2871" w:rsidRPr="008B2871" w:rsidRDefault="008B2871" w:rsidP="008B2871">
            <w:pPr>
              <w:widowControl w:val="0"/>
              <w:spacing w:before="40" w:after="40"/>
              <w:rPr>
                <w:sz w:val="20"/>
                <w:szCs w:val="20"/>
              </w:rPr>
            </w:pPr>
            <w:r w:rsidRPr="008B2871">
              <w:rPr>
                <w:sz w:val="20"/>
                <w:szCs w:val="20"/>
              </w:rPr>
              <w:t>Instituto Tlaxcalteca de Elecciones</w:t>
            </w:r>
          </w:p>
        </w:tc>
      </w:tr>
      <w:tr w:rsidR="008B2871" w:rsidRPr="008B2871" w14:paraId="1C6C10D8" w14:textId="77777777" w:rsidTr="00BF04B4">
        <w:tc>
          <w:tcPr>
            <w:tcW w:w="988" w:type="dxa"/>
            <w:vMerge/>
            <w:vAlign w:val="center"/>
          </w:tcPr>
          <w:p w14:paraId="0C93A6B5" w14:textId="77777777" w:rsidR="008B2871" w:rsidRPr="008B2871" w:rsidRDefault="008B2871" w:rsidP="008B2871">
            <w:pPr>
              <w:widowControl w:val="0"/>
              <w:spacing w:before="40" w:after="40"/>
              <w:jc w:val="center"/>
              <w:rPr>
                <w:b/>
                <w:sz w:val="20"/>
                <w:szCs w:val="20"/>
              </w:rPr>
            </w:pPr>
          </w:p>
        </w:tc>
        <w:tc>
          <w:tcPr>
            <w:tcW w:w="7840" w:type="dxa"/>
            <w:vAlign w:val="center"/>
          </w:tcPr>
          <w:p w14:paraId="176F1B03" w14:textId="77777777" w:rsidR="008B2871" w:rsidRPr="008B2871" w:rsidRDefault="008B2871" w:rsidP="008B2871">
            <w:pPr>
              <w:widowControl w:val="0"/>
              <w:spacing w:before="40" w:after="40"/>
              <w:rPr>
                <w:sz w:val="20"/>
                <w:szCs w:val="20"/>
              </w:rPr>
            </w:pPr>
            <w:r w:rsidRPr="008B2871">
              <w:rPr>
                <w:sz w:val="20"/>
                <w:szCs w:val="20"/>
              </w:rPr>
              <w:t>Instituto Electoral y de Participación Ciudadana del Estado de Guerrero</w:t>
            </w:r>
          </w:p>
        </w:tc>
      </w:tr>
      <w:tr w:rsidR="008B2871" w:rsidRPr="008B2871" w14:paraId="1F275951" w14:textId="77777777" w:rsidTr="00BF04B4">
        <w:tc>
          <w:tcPr>
            <w:tcW w:w="988" w:type="dxa"/>
            <w:vMerge/>
            <w:vAlign w:val="center"/>
          </w:tcPr>
          <w:p w14:paraId="78CEDE45" w14:textId="77777777" w:rsidR="008B2871" w:rsidRPr="008B2871" w:rsidRDefault="008B2871" w:rsidP="008B2871">
            <w:pPr>
              <w:widowControl w:val="0"/>
              <w:spacing w:before="40" w:after="40"/>
              <w:jc w:val="center"/>
              <w:rPr>
                <w:b/>
                <w:sz w:val="20"/>
                <w:szCs w:val="20"/>
              </w:rPr>
            </w:pPr>
          </w:p>
        </w:tc>
        <w:tc>
          <w:tcPr>
            <w:tcW w:w="7840" w:type="dxa"/>
            <w:vAlign w:val="center"/>
          </w:tcPr>
          <w:p w14:paraId="3331F8ED" w14:textId="77777777" w:rsidR="008B2871" w:rsidRPr="008B2871" w:rsidRDefault="008B2871" w:rsidP="008B2871">
            <w:pPr>
              <w:widowControl w:val="0"/>
              <w:spacing w:before="40" w:after="40"/>
              <w:rPr>
                <w:sz w:val="20"/>
                <w:szCs w:val="20"/>
              </w:rPr>
            </w:pPr>
            <w:r w:rsidRPr="008B2871">
              <w:rPr>
                <w:sz w:val="20"/>
                <w:szCs w:val="20"/>
              </w:rPr>
              <w:t>Instituto de Elecciones de Participación Ciudadana del Estado de Chiapas</w:t>
            </w:r>
          </w:p>
        </w:tc>
      </w:tr>
      <w:tr w:rsidR="008B2871" w:rsidRPr="008B2871" w14:paraId="4F065BD5" w14:textId="77777777" w:rsidTr="00BF04B4">
        <w:tc>
          <w:tcPr>
            <w:tcW w:w="988" w:type="dxa"/>
            <w:vMerge/>
            <w:vAlign w:val="center"/>
          </w:tcPr>
          <w:p w14:paraId="439A3B43" w14:textId="77777777" w:rsidR="008B2871" w:rsidRPr="008B2871" w:rsidRDefault="008B2871" w:rsidP="008B2871">
            <w:pPr>
              <w:widowControl w:val="0"/>
              <w:spacing w:before="40" w:after="40"/>
              <w:jc w:val="center"/>
              <w:rPr>
                <w:b/>
                <w:sz w:val="20"/>
                <w:szCs w:val="20"/>
              </w:rPr>
            </w:pPr>
          </w:p>
        </w:tc>
        <w:tc>
          <w:tcPr>
            <w:tcW w:w="7840" w:type="dxa"/>
            <w:vAlign w:val="center"/>
          </w:tcPr>
          <w:p w14:paraId="0EE05415" w14:textId="77777777" w:rsidR="008B2871" w:rsidRPr="008B2871" w:rsidRDefault="008B2871" w:rsidP="008B2871">
            <w:pPr>
              <w:widowControl w:val="0"/>
              <w:spacing w:before="40" w:after="40"/>
              <w:rPr>
                <w:sz w:val="20"/>
                <w:szCs w:val="20"/>
              </w:rPr>
            </w:pPr>
            <w:r w:rsidRPr="008B2871">
              <w:rPr>
                <w:sz w:val="20"/>
                <w:szCs w:val="20"/>
              </w:rPr>
              <w:t>Instituto Electoral del Estado de Sinaloa</w:t>
            </w:r>
          </w:p>
        </w:tc>
      </w:tr>
      <w:tr w:rsidR="008B2871" w:rsidRPr="008B2871" w14:paraId="2339D1AF" w14:textId="77777777" w:rsidTr="00BF04B4">
        <w:tc>
          <w:tcPr>
            <w:tcW w:w="988" w:type="dxa"/>
            <w:vMerge/>
            <w:vAlign w:val="center"/>
          </w:tcPr>
          <w:p w14:paraId="41FDC8AE" w14:textId="77777777" w:rsidR="008B2871" w:rsidRPr="008B2871" w:rsidRDefault="008B2871" w:rsidP="008B2871">
            <w:pPr>
              <w:widowControl w:val="0"/>
              <w:spacing w:before="40" w:after="40"/>
              <w:jc w:val="center"/>
              <w:rPr>
                <w:b/>
                <w:sz w:val="20"/>
                <w:szCs w:val="20"/>
              </w:rPr>
            </w:pPr>
          </w:p>
        </w:tc>
        <w:tc>
          <w:tcPr>
            <w:tcW w:w="7840" w:type="dxa"/>
            <w:vAlign w:val="center"/>
          </w:tcPr>
          <w:p w14:paraId="40088DEF" w14:textId="77777777" w:rsidR="008B2871" w:rsidRPr="008B2871" w:rsidRDefault="008B2871" w:rsidP="008B2871">
            <w:pPr>
              <w:widowControl w:val="0"/>
              <w:spacing w:before="40" w:after="40"/>
              <w:rPr>
                <w:sz w:val="20"/>
                <w:szCs w:val="20"/>
              </w:rPr>
            </w:pPr>
            <w:r w:rsidRPr="008B2871">
              <w:rPr>
                <w:sz w:val="20"/>
                <w:szCs w:val="20"/>
              </w:rPr>
              <w:t>Instituto Estatal Electoral de Hidalgo</w:t>
            </w:r>
          </w:p>
        </w:tc>
      </w:tr>
      <w:tr w:rsidR="008B2871" w:rsidRPr="008B2871" w14:paraId="45BE4D55" w14:textId="77777777" w:rsidTr="00BF04B4">
        <w:tc>
          <w:tcPr>
            <w:tcW w:w="988" w:type="dxa"/>
            <w:vMerge/>
            <w:vAlign w:val="center"/>
          </w:tcPr>
          <w:p w14:paraId="7C2DE177" w14:textId="77777777" w:rsidR="008B2871" w:rsidRPr="008B2871" w:rsidRDefault="008B2871" w:rsidP="008B2871">
            <w:pPr>
              <w:widowControl w:val="0"/>
              <w:spacing w:before="40" w:after="40"/>
              <w:jc w:val="center"/>
              <w:rPr>
                <w:b/>
                <w:sz w:val="20"/>
                <w:szCs w:val="20"/>
              </w:rPr>
            </w:pPr>
          </w:p>
        </w:tc>
        <w:tc>
          <w:tcPr>
            <w:tcW w:w="7840" w:type="dxa"/>
            <w:vAlign w:val="center"/>
          </w:tcPr>
          <w:p w14:paraId="072F8998" w14:textId="77777777" w:rsidR="008B2871" w:rsidRPr="008B2871" w:rsidRDefault="00BF04B4" w:rsidP="00BF04B4">
            <w:pPr>
              <w:widowControl w:val="0"/>
              <w:spacing w:before="40" w:after="40"/>
              <w:rPr>
                <w:sz w:val="20"/>
                <w:szCs w:val="20"/>
              </w:rPr>
            </w:pPr>
            <w:r w:rsidRPr="008B2871">
              <w:rPr>
                <w:sz w:val="20"/>
                <w:szCs w:val="20"/>
              </w:rPr>
              <w:t xml:space="preserve">Organismo Público Local Electoral de Veracruz </w:t>
            </w:r>
            <w:r>
              <w:rPr>
                <w:sz w:val="20"/>
                <w:szCs w:val="20"/>
              </w:rPr>
              <w:t xml:space="preserve">- </w:t>
            </w:r>
            <w:r w:rsidR="008B2871" w:rsidRPr="008B2871">
              <w:rPr>
                <w:sz w:val="20"/>
                <w:szCs w:val="20"/>
              </w:rPr>
              <w:t>Servicio de auditoría para la verificación y análisis del Sistema de Cómputo Distrital Municipal (SCDM) 2021</w:t>
            </w:r>
          </w:p>
        </w:tc>
      </w:tr>
      <w:tr w:rsidR="008B2871" w:rsidRPr="008B2871" w14:paraId="049E8EFC" w14:textId="77777777" w:rsidTr="00BF04B4">
        <w:tc>
          <w:tcPr>
            <w:tcW w:w="988" w:type="dxa"/>
            <w:vMerge w:val="restart"/>
            <w:vAlign w:val="center"/>
          </w:tcPr>
          <w:p w14:paraId="30A989CD" w14:textId="77777777" w:rsidR="008B2871" w:rsidRPr="008B2871" w:rsidRDefault="008B2871" w:rsidP="008B2871">
            <w:pPr>
              <w:widowControl w:val="0"/>
              <w:spacing w:before="40" w:after="40"/>
              <w:jc w:val="center"/>
              <w:rPr>
                <w:b/>
                <w:sz w:val="20"/>
                <w:szCs w:val="20"/>
              </w:rPr>
            </w:pPr>
            <w:r w:rsidRPr="008B2871">
              <w:rPr>
                <w:b/>
                <w:sz w:val="20"/>
                <w:szCs w:val="20"/>
              </w:rPr>
              <w:t>2022</w:t>
            </w:r>
          </w:p>
        </w:tc>
        <w:tc>
          <w:tcPr>
            <w:tcW w:w="7840" w:type="dxa"/>
            <w:vAlign w:val="center"/>
          </w:tcPr>
          <w:p w14:paraId="731841BB" w14:textId="77777777" w:rsidR="008B2871" w:rsidRPr="008B2871" w:rsidRDefault="008B2871" w:rsidP="008B2871">
            <w:pPr>
              <w:widowControl w:val="0"/>
              <w:spacing w:before="40" w:after="40"/>
              <w:rPr>
                <w:sz w:val="20"/>
                <w:szCs w:val="20"/>
              </w:rPr>
            </w:pPr>
            <w:r w:rsidRPr="008B2871">
              <w:rPr>
                <w:sz w:val="20"/>
                <w:szCs w:val="20"/>
              </w:rPr>
              <w:t>Instituto de Elecciones de Participación Ciudadana del Estado de Chiapas</w:t>
            </w:r>
          </w:p>
        </w:tc>
      </w:tr>
      <w:tr w:rsidR="008B2871" w:rsidRPr="008B2871" w14:paraId="5BEF5085" w14:textId="77777777" w:rsidTr="00BF04B4">
        <w:tc>
          <w:tcPr>
            <w:tcW w:w="988" w:type="dxa"/>
            <w:vMerge/>
            <w:vAlign w:val="center"/>
          </w:tcPr>
          <w:p w14:paraId="51E00A53" w14:textId="77777777" w:rsidR="008B2871" w:rsidRPr="008B2871" w:rsidRDefault="008B2871" w:rsidP="008B2871">
            <w:pPr>
              <w:widowControl w:val="0"/>
              <w:spacing w:before="40" w:after="40"/>
              <w:jc w:val="center"/>
              <w:rPr>
                <w:b/>
                <w:sz w:val="20"/>
                <w:szCs w:val="20"/>
              </w:rPr>
            </w:pPr>
          </w:p>
        </w:tc>
        <w:tc>
          <w:tcPr>
            <w:tcW w:w="7840" w:type="dxa"/>
            <w:vAlign w:val="center"/>
          </w:tcPr>
          <w:p w14:paraId="1AF8F583" w14:textId="77777777" w:rsidR="008B2871" w:rsidRPr="008B2871" w:rsidRDefault="008B2871" w:rsidP="008B2871">
            <w:pPr>
              <w:widowControl w:val="0"/>
              <w:spacing w:before="40" w:after="40"/>
              <w:rPr>
                <w:sz w:val="20"/>
                <w:szCs w:val="20"/>
              </w:rPr>
            </w:pPr>
            <w:r w:rsidRPr="008B2871">
              <w:rPr>
                <w:sz w:val="20"/>
                <w:szCs w:val="20"/>
              </w:rPr>
              <w:t>Instituto Estatal Electoral de Hidalgo</w:t>
            </w:r>
          </w:p>
        </w:tc>
      </w:tr>
      <w:tr w:rsidR="008B2871" w:rsidRPr="008B2871" w14:paraId="650B02ED" w14:textId="77777777" w:rsidTr="00BF04B4">
        <w:tc>
          <w:tcPr>
            <w:tcW w:w="988" w:type="dxa"/>
            <w:vAlign w:val="center"/>
          </w:tcPr>
          <w:p w14:paraId="06F0E56C" w14:textId="77777777" w:rsidR="008B2871" w:rsidRPr="008B2871" w:rsidRDefault="008B2871" w:rsidP="008B2871">
            <w:pPr>
              <w:widowControl w:val="0"/>
              <w:spacing w:before="40" w:after="40"/>
              <w:jc w:val="center"/>
              <w:rPr>
                <w:b/>
                <w:sz w:val="20"/>
                <w:szCs w:val="20"/>
              </w:rPr>
            </w:pPr>
            <w:r w:rsidRPr="008B2871">
              <w:rPr>
                <w:b/>
                <w:sz w:val="20"/>
                <w:szCs w:val="20"/>
              </w:rPr>
              <w:t>2023</w:t>
            </w:r>
          </w:p>
        </w:tc>
        <w:tc>
          <w:tcPr>
            <w:tcW w:w="7840" w:type="dxa"/>
            <w:vAlign w:val="center"/>
          </w:tcPr>
          <w:p w14:paraId="629E1150" w14:textId="77777777" w:rsidR="008B2871" w:rsidRPr="008B2871" w:rsidRDefault="008B2871" w:rsidP="008B2871">
            <w:pPr>
              <w:widowControl w:val="0"/>
              <w:spacing w:before="40" w:after="40"/>
              <w:rPr>
                <w:sz w:val="20"/>
                <w:szCs w:val="20"/>
              </w:rPr>
            </w:pPr>
            <w:r w:rsidRPr="008B2871">
              <w:rPr>
                <w:sz w:val="20"/>
                <w:szCs w:val="20"/>
              </w:rPr>
              <w:t>Instituto Electoral de Coahuila</w:t>
            </w:r>
          </w:p>
        </w:tc>
      </w:tr>
    </w:tbl>
    <w:p w14:paraId="727C2845" w14:textId="77777777" w:rsidR="008B2871" w:rsidRPr="00EA5307" w:rsidRDefault="008B2871" w:rsidP="008B2871">
      <w:pPr>
        <w:widowControl w:val="0"/>
      </w:pPr>
      <w:r w:rsidRPr="00EA5307">
        <w:t xml:space="preserve">En la mayoría de los casos, la intervención del Instituto Tecnológico y de Estudios Superiores de Monterrey ha tenido como propósito auditar el sistema informático del Programa de Resultados Electorales Preliminares de cada organismo electoral mencionado. </w:t>
      </w:r>
    </w:p>
    <w:p w14:paraId="2021C7AB" w14:textId="77777777" w:rsidR="0084761D" w:rsidRPr="00EA5307" w:rsidRDefault="0044558D" w:rsidP="0084761D">
      <w:pPr>
        <w:widowControl w:val="0"/>
      </w:pPr>
      <w:r w:rsidRPr="00EA5307">
        <w:t>Aunado a lo anterior, el</w:t>
      </w:r>
      <w:r w:rsidR="0084761D" w:rsidRPr="00EA5307">
        <w:t xml:space="preserve"> </w:t>
      </w:r>
      <w:r w:rsidRPr="00EA5307">
        <w:t xml:space="preserve">instituto </w:t>
      </w:r>
      <w:r w:rsidR="0084761D" w:rsidRPr="00EA5307">
        <w:t xml:space="preserve">presentó la mejor propuesta económica, lo que </w:t>
      </w:r>
      <w:r w:rsidRPr="00EA5307">
        <w:t xml:space="preserve">constituye un elemento a valorar, considerando la obligación de este Instituto de ejercer de manera racional y eficiente </w:t>
      </w:r>
      <w:r w:rsidR="0084761D" w:rsidRPr="00EA5307">
        <w:t>el presupuesto asignado.</w:t>
      </w:r>
    </w:p>
    <w:p w14:paraId="4AF5B47A" w14:textId="77777777" w:rsidR="0084761D" w:rsidRPr="00EA5307" w:rsidRDefault="00533290" w:rsidP="00533290">
      <w:pPr>
        <w:widowControl w:val="0"/>
      </w:pPr>
      <w:r w:rsidRPr="00EA5307">
        <w:t xml:space="preserve">La experiencia y los antecedentes acreditados, generan convicción a este Consejo Estatal que el Instituto Tecnológico y de Estudios Superiores de Monterrey es la </w:t>
      </w:r>
      <w:r w:rsidR="0084761D" w:rsidRPr="00EA5307">
        <w:t>me</w:t>
      </w:r>
      <w:r w:rsidRPr="00EA5307">
        <w:t>jor propuesta para ser designado</w:t>
      </w:r>
      <w:r w:rsidR="0084761D" w:rsidRPr="00EA5307">
        <w:t xml:space="preserve"> como ente auditor, porque cuenta con personal, capacidad, experiencia y </w:t>
      </w:r>
      <w:r w:rsidRPr="00EA5307">
        <w:t xml:space="preserve">la </w:t>
      </w:r>
      <w:r w:rsidR="0084761D" w:rsidRPr="00EA5307">
        <w:t>habilidad necesaria para llevar a cabo la auditoría de verificación y análisis del sistema informático que será utilizado en la implementación y operación del PREPET</w:t>
      </w:r>
      <w:r w:rsidRPr="00EA5307">
        <w:t xml:space="preserve"> con motivo del Proceso Electoral.</w:t>
      </w:r>
    </w:p>
    <w:p w14:paraId="4F197F7D" w14:textId="77777777" w:rsidR="0084761D" w:rsidRPr="00EA5307" w:rsidRDefault="00533290" w:rsidP="00533290">
      <w:pPr>
        <w:widowControl w:val="0"/>
      </w:pPr>
      <w:r w:rsidRPr="00EA5307">
        <w:t xml:space="preserve">A partir de lo anterior, se deberá proceder con la elaboración del instrumento </w:t>
      </w:r>
      <w:r w:rsidR="0084761D" w:rsidRPr="00EA5307">
        <w:t xml:space="preserve">jurídico que formalice </w:t>
      </w:r>
      <w:r w:rsidRPr="00EA5307">
        <w:t xml:space="preserve">las condiciones en que el instituto designado realizará </w:t>
      </w:r>
      <w:r w:rsidR="0084761D" w:rsidRPr="00EA5307">
        <w:t xml:space="preserve">la auditoría correspondiente, así como los aspectos sujetos a dicho proceso como son los siguientes: inspección de código fuente y la evaluación de vulnerabilidades a la infraestructura del Instituto, así como todos los señalados en el Reglamento de Elecciones y demás disposiciones legales.  </w:t>
      </w:r>
    </w:p>
    <w:p w14:paraId="203CD014" w14:textId="77777777" w:rsidR="0084761D" w:rsidRPr="00EA5307" w:rsidRDefault="004E4035" w:rsidP="0084761D">
      <w:pPr>
        <w:widowControl w:val="0"/>
      </w:pPr>
      <w:r w:rsidRPr="00EA5307">
        <w:t>Es importante señalar que, e</w:t>
      </w:r>
      <w:r w:rsidR="0084761D" w:rsidRPr="00EA5307">
        <w:t xml:space="preserve">l ente auditor </w:t>
      </w:r>
      <w:r w:rsidRPr="00EA5307">
        <w:t xml:space="preserve">designado realizará la auditoría y los trabajos inherentes a ella, </w:t>
      </w:r>
      <w:r w:rsidR="0084761D" w:rsidRPr="00EA5307">
        <w:t>en conjunto con la Unidad de Tecnologías de la Información y Comunicación, responsable del desarrollo y ejecución del PREPET.</w:t>
      </w:r>
    </w:p>
    <w:p w14:paraId="580757CC" w14:textId="77777777" w:rsidR="007D4A4D" w:rsidRPr="008B2D65" w:rsidRDefault="007D4A4D" w:rsidP="007D4A4D">
      <w:pPr>
        <w:widowControl w:val="0"/>
      </w:pPr>
      <w:r w:rsidRPr="00EA5307">
        <w:t>Sobre la base de las consideraciones señaladas, este Consejo Estatal emite el siguiente:</w:t>
      </w:r>
    </w:p>
    <w:p w14:paraId="2CC0005B" w14:textId="4E2F177C" w:rsidR="007D4A4D" w:rsidRDefault="007D4A4D" w:rsidP="007D4A4D">
      <w:pPr>
        <w:pStyle w:val="Ttulo1"/>
        <w:rPr>
          <w:sz w:val="24"/>
          <w:szCs w:val="24"/>
        </w:rPr>
      </w:pPr>
      <w:r w:rsidRPr="00EA5307">
        <w:rPr>
          <w:sz w:val="24"/>
          <w:szCs w:val="24"/>
        </w:rPr>
        <w:t>Acuerdo</w:t>
      </w:r>
    </w:p>
    <w:p w14:paraId="7FA4C7EF" w14:textId="77777777" w:rsidR="00EA5307" w:rsidRPr="00EA5307" w:rsidRDefault="00EA5307" w:rsidP="00EA5307"/>
    <w:p w14:paraId="5CDA7554" w14:textId="77777777" w:rsidR="007D4A4D" w:rsidRPr="00EA5307" w:rsidRDefault="007D4A4D" w:rsidP="007D4A4D">
      <w:r w:rsidRPr="00EA5307">
        <w:rPr>
          <w:b/>
        </w:rPr>
        <w:t>Primero.</w:t>
      </w:r>
      <w:r w:rsidRPr="00EA5307">
        <w:t xml:space="preserve"> Se designa a</w:t>
      </w:r>
      <w:r w:rsidR="005C50B1" w:rsidRPr="00EA5307">
        <w:t>l Instituto Tecnológico y de Estudios Superiores de Monterrey</w:t>
      </w:r>
      <w:r w:rsidRPr="00EA5307">
        <w:t>, ente responsable de la auditoría técnica al sistema informático que será utilizado en la implementación y operación del Programa de Resultados Electorales Preliminares del Estado de Tabasco, durante el Proceso Electoral Local Ordinario 2023 – 2024.</w:t>
      </w:r>
    </w:p>
    <w:p w14:paraId="43D4024A" w14:textId="77777777" w:rsidR="007D4A4D" w:rsidRPr="00EA5307" w:rsidRDefault="007D4A4D" w:rsidP="007D4A4D">
      <w:r w:rsidRPr="00EA5307">
        <w:t>Actividad que deberá ser desarrollada en estricto apego a las disposiciones que, en ejercicio de sus facultades, emite el Instituto Nacional Electoral, en el anexo 13 del Reglamento, así como las que, en su caso, emita con posterioridad a la emisión del presente proyecto de acuerdo.</w:t>
      </w:r>
    </w:p>
    <w:p w14:paraId="3768A481" w14:textId="77777777" w:rsidR="007D4A4D" w:rsidRPr="00EA5307" w:rsidRDefault="007D4A4D" w:rsidP="007D4A4D">
      <w:r w:rsidRPr="00EA5307">
        <w:rPr>
          <w:b/>
        </w:rPr>
        <w:t>Segundo.</w:t>
      </w:r>
      <w:r w:rsidRPr="00EA5307">
        <w:t xml:space="preserve"> Se instruye a la Secretaría Ejecutiva requiera al ente designado, su aceptación formal de la designación hecha por este Consejo Estatal, de conformidad con el artículo 347 numeral 5 del Reglamento de Elecciones. </w:t>
      </w:r>
    </w:p>
    <w:p w14:paraId="447BB79D" w14:textId="77777777" w:rsidR="00077D3F" w:rsidRPr="00EA5307" w:rsidRDefault="007D4A4D" w:rsidP="007D4A4D">
      <w:r w:rsidRPr="00EA5307">
        <w:rPr>
          <w:b/>
        </w:rPr>
        <w:t>Tercero.</w:t>
      </w:r>
      <w:r w:rsidRPr="00EA5307">
        <w:t xml:space="preserve"> Se instruye a la Secretaria Ejecutiva para que</w:t>
      </w:r>
      <w:r w:rsidR="00840FF3" w:rsidRPr="00EA5307">
        <w:t>, conforme a lo señalado en el presente acuerdo y con base en el Reglamento de Elecciones y demás disposiciones legales</w:t>
      </w:r>
      <w:r w:rsidRPr="00EA5307">
        <w:t xml:space="preserve"> formalice </w:t>
      </w:r>
      <w:r w:rsidR="00840FF3" w:rsidRPr="00EA5307">
        <w:t xml:space="preserve">el </w:t>
      </w:r>
      <w:r w:rsidRPr="00EA5307">
        <w:t>instrumento jurídico con el ente auditor designado</w:t>
      </w:r>
      <w:r w:rsidR="00840FF3" w:rsidRPr="00EA5307">
        <w:t xml:space="preserve">, al que deberá acompañarse </w:t>
      </w:r>
      <w:r w:rsidRPr="00EA5307">
        <w:t xml:space="preserve">el anexo técnico </w:t>
      </w:r>
      <w:r w:rsidR="00840FF3" w:rsidRPr="00EA5307">
        <w:t>correspondiente</w:t>
      </w:r>
      <w:r w:rsidRPr="00EA5307">
        <w:t>.</w:t>
      </w:r>
    </w:p>
    <w:p w14:paraId="593FD834" w14:textId="77777777" w:rsidR="00840FF3" w:rsidRPr="00EA5307" w:rsidRDefault="00840FF3" w:rsidP="00840FF3">
      <w:pPr>
        <w:widowControl w:val="0"/>
      </w:pPr>
      <w:r w:rsidRPr="00EA5307">
        <w:rPr>
          <w:b/>
          <w:bCs/>
        </w:rPr>
        <w:t>Cuarto.</w:t>
      </w:r>
      <w:r w:rsidRPr="00EA5307">
        <w:t xml:space="preserve"> Asimismo,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01561863" w14:textId="77777777" w:rsidR="00840FF3" w:rsidRPr="00EA5307" w:rsidRDefault="00840FF3" w:rsidP="00840FF3">
      <w:pPr>
        <w:widowControl w:val="0"/>
      </w:pPr>
      <w:r w:rsidRPr="00EA5307">
        <w:rPr>
          <w:b/>
          <w:bCs/>
        </w:rPr>
        <w:t>Quinto.</w:t>
      </w:r>
      <w:r w:rsidRPr="00EA5307">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5EF24B1B" w14:textId="3D61C4F0" w:rsidR="00840FF3" w:rsidRPr="00EA5307" w:rsidRDefault="00840FF3" w:rsidP="00840FF3">
      <w:pPr>
        <w:pStyle w:val="Puntos"/>
        <w:widowControl w:val="0"/>
        <w:spacing w:before="240" w:line="300" w:lineRule="auto"/>
        <w:ind w:left="0"/>
        <w:rPr>
          <w:sz w:val="23"/>
          <w:szCs w:val="23"/>
        </w:rPr>
      </w:pPr>
      <w:r w:rsidRPr="00EA5307">
        <w:rPr>
          <w:sz w:val="23"/>
          <w:szCs w:val="23"/>
        </w:rPr>
        <w:t>El presente acuerdo fue</w:t>
      </w:r>
      <w:r w:rsidR="00EA5307">
        <w:rPr>
          <w:sz w:val="23"/>
          <w:szCs w:val="23"/>
        </w:rPr>
        <w:t xml:space="preserve"> aprobado</w:t>
      </w:r>
      <w:r w:rsidRPr="00EA5307">
        <w:rPr>
          <w:sz w:val="23"/>
          <w:szCs w:val="23"/>
        </w:rPr>
        <w:t xml:space="preserve"> en sesión </w:t>
      </w:r>
      <w:r w:rsidR="00EA5307">
        <w:rPr>
          <w:sz w:val="23"/>
          <w:szCs w:val="23"/>
        </w:rPr>
        <w:t>ordinaria</w:t>
      </w:r>
      <w:r w:rsidRPr="00EA5307">
        <w:rPr>
          <w:sz w:val="23"/>
          <w:szCs w:val="23"/>
        </w:rPr>
        <w:t xml:space="preserve"> efectuada el </w:t>
      </w:r>
      <w:r w:rsidR="00EA5307">
        <w:rPr>
          <w:sz w:val="23"/>
          <w:szCs w:val="23"/>
        </w:rPr>
        <w:t>31</w:t>
      </w:r>
      <w:r w:rsidRPr="00EA5307">
        <w:rPr>
          <w:sz w:val="23"/>
          <w:szCs w:val="23"/>
        </w:rPr>
        <w:t xml:space="preserve"> de </w:t>
      </w:r>
      <w:r w:rsidR="00EA5307">
        <w:rPr>
          <w:sz w:val="23"/>
          <w:szCs w:val="23"/>
        </w:rPr>
        <w:t>enero</w:t>
      </w:r>
      <w:r w:rsidRPr="00EA5307">
        <w:rPr>
          <w:sz w:val="23"/>
          <w:szCs w:val="23"/>
        </w:rPr>
        <w:t xml:space="preserve"> del año dos mil veinticuatro, por votación </w:t>
      </w:r>
      <w:r w:rsidR="00EA5307">
        <w:rPr>
          <w:sz w:val="23"/>
          <w:szCs w:val="23"/>
        </w:rPr>
        <w:t>unánime</w:t>
      </w:r>
      <w:r w:rsidRPr="00EA5307">
        <w:rPr>
          <w:sz w:val="23"/>
          <w:szCs w:val="23"/>
        </w:rPr>
        <w:t xml:space="preserve"> de las y los Consejeros Electorales del Consejo Estatal del Instituto Electoral y de Participación Ciudadana de Tabasco: Dra. </w:t>
      </w:r>
      <w:proofErr w:type="spellStart"/>
      <w:r w:rsidRPr="00EA5307">
        <w:rPr>
          <w:sz w:val="23"/>
          <w:szCs w:val="23"/>
        </w:rPr>
        <w:t>Rosselvy</w:t>
      </w:r>
      <w:proofErr w:type="spellEnd"/>
      <w:r w:rsidRPr="00EA5307">
        <w:rPr>
          <w:sz w:val="23"/>
          <w:szCs w:val="23"/>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10382D0B" w14:textId="77777777" w:rsidR="00840FF3" w:rsidRPr="00EA5307" w:rsidRDefault="00840FF3" w:rsidP="00840FF3">
      <w:pPr>
        <w:pStyle w:val="Puntos"/>
        <w:widowControl w:val="0"/>
        <w:spacing w:before="240" w:line="300" w:lineRule="auto"/>
        <w:ind w:left="0"/>
        <w:rPr>
          <w:sz w:val="23"/>
          <w:szCs w:val="23"/>
        </w:rPr>
      </w:pPr>
    </w:p>
    <w:p w14:paraId="5624C2F4" w14:textId="77777777" w:rsidR="00840FF3" w:rsidRPr="00EA5307" w:rsidRDefault="00840FF3" w:rsidP="00840FF3">
      <w:pPr>
        <w:widowControl w:val="0"/>
      </w:pPr>
    </w:p>
    <w:p w14:paraId="5B58012D" w14:textId="77777777" w:rsidR="00840FF3" w:rsidRPr="00EA5307" w:rsidRDefault="00840FF3" w:rsidP="00840FF3">
      <w:pPr>
        <w:widowControl w:val="0"/>
      </w:pPr>
      <w:bookmarkStart w:id="0" w:name="_GoBack"/>
      <w:bookmarkEnd w:id="0"/>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840FF3" w:rsidRPr="00EA5307" w14:paraId="5CFEC36A" w14:textId="77777777" w:rsidTr="006C2951">
        <w:tc>
          <w:tcPr>
            <w:tcW w:w="4395" w:type="dxa"/>
          </w:tcPr>
          <w:p w14:paraId="5A3202D3" w14:textId="77777777" w:rsidR="00840FF3" w:rsidRPr="00EA5307" w:rsidRDefault="00840FF3" w:rsidP="006C2951">
            <w:pPr>
              <w:widowControl w:val="0"/>
              <w:spacing w:before="0" w:after="0"/>
              <w:jc w:val="center"/>
              <w:rPr>
                <w:b/>
                <w:spacing w:val="-10"/>
              </w:rPr>
            </w:pPr>
            <w:r w:rsidRPr="00EA5307">
              <w:rPr>
                <w:b/>
                <w:spacing w:val="-10"/>
              </w:rPr>
              <w:t>MTRA. ELIZABETH NAVA GUTIÉRREZ</w:t>
            </w:r>
          </w:p>
          <w:p w14:paraId="4BA32C92" w14:textId="77777777" w:rsidR="00840FF3" w:rsidRPr="00EA5307" w:rsidRDefault="00840FF3" w:rsidP="006C2951">
            <w:pPr>
              <w:widowControl w:val="0"/>
              <w:spacing w:before="0" w:after="0"/>
              <w:jc w:val="center"/>
              <w:rPr>
                <w:b/>
              </w:rPr>
            </w:pPr>
            <w:r w:rsidRPr="00EA5307">
              <w:rPr>
                <w:b/>
                <w:spacing w:val="-10"/>
              </w:rPr>
              <w:t>CONSEJERA PRESIDENTA</w:t>
            </w:r>
          </w:p>
        </w:tc>
        <w:tc>
          <w:tcPr>
            <w:tcW w:w="278" w:type="dxa"/>
          </w:tcPr>
          <w:p w14:paraId="4DF1C7A9" w14:textId="77777777" w:rsidR="00840FF3" w:rsidRPr="00EA5307" w:rsidRDefault="00840FF3" w:rsidP="006C2951">
            <w:pPr>
              <w:widowControl w:val="0"/>
              <w:spacing w:before="0" w:after="0"/>
              <w:rPr>
                <w:b/>
              </w:rPr>
            </w:pPr>
          </w:p>
        </w:tc>
        <w:tc>
          <w:tcPr>
            <w:tcW w:w="4400" w:type="dxa"/>
          </w:tcPr>
          <w:p w14:paraId="4F858A71" w14:textId="77777777" w:rsidR="00840FF3" w:rsidRPr="00EA5307" w:rsidRDefault="00840FF3" w:rsidP="006C2951">
            <w:pPr>
              <w:widowControl w:val="0"/>
              <w:spacing w:before="0" w:after="0"/>
              <w:jc w:val="center"/>
              <w:rPr>
                <w:b/>
                <w:spacing w:val="-10"/>
              </w:rPr>
            </w:pPr>
            <w:r w:rsidRPr="00EA5307">
              <w:rPr>
                <w:b/>
                <w:spacing w:val="-10"/>
              </w:rPr>
              <w:t>LIC. JORGE ALBERTO ZAVALA FRÍAS</w:t>
            </w:r>
          </w:p>
          <w:p w14:paraId="511CE80B" w14:textId="77777777" w:rsidR="00840FF3" w:rsidRPr="00EA5307" w:rsidRDefault="00840FF3" w:rsidP="006C2951">
            <w:pPr>
              <w:widowControl w:val="0"/>
              <w:spacing w:before="0" w:after="0"/>
              <w:jc w:val="center"/>
              <w:rPr>
                <w:b/>
              </w:rPr>
            </w:pPr>
            <w:r w:rsidRPr="00EA5307">
              <w:rPr>
                <w:b/>
                <w:spacing w:val="-10"/>
              </w:rPr>
              <w:t>SECRETARIO DEL CONSEJO</w:t>
            </w:r>
          </w:p>
        </w:tc>
      </w:tr>
    </w:tbl>
    <w:p w14:paraId="349B960C" w14:textId="77777777" w:rsidR="00840FF3" w:rsidRPr="00EA5307" w:rsidRDefault="00840FF3" w:rsidP="00840FF3">
      <w:pPr>
        <w:widowControl w:val="0"/>
      </w:pPr>
    </w:p>
    <w:p w14:paraId="4FD80A59" w14:textId="77777777" w:rsidR="00840FF3" w:rsidRPr="00025790" w:rsidRDefault="00840FF3" w:rsidP="007D4A4D"/>
    <w:sectPr w:rsidR="00840FF3" w:rsidRPr="00025790" w:rsidSect="001B0EC3">
      <w:headerReference w:type="default" r:id="rId7"/>
      <w:footerReference w:type="default" r:id="rId8"/>
      <w:pgSz w:w="12240" w:h="15840" w:code="1"/>
      <w:pgMar w:top="2836" w:right="1701"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247CF" w14:textId="77777777" w:rsidR="001B0EC3" w:rsidRDefault="001B0EC3" w:rsidP="00840FF3">
      <w:pPr>
        <w:spacing w:before="0" w:after="0" w:line="240" w:lineRule="auto"/>
      </w:pPr>
      <w:r>
        <w:separator/>
      </w:r>
    </w:p>
  </w:endnote>
  <w:endnote w:type="continuationSeparator" w:id="0">
    <w:p w14:paraId="61F0801B" w14:textId="77777777" w:rsidR="001B0EC3" w:rsidRDefault="001B0EC3" w:rsidP="00840F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290668403"/>
      <w:docPartObj>
        <w:docPartGallery w:val="Page Numbers (Top of Page)"/>
        <w:docPartUnique/>
      </w:docPartObj>
    </w:sdtPr>
    <w:sdtEndPr/>
    <w:sdtContent>
      <w:p w14:paraId="1CB52C63" w14:textId="35F6111D" w:rsidR="006C2951" w:rsidRPr="00840FF3" w:rsidRDefault="006C2951" w:rsidP="00840FF3">
        <w:pPr>
          <w:pStyle w:val="Piedepgina"/>
          <w:jc w:val="right"/>
          <w:rPr>
            <w:color w:val="993366"/>
            <w:sz w:val="20"/>
            <w:szCs w:val="20"/>
          </w:rPr>
        </w:pPr>
        <w:r w:rsidRPr="00FE5E31">
          <w:rPr>
            <w:b/>
            <w:bCs/>
            <w:color w:val="993366"/>
            <w:lang w:val="es-ES"/>
          </w:rPr>
          <w:t xml:space="preserve">Página </w:t>
        </w:r>
        <w:r w:rsidRPr="00FE5E31">
          <w:rPr>
            <w:b/>
            <w:bCs/>
            <w:color w:val="993366"/>
          </w:rPr>
          <w:fldChar w:fldCharType="begin"/>
        </w:r>
        <w:r w:rsidRPr="00FE5E31">
          <w:rPr>
            <w:b/>
            <w:bCs/>
            <w:color w:val="993366"/>
          </w:rPr>
          <w:instrText>PAGE</w:instrText>
        </w:r>
        <w:r w:rsidRPr="00FE5E31">
          <w:rPr>
            <w:b/>
            <w:bCs/>
            <w:color w:val="993366"/>
          </w:rPr>
          <w:fldChar w:fldCharType="separate"/>
        </w:r>
        <w:r w:rsidR="00EA5307">
          <w:rPr>
            <w:b/>
            <w:bCs/>
            <w:noProof/>
            <w:color w:val="993366"/>
          </w:rPr>
          <w:t>17</w:t>
        </w:r>
        <w:r w:rsidRPr="00FE5E31">
          <w:rPr>
            <w:b/>
            <w:bCs/>
            <w:color w:val="993366"/>
          </w:rPr>
          <w:fldChar w:fldCharType="end"/>
        </w:r>
        <w:r w:rsidRPr="00FE5E31">
          <w:rPr>
            <w:b/>
            <w:bCs/>
            <w:color w:val="993366"/>
            <w:lang w:val="es-ES"/>
          </w:rPr>
          <w:t xml:space="preserve"> | </w:t>
        </w:r>
        <w:r w:rsidRPr="00FE5E31">
          <w:rPr>
            <w:b/>
            <w:bCs/>
            <w:color w:val="993366"/>
          </w:rPr>
          <w:fldChar w:fldCharType="begin"/>
        </w:r>
        <w:r w:rsidRPr="00FE5E31">
          <w:rPr>
            <w:b/>
            <w:bCs/>
            <w:color w:val="993366"/>
          </w:rPr>
          <w:instrText>NUMPAGES</w:instrText>
        </w:r>
        <w:r w:rsidRPr="00FE5E31">
          <w:rPr>
            <w:b/>
            <w:bCs/>
            <w:color w:val="993366"/>
          </w:rPr>
          <w:fldChar w:fldCharType="separate"/>
        </w:r>
        <w:r w:rsidR="00EA5307">
          <w:rPr>
            <w:b/>
            <w:bCs/>
            <w:noProof/>
            <w:color w:val="993366"/>
          </w:rPr>
          <w:t>17</w:t>
        </w:r>
        <w:r w:rsidRPr="00FE5E31">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E1900" w14:textId="77777777" w:rsidR="001B0EC3" w:rsidRDefault="001B0EC3" w:rsidP="00840FF3">
      <w:pPr>
        <w:spacing w:before="0" w:after="0" w:line="240" w:lineRule="auto"/>
      </w:pPr>
      <w:r>
        <w:separator/>
      </w:r>
    </w:p>
  </w:footnote>
  <w:footnote w:type="continuationSeparator" w:id="0">
    <w:p w14:paraId="13BEA0D5" w14:textId="77777777" w:rsidR="001B0EC3" w:rsidRDefault="001B0EC3" w:rsidP="00840FF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6C2951" w:rsidRPr="00063338" w14:paraId="7FEE882C" w14:textId="77777777" w:rsidTr="006C2951">
      <w:tc>
        <w:tcPr>
          <w:tcW w:w="1418" w:type="dxa"/>
        </w:tcPr>
        <w:p w14:paraId="641CAA11" w14:textId="77777777" w:rsidR="006C2951" w:rsidRPr="00063338" w:rsidRDefault="006C2951" w:rsidP="00840FF3">
          <w:pPr>
            <w:pStyle w:val="Encabezado"/>
            <w:ind w:left="-170"/>
          </w:pPr>
          <w:r>
            <w:rPr>
              <w:b/>
              <w:noProof/>
              <w:sz w:val="32"/>
              <w:lang w:eastAsia="es-MX"/>
            </w:rPr>
            <w:drawing>
              <wp:inline distT="0" distB="0" distL="0" distR="0" wp14:anchorId="47FA2BD9" wp14:editId="63710FBA">
                <wp:extent cx="1014331" cy="1199403"/>
                <wp:effectExtent l="0" t="0" r="0" b="1270"/>
                <wp:docPr id="19" name="Imagen 19"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AB53581" w14:textId="77777777" w:rsidR="006C2951" w:rsidRPr="00CC00C5" w:rsidRDefault="006C2951" w:rsidP="00840FF3">
          <w:pPr>
            <w:pStyle w:val="Encabezado"/>
            <w:spacing w:before="720"/>
            <w:jc w:val="center"/>
            <w:rPr>
              <w:b/>
              <w:bCs/>
              <w:sz w:val="25"/>
              <w:szCs w:val="25"/>
            </w:rPr>
          </w:pPr>
          <w:r w:rsidRPr="00CC00C5">
            <w:rPr>
              <w:b/>
              <w:bCs/>
              <w:sz w:val="25"/>
              <w:szCs w:val="25"/>
            </w:rPr>
            <w:t>INSTITUTO ELECTORAL Y DE PARTICIPACIÓN CIUDADANA DE TABASCO</w:t>
          </w:r>
        </w:p>
        <w:p w14:paraId="54D25BD8" w14:textId="77777777" w:rsidR="006C2951" w:rsidRPr="00063338" w:rsidRDefault="006C2951" w:rsidP="00840FF3">
          <w:pPr>
            <w:pStyle w:val="Encabezado"/>
            <w:jc w:val="center"/>
          </w:pPr>
          <w:r w:rsidRPr="00CC00C5">
            <w:rPr>
              <w:sz w:val="26"/>
              <w:szCs w:val="26"/>
            </w:rPr>
            <w:t>CONSEJO ESTATAL</w:t>
          </w:r>
        </w:p>
      </w:tc>
      <w:tc>
        <w:tcPr>
          <w:tcW w:w="1701" w:type="dxa"/>
        </w:tcPr>
        <w:p w14:paraId="251A6056" w14:textId="77777777" w:rsidR="006C2951" w:rsidRPr="00063338" w:rsidRDefault="006C2951" w:rsidP="00840FF3">
          <w:pPr>
            <w:pStyle w:val="Encabezado"/>
            <w:spacing w:before="480"/>
          </w:pPr>
          <w:r>
            <w:rPr>
              <w:noProof/>
              <w:lang w:eastAsia="es-MX"/>
            </w:rPr>
            <w:drawing>
              <wp:inline distT="0" distB="0" distL="0" distR="0" wp14:anchorId="037541FE" wp14:editId="44716492">
                <wp:extent cx="921600" cy="756000"/>
                <wp:effectExtent l="0" t="0" r="0" b="635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CT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7CEB0461" w14:textId="422EB971" w:rsidR="006C2951" w:rsidRPr="00EA5307" w:rsidRDefault="00EA5307" w:rsidP="00EA5307">
    <w:pPr>
      <w:pStyle w:val="Encabezado"/>
      <w:jc w:val="right"/>
      <w:rPr>
        <w:b/>
        <w:sz w:val="24"/>
        <w:szCs w:val="24"/>
      </w:rPr>
    </w:pPr>
    <w:r w:rsidRPr="00EA5307">
      <w:rPr>
        <w:b/>
        <w:sz w:val="24"/>
        <w:szCs w:val="24"/>
      </w:rPr>
      <w:t>CE/2024/006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93912"/>
    <w:multiLevelType w:val="hybridMultilevel"/>
    <w:tmpl w:val="3DA2BCBA"/>
    <w:lvl w:ilvl="0" w:tplc="ECE007E2">
      <w:start w:val="1"/>
      <w:numFmt w:val="lowerLetter"/>
      <w:lvlText w:val="%1)"/>
      <w:lvlJc w:val="left"/>
      <w:pPr>
        <w:ind w:left="1065" w:hanging="705"/>
      </w:pPr>
      <w:rPr>
        <w:rFonts w:hint="default"/>
      </w:rPr>
    </w:lvl>
    <w:lvl w:ilvl="1" w:tplc="C8888DF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550C92"/>
    <w:multiLevelType w:val="hybridMultilevel"/>
    <w:tmpl w:val="E4E25A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5662FC"/>
    <w:multiLevelType w:val="hybridMultilevel"/>
    <w:tmpl w:val="45AC61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10170C"/>
    <w:multiLevelType w:val="hybridMultilevel"/>
    <w:tmpl w:val="D9DA3A5C"/>
    <w:lvl w:ilvl="0" w:tplc="B1185722">
      <w:start w:val="1"/>
      <w:numFmt w:val="upperRoman"/>
      <w:lvlText w:val="%1."/>
      <w:lvlJc w:val="left"/>
      <w:pPr>
        <w:ind w:left="1080" w:hanging="720"/>
      </w:pPr>
      <w:rPr>
        <w:rFonts w:hint="default"/>
      </w:rPr>
    </w:lvl>
    <w:lvl w:ilvl="1" w:tplc="4D1491F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6F437C"/>
    <w:multiLevelType w:val="hybridMultilevel"/>
    <w:tmpl w:val="131A35E8"/>
    <w:lvl w:ilvl="0" w:tplc="B11857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732128D"/>
    <w:multiLevelType w:val="hybridMultilevel"/>
    <w:tmpl w:val="D3C23C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4D4F1A"/>
    <w:multiLevelType w:val="multilevel"/>
    <w:tmpl w:val="86C84C52"/>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673F1D8A"/>
    <w:multiLevelType w:val="hybridMultilevel"/>
    <w:tmpl w:val="B68002A8"/>
    <w:lvl w:ilvl="0" w:tplc="ECE007E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CBB6B7B"/>
    <w:multiLevelType w:val="hybridMultilevel"/>
    <w:tmpl w:val="268C2EF2"/>
    <w:lvl w:ilvl="0" w:tplc="B11857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7"/>
  </w:num>
  <w:num w:numId="5">
    <w:abstractNumId w:val="1"/>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CF5"/>
    <w:rsid w:val="00021AFD"/>
    <w:rsid w:val="00025790"/>
    <w:rsid w:val="00077D3F"/>
    <w:rsid w:val="000D3236"/>
    <w:rsid w:val="000E2FA6"/>
    <w:rsid w:val="00105484"/>
    <w:rsid w:val="0019104F"/>
    <w:rsid w:val="001B0EC3"/>
    <w:rsid w:val="002B19B9"/>
    <w:rsid w:val="00301A1B"/>
    <w:rsid w:val="0031245D"/>
    <w:rsid w:val="00356CF4"/>
    <w:rsid w:val="00395A17"/>
    <w:rsid w:val="0044558D"/>
    <w:rsid w:val="004E4035"/>
    <w:rsid w:val="0051069F"/>
    <w:rsid w:val="00533290"/>
    <w:rsid w:val="005C50B1"/>
    <w:rsid w:val="005D7400"/>
    <w:rsid w:val="00665E47"/>
    <w:rsid w:val="006C2951"/>
    <w:rsid w:val="006E69C5"/>
    <w:rsid w:val="007235F7"/>
    <w:rsid w:val="00733448"/>
    <w:rsid w:val="007B6DEE"/>
    <w:rsid w:val="007D4A4D"/>
    <w:rsid w:val="00840FF3"/>
    <w:rsid w:val="0084761D"/>
    <w:rsid w:val="008B2871"/>
    <w:rsid w:val="008D5B74"/>
    <w:rsid w:val="00953ED2"/>
    <w:rsid w:val="009800AF"/>
    <w:rsid w:val="009B2F69"/>
    <w:rsid w:val="00A80674"/>
    <w:rsid w:val="00BF04B4"/>
    <w:rsid w:val="00C01B57"/>
    <w:rsid w:val="00C66CF5"/>
    <w:rsid w:val="00C8006B"/>
    <w:rsid w:val="00C864FB"/>
    <w:rsid w:val="00D1172E"/>
    <w:rsid w:val="00D2489C"/>
    <w:rsid w:val="00D36671"/>
    <w:rsid w:val="00DD7561"/>
    <w:rsid w:val="00E339E3"/>
    <w:rsid w:val="00EA12DE"/>
    <w:rsid w:val="00EA5307"/>
    <w:rsid w:val="00FF7D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E5C0D"/>
  <w15:chartTrackingRefBased/>
  <w15:docId w15:val="{40174520-B214-4834-A131-28A15AE7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CF5"/>
    <w:pPr>
      <w:spacing w:before="240" w:after="240" w:line="288" w:lineRule="auto"/>
      <w:jc w:val="both"/>
    </w:pPr>
    <w:rPr>
      <w:rFonts w:ascii="Arial" w:hAnsi="Arial" w:cs="Arial"/>
      <w:sz w:val="23"/>
      <w:szCs w:val="23"/>
    </w:rPr>
  </w:style>
  <w:style w:type="paragraph" w:styleId="Ttulo1">
    <w:name w:val="heading 1"/>
    <w:basedOn w:val="Normal"/>
    <w:next w:val="Normal"/>
    <w:link w:val="Ttulo1Car"/>
    <w:uiPriority w:val="9"/>
    <w:qFormat/>
    <w:rsid w:val="00C01B57"/>
    <w:pPr>
      <w:keepLines/>
      <w:widowControl w:val="0"/>
      <w:numPr>
        <w:numId w:val="1"/>
      </w:numPr>
      <w:spacing w:before="480"/>
      <w:jc w:val="center"/>
      <w:outlineLvl w:val="0"/>
    </w:pPr>
    <w:rPr>
      <w:rFonts w:eastAsiaTheme="majorEastAsia"/>
      <w:b/>
      <w:bCs/>
      <w:kern w:val="2"/>
      <w:sz w:val="28"/>
      <w14:ligatures w14:val="standardContextual"/>
    </w:rPr>
  </w:style>
  <w:style w:type="paragraph" w:styleId="Ttulo2">
    <w:name w:val="heading 2"/>
    <w:basedOn w:val="Normal"/>
    <w:next w:val="Normal"/>
    <w:link w:val="Ttulo2Car"/>
    <w:uiPriority w:val="9"/>
    <w:unhideWhenUsed/>
    <w:qFormat/>
    <w:rsid w:val="00C01B57"/>
    <w:pPr>
      <w:keepLines/>
      <w:widowControl w:val="0"/>
      <w:numPr>
        <w:ilvl w:val="1"/>
        <w:numId w:val="1"/>
      </w:numPr>
      <w:spacing w:before="480"/>
      <w:outlineLvl w:val="1"/>
    </w:pPr>
    <w:rPr>
      <w:rFonts w:eastAsiaTheme="majorEastAsia"/>
      <w:b/>
      <w:bCs/>
      <w:kern w:val="2"/>
      <w:sz w:val="24"/>
      <w14:ligatures w14:val="standardContextual"/>
    </w:rPr>
  </w:style>
  <w:style w:type="paragraph" w:styleId="Ttulo3">
    <w:name w:val="heading 3"/>
    <w:basedOn w:val="Normal"/>
    <w:next w:val="Normal"/>
    <w:link w:val="Ttulo3Car"/>
    <w:uiPriority w:val="9"/>
    <w:unhideWhenUsed/>
    <w:qFormat/>
    <w:rsid w:val="00C01B57"/>
    <w:pPr>
      <w:keepNext/>
      <w:keepLines/>
      <w:numPr>
        <w:ilvl w:val="2"/>
        <w:numId w:val="1"/>
      </w:numPr>
      <w:spacing w:before="600"/>
      <w:outlineLvl w:val="2"/>
    </w:pPr>
    <w:rPr>
      <w:rFonts w:eastAsiaTheme="majorEastAsia"/>
      <w:b/>
      <w:color w:val="1F4D78" w:themeColor="accent1" w:themeShade="7F"/>
      <w:kern w:val="2"/>
      <w:sz w:val="22"/>
      <w14:ligatures w14:val="standardContextual"/>
    </w:rPr>
  </w:style>
  <w:style w:type="paragraph" w:styleId="Ttulo4">
    <w:name w:val="heading 4"/>
    <w:basedOn w:val="Normal"/>
    <w:next w:val="Normal"/>
    <w:link w:val="Ttulo4Car"/>
    <w:uiPriority w:val="9"/>
    <w:semiHidden/>
    <w:unhideWhenUsed/>
    <w:qFormat/>
    <w:rsid w:val="00C01B5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kern w:val="2"/>
      <w:sz w:val="24"/>
      <w:szCs w:val="24"/>
      <w14:ligatures w14:val="standardContextual"/>
    </w:rPr>
  </w:style>
  <w:style w:type="paragraph" w:styleId="Ttulo5">
    <w:name w:val="heading 5"/>
    <w:basedOn w:val="Normal"/>
    <w:next w:val="Normal"/>
    <w:link w:val="Ttulo5Car"/>
    <w:uiPriority w:val="9"/>
    <w:semiHidden/>
    <w:unhideWhenUsed/>
    <w:qFormat/>
    <w:rsid w:val="00C01B57"/>
    <w:pPr>
      <w:keepNext/>
      <w:keepLines/>
      <w:numPr>
        <w:ilvl w:val="4"/>
        <w:numId w:val="1"/>
      </w:numPr>
      <w:spacing w:before="40" w:after="0"/>
      <w:outlineLvl w:val="4"/>
    </w:pPr>
    <w:rPr>
      <w:rFonts w:asciiTheme="majorHAnsi" w:eastAsiaTheme="majorEastAsia" w:hAnsiTheme="majorHAnsi" w:cstheme="majorBidi"/>
      <w:color w:val="2E74B5" w:themeColor="accent1" w:themeShade="BF"/>
      <w:kern w:val="2"/>
      <w:sz w:val="24"/>
      <w:szCs w:val="24"/>
      <w14:ligatures w14:val="standardContextual"/>
    </w:rPr>
  </w:style>
  <w:style w:type="paragraph" w:styleId="Ttulo6">
    <w:name w:val="heading 6"/>
    <w:basedOn w:val="Normal"/>
    <w:next w:val="Normal"/>
    <w:link w:val="Ttulo6Car"/>
    <w:uiPriority w:val="9"/>
    <w:semiHidden/>
    <w:unhideWhenUsed/>
    <w:qFormat/>
    <w:rsid w:val="00C01B57"/>
    <w:pPr>
      <w:keepNext/>
      <w:keepLines/>
      <w:numPr>
        <w:ilvl w:val="5"/>
        <w:numId w:val="1"/>
      </w:numPr>
      <w:spacing w:before="40" w:after="0"/>
      <w:outlineLvl w:val="5"/>
    </w:pPr>
    <w:rPr>
      <w:rFonts w:asciiTheme="majorHAnsi" w:eastAsiaTheme="majorEastAsia" w:hAnsiTheme="majorHAnsi" w:cstheme="majorBidi"/>
      <w:color w:val="1F4D78" w:themeColor="accent1" w:themeShade="7F"/>
      <w:kern w:val="2"/>
      <w:sz w:val="24"/>
      <w:szCs w:val="24"/>
      <w14:ligatures w14:val="standardContextual"/>
    </w:rPr>
  </w:style>
  <w:style w:type="paragraph" w:styleId="Ttulo7">
    <w:name w:val="heading 7"/>
    <w:basedOn w:val="Normal"/>
    <w:next w:val="Normal"/>
    <w:link w:val="Ttulo7Car"/>
    <w:uiPriority w:val="9"/>
    <w:semiHidden/>
    <w:unhideWhenUsed/>
    <w:qFormat/>
    <w:rsid w:val="00C01B5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kern w:val="2"/>
      <w:sz w:val="24"/>
      <w:szCs w:val="24"/>
      <w14:ligatures w14:val="standardContextual"/>
    </w:rPr>
  </w:style>
  <w:style w:type="paragraph" w:styleId="Ttulo8">
    <w:name w:val="heading 8"/>
    <w:basedOn w:val="Normal"/>
    <w:next w:val="Normal"/>
    <w:link w:val="Ttulo8Car"/>
    <w:uiPriority w:val="9"/>
    <w:semiHidden/>
    <w:unhideWhenUsed/>
    <w:qFormat/>
    <w:rsid w:val="00C01B57"/>
    <w:pPr>
      <w:keepNext/>
      <w:keepLines/>
      <w:numPr>
        <w:ilvl w:val="7"/>
        <w:numId w:val="1"/>
      </w:numPr>
      <w:spacing w:before="40" w:after="0"/>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Ttulo9">
    <w:name w:val="heading 9"/>
    <w:basedOn w:val="Normal"/>
    <w:next w:val="Normal"/>
    <w:link w:val="Ttulo9Car"/>
    <w:uiPriority w:val="9"/>
    <w:semiHidden/>
    <w:unhideWhenUsed/>
    <w:qFormat/>
    <w:rsid w:val="00C01B57"/>
    <w:pPr>
      <w:keepNext/>
      <w:keepLines/>
      <w:numPr>
        <w:ilvl w:val="8"/>
        <w:numId w:val="1"/>
      </w:numPr>
      <w:spacing w:before="40" w:after="0"/>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1B57"/>
    <w:rPr>
      <w:rFonts w:ascii="Arial" w:eastAsiaTheme="majorEastAsia" w:hAnsi="Arial" w:cs="Arial"/>
      <w:b/>
      <w:bCs/>
      <w:kern w:val="2"/>
      <w:sz w:val="28"/>
      <w:szCs w:val="23"/>
      <w14:ligatures w14:val="standardContextual"/>
    </w:rPr>
  </w:style>
  <w:style w:type="character" w:customStyle="1" w:styleId="Ttulo2Car">
    <w:name w:val="Título 2 Car"/>
    <w:basedOn w:val="Fuentedeprrafopredeter"/>
    <w:link w:val="Ttulo2"/>
    <w:uiPriority w:val="9"/>
    <w:rsid w:val="00C01B57"/>
    <w:rPr>
      <w:rFonts w:ascii="Arial" w:eastAsiaTheme="majorEastAsia" w:hAnsi="Arial" w:cs="Arial"/>
      <w:b/>
      <w:bCs/>
      <w:kern w:val="2"/>
      <w:sz w:val="24"/>
      <w:szCs w:val="23"/>
      <w14:ligatures w14:val="standardContextual"/>
    </w:rPr>
  </w:style>
  <w:style w:type="character" w:customStyle="1" w:styleId="Ttulo3Car">
    <w:name w:val="Título 3 Car"/>
    <w:basedOn w:val="Fuentedeprrafopredeter"/>
    <w:link w:val="Ttulo3"/>
    <w:uiPriority w:val="9"/>
    <w:rsid w:val="00C01B57"/>
    <w:rPr>
      <w:rFonts w:ascii="Arial" w:eastAsiaTheme="majorEastAsia" w:hAnsi="Arial" w:cs="Arial"/>
      <w:b/>
      <w:color w:val="1F4D78" w:themeColor="accent1" w:themeShade="7F"/>
      <w:kern w:val="2"/>
      <w:szCs w:val="23"/>
      <w14:ligatures w14:val="standardContextual"/>
    </w:rPr>
  </w:style>
  <w:style w:type="character" w:customStyle="1" w:styleId="Ttulo4Car">
    <w:name w:val="Título 4 Car"/>
    <w:basedOn w:val="Fuentedeprrafopredeter"/>
    <w:link w:val="Ttulo4"/>
    <w:uiPriority w:val="9"/>
    <w:semiHidden/>
    <w:rsid w:val="00C01B57"/>
    <w:rPr>
      <w:rFonts w:asciiTheme="majorHAnsi" w:eastAsiaTheme="majorEastAsia" w:hAnsiTheme="majorHAnsi" w:cstheme="majorBidi"/>
      <w:i/>
      <w:iCs/>
      <w:color w:val="2E74B5" w:themeColor="accent1" w:themeShade="BF"/>
      <w:kern w:val="2"/>
      <w:sz w:val="24"/>
      <w:szCs w:val="24"/>
      <w14:ligatures w14:val="standardContextual"/>
    </w:rPr>
  </w:style>
  <w:style w:type="character" w:customStyle="1" w:styleId="Ttulo5Car">
    <w:name w:val="Título 5 Car"/>
    <w:basedOn w:val="Fuentedeprrafopredeter"/>
    <w:link w:val="Ttulo5"/>
    <w:uiPriority w:val="9"/>
    <w:semiHidden/>
    <w:rsid w:val="00C01B57"/>
    <w:rPr>
      <w:rFonts w:asciiTheme="majorHAnsi" w:eastAsiaTheme="majorEastAsia" w:hAnsiTheme="majorHAnsi" w:cstheme="majorBidi"/>
      <w:color w:val="2E74B5" w:themeColor="accent1" w:themeShade="BF"/>
      <w:kern w:val="2"/>
      <w:sz w:val="24"/>
      <w:szCs w:val="24"/>
      <w14:ligatures w14:val="standardContextual"/>
    </w:rPr>
  </w:style>
  <w:style w:type="character" w:customStyle="1" w:styleId="Ttulo6Car">
    <w:name w:val="Título 6 Car"/>
    <w:basedOn w:val="Fuentedeprrafopredeter"/>
    <w:link w:val="Ttulo6"/>
    <w:uiPriority w:val="9"/>
    <w:semiHidden/>
    <w:rsid w:val="00C01B57"/>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Ttulo7Car">
    <w:name w:val="Título 7 Car"/>
    <w:basedOn w:val="Fuentedeprrafopredeter"/>
    <w:link w:val="Ttulo7"/>
    <w:uiPriority w:val="9"/>
    <w:semiHidden/>
    <w:rsid w:val="00C01B57"/>
    <w:rPr>
      <w:rFonts w:asciiTheme="majorHAnsi" w:eastAsiaTheme="majorEastAsia" w:hAnsiTheme="majorHAnsi" w:cstheme="majorBidi"/>
      <w:i/>
      <w:iCs/>
      <w:color w:val="1F4D78" w:themeColor="accent1" w:themeShade="7F"/>
      <w:kern w:val="2"/>
      <w:sz w:val="24"/>
      <w:szCs w:val="24"/>
      <w14:ligatures w14:val="standardContextual"/>
    </w:rPr>
  </w:style>
  <w:style w:type="character" w:customStyle="1" w:styleId="Ttulo8Car">
    <w:name w:val="Título 8 Car"/>
    <w:basedOn w:val="Fuentedeprrafopredeter"/>
    <w:link w:val="Ttulo8"/>
    <w:uiPriority w:val="9"/>
    <w:semiHidden/>
    <w:rsid w:val="00C01B57"/>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Ttulo9Car">
    <w:name w:val="Título 9 Car"/>
    <w:basedOn w:val="Fuentedeprrafopredeter"/>
    <w:link w:val="Ttulo9"/>
    <w:uiPriority w:val="9"/>
    <w:semiHidden/>
    <w:rsid w:val="00C01B57"/>
    <w:rPr>
      <w:rFonts w:asciiTheme="majorHAnsi" w:eastAsiaTheme="majorEastAsia" w:hAnsiTheme="majorHAnsi" w:cstheme="majorBidi"/>
      <w:i/>
      <w:iCs/>
      <w:color w:val="272727" w:themeColor="text1" w:themeTint="D8"/>
      <w:kern w:val="2"/>
      <w:sz w:val="21"/>
      <w:szCs w:val="21"/>
      <w14:ligatures w14:val="standardContextual"/>
    </w:rPr>
  </w:style>
  <w:style w:type="paragraph" w:styleId="Prrafodelista">
    <w:name w:val="List Paragraph"/>
    <w:basedOn w:val="Normal"/>
    <w:uiPriority w:val="34"/>
    <w:qFormat/>
    <w:rsid w:val="00C01B57"/>
    <w:pPr>
      <w:ind w:left="720"/>
      <w:contextualSpacing/>
    </w:pPr>
  </w:style>
  <w:style w:type="table" w:styleId="Tablaconcuadrcula">
    <w:name w:val="Table Grid"/>
    <w:basedOn w:val="Tablanormal"/>
    <w:uiPriority w:val="39"/>
    <w:rsid w:val="00840FF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tos">
    <w:name w:val="Puntos"/>
    <w:basedOn w:val="Normal"/>
    <w:link w:val="PuntosCar"/>
    <w:qFormat/>
    <w:rsid w:val="00840FF3"/>
    <w:pPr>
      <w:spacing w:before="0" w:line="283" w:lineRule="auto"/>
      <w:ind w:left="624"/>
    </w:pPr>
    <w:rPr>
      <w:sz w:val="24"/>
      <w:szCs w:val="24"/>
    </w:rPr>
  </w:style>
  <w:style w:type="character" w:customStyle="1" w:styleId="PuntosCar">
    <w:name w:val="Puntos Car"/>
    <w:basedOn w:val="Fuentedeprrafopredeter"/>
    <w:link w:val="Puntos"/>
    <w:rsid w:val="00840FF3"/>
    <w:rPr>
      <w:rFonts w:ascii="Arial" w:hAnsi="Arial" w:cs="Arial"/>
      <w:sz w:val="24"/>
      <w:szCs w:val="24"/>
    </w:rPr>
  </w:style>
  <w:style w:type="paragraph" w:styleId="Encabezado">
    <w:name w:val="header"/>
    <w:basedOn w:val="Normal"/>
    <w:link w:val="EncabezadoCar"/>
    <w:uiPriority w:val="99"/>
    <w:unhideWhenUsed/>
    <w:rsid w:val="00840FF3"/>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840FF3"/>
    <w:rPr>
      <w:rFonts w:ascii="Arial" w:hAnsi="Arial" w:cs="Arial"/>
      <w:sz w:val="23"/>
      <w:szCs w:val="23"/>
    </w:rPr>
  </w:style>
  <w:style w:type="paragraph" w:styleId="Piedepgina">
    <w:name w:val="footer"/>
    <w:basedOn w:val="Normal"/>
    <w:link w:val="PiedepginaCar"/>
    <w:uiPriority w:val="99"/>
    <w:unhideWhenUsed/>
    <w:rsid w:val="00840FF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840FF3"/>
    <w:rPr>
      <w:rFonts w:ascii="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17</Pages>
  <Words>4844</Words>
  <Characters>26646</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33</cp:revision>
  <dcterms:created xsi:type="dcterms:W3CDTF">2024-01-03T18:31:00Z</dcterms:created>
  <dcterms:modified xsi:type="dcterms:W3CDTF">2024-02-01T01:31:00Z</dcterms:modified>
</cp:coreProperties>
</file>