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92C" w:rsidRDefault="00882871" w:rsidP="000A792C">
      <w:pPr>
        <w:spacing w:line="288" w:lineRule="auto"/>
        <w:rPr>
          <w:b/>
        </w:rPr>
      </w:pPr>
      <w:r w:rsidRPr="00882871">
        <w:rPr>
          <w:b/>
        </w:rPr>
        <w:t>ACUERDO QUE EMITE EL CONSEJO ESTATAL DEL INSTITUTO ELECTORAL Y DE PARTICIPACIÓN CIUDADANA DE TABASCO, POR EL QUE SE APRUEBAN LOS LINEAMIENTOS PARA LA DISOLUCIÓN Y LIQUIDACIÓN DE LAS ASOCIACIONES CIVILES CONSTITUIDAS PARA LA RENDICIÓN DE CUENTAS DE LAS Y LOS ASPIRANTES, ASÍ COMO DE LAS CANDIDATURAS INDEPENDIENTES A CARGOS DE ELECCIÓN POPULAR EN EL ESTADO DE TABASCO CON MOTIVO DEL PROCESO ELECTORAL LOCAL ORDINARIO 2023 – 2024</w:t>
      </w:r>
    </w:p>
    <w:p w:rsidR="00882871" w:rsidRDefault="00882871" w:rsidP="000A792C">
      <w:pPr>
        <w:spacing w:line="288" w:lineRule="auto"/>
        <w:rPr>
          <w:b/>
        </w:rPr>
      </w:pPr>
    </w:p>
    <w:p w:rsidR="006D0066" w:rsidRDefault="006D0066" w:rsidP="006D0066">
      <w:pPr>
        <w:rPr>
          <w:sz w:val="23"/>
          <w:szCs w:val="23"/>
        </w:rPr>
      </w:pPr>
      <w:r w:rsidRPr="006D0066">
        <w:rPr>
          <w:sz w:val="23"/>
          <w:szCs w:val="23"/>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33"/>
        <w:gridCol w:w="4393"/>
      </w:tblGrid>
      <w:tr w:rsidR="006D0066" w:rsidRPr="008C1524" w:rsidTr="000F7F91">
        <w:trPr>
          <w:trHeight w:val="624"/>
          <w:jc w:val="center"/>
        </w:trPr>
        <w:tc>
          <w:tcPr>
            <w:tcW w:w="2042" w:type="pct"/>
            <w:shd w:val="clear" w:color="auto" w:fill="auto"/>
            <w:vAlign w:val="center"/>
          </w:tcPr>
          <w:p w:rsidR="006D0066" w:rsidRPr="00882871" w:rsidRDefault="006D0066" w:rsidP="0010142F">
            <w:pPr>
              <w:spacing w:before="60" w:after="60" w:line="276" w:lineRule="auto"/>
              <w:ind w:left="57"/>
              <w:jc w:val="right"/>
              <w:rPr>
                <w:b/>
                <w:sz w:val="20"/>
                <w:szCs w:val="20"/>
              </w:rPr>
            </w:pPr>
            <w:r w:rsidRPr="00882871">
              <w:rPr>
                <w:b/>
                <w:sz w:val="20"/>
                <w:szCs w:val="20"/>
              </w:rPr>
              <w:t>Consejo Estatal:</w:t>
            </w:r>
          </w:p>
        </w:tc>
        <w:tc>
          <w:tcPr>
            <w:tcW w:w="2958" w:type="pct"/>
            <w:shd w:val="clear" w:color="auto" w:fill="auto"/>
            <w:vAlign w:val="center"/>
          </w:tcPr>
          <w:p w:rsidR="006D0066" w:rsidRPr="00882871" w:rsidRDefault="006D0066" w:rsidP="0010142F">
            <w:pPr>
              <w:spacing w:before="60" w:after="60" w:line="276" w:lineRule="auto"/>
              <w:ind w:left="57"/>
              <w:rPr>
                <w:sz w:val="20"/>
                <w:szCs w:val="20"/>
              </w:rPr>
            </w:pPr>
            <w:r w:rsidRPr="00882871">
              <w:rPr>
                <w:sz w:val="20"/>
                <w:szCs w:val="20"/>
              </w:rPr>
              <w:t>Consejo Estatal del Instituto Electoral y de Participación Ciudadana de Tabasco.</w:t>
            </w:r>
          </w:p>
        </w:tc>
      </w:tr>
      <w:tr w:rsidR="006D0066" w:rsidRPr="008C1524" w:rsidTr="000F7F91">
        <w:trPr>
          <w:trHeight w:val="624"/>
          <w:jc w:val="center"/>
        </w:trPr>
        <w:tc>
          <w:tcPr>
            <w:tcW w:w="2042" w:type="pct"/>
            <w:shd w:val="clear" w:color="auto" w:fill="auto"/>
            <w:vAlign w:val="center"/>
          </w:tcPr>
          <w:p w:rsidR="006D0066" w:rsidRPr="00882871" w:rsidRDefault="006D0066" w:rsidP="0010142F">
            <w:pPr>
              <w:spacing w:before="60" w:after="60" w:line="276" w:lineRule="auto"/>
              <w:ind w:left="57"/>
              <w:jc w:val="right"/>
              <w:rPr>
                <w:b/>
                <w:sz w:val="20"/>
                <w:szCs w:val="20"/>
              </w:rPr>
            </w:pPr>
            <w:r w:rsidRPr="00882871">
              <w:rPr>
                <w:b/>
                <w:sz w:val="20"/>
                <w:szCs w:val="20"/>
              </w:rPr>
              <w:t>Constitución Federal:</w:t>
            </w:r>
          </w:p>
        </w:tc>
        <w:tc>
          <w:tcPr>
            <w:tcW w:w="2958" w:type="pct"/>
            <w:shd w:val="clear" w:color="auto" w:fill="auto"/>
            <w:vAlign w:val="center"/>
          </w:tcPr>
          <w:p w:rsidR="006D0066" w:rsidRPr="00882871" w:rsidRDefault="006D0066" w:rsidP="0010142F">
            <w:pPr>
              <w:spacing w:before="60" w:after="60" w:line="276" w:lineRule="auto"/>
              <w:ind w:left="57"/>
              <w:rPr>
                <w:sz w:val="20"/>
                <w:szCs w:val="20"/>
              </w:rPr>
            </w:pPr>
            <w:r w:rsidRPr="00882871">
              <w:rPr>
                <w:sz w:val="20"/>
                <w:szCs w:val="20"/>
              </w:rPr>
              <w:t>Constitución Política de los Estados Unidos Mexicanos.</w:t>
            </w:r>
          </w:p>
        </w:tc>
      </w:tr>
      <w:tr w:rsidR="006D0066" w:rsidRPr="008C1524" w:rsidTr="000F7F91">
        <w:trPr>
          <w:trHeight w:val="624"/>
          <w:jc w:val="center"/>
        </w:trPr>
        <w:tc>
          <w:tcPr>
            <w:tcW w:w="2042" w:type="pct"/>
            <w:shd w:val="clear" w:color="auto" w:fill="auto"/>
            <w:vAlign w:val="center"/>
          </w:tcPr>
          <w:p w:rsidR="006D0066" w:rsidRPr="00882871" w:rsidRDefault="005B0A88" w:rsidP="0010142F">
            <w:pPr>
              <w:spacing w:before="60" w:after="60" w:line="276" w:lineRule="auto"/>
              <w:ind w:left="57"/>
              <w:jc w:val="right"/>
              <w:rPr>
                <w:b/>
                <w:sz w:val="20"/>
                <w:szCs w:val="20"/>
              </w:rPr>
            </w:pPr>
            <w:r w:rsidRPr="00882871">
              <w:rPr>
                <w:b/>
                <w:sz w:val="20"/>
                <w:szCs w:val="20"/>
              </w:rPr>
              <w:t>Constitución Local</w:t>
            </w:r>
            <w:r w:rsidR="006D0066" w:rsidRPr="00882871">
              <w:rPr>
                <w:b/>
                <w:sz w:val="20"/>
                <w:szCs w:val="20"/>
              </w:rPr>
              <w:t>:</w:t>
            </w:r>
          </w:p>
        </w:tc>
        <w:tc>
          <w:tcPr>
            <w:tcW w:w="2958" w:type="pct"/>
            <w:shd w:val="clear" w:color="auto" w:fill="auto"/>
            <w:vAlign w:val="center"/>
          </w:tcPr>
          <w:p w:rsidR="006D0066" w:rsidRPr="00882871" w:rsidRDefault="006D0066" w:rsidP="0010142F">
            <w:pPr>
              <w:spacing w:before="60" w:after="60" w:line="276" w:lineRule="auto"/>
              <w:ind w:left="57"/>
              <w:rPr>
                <w:sz w:val="20"/>
                <w:szCs w:val="20"/>
              </w:rPr>
            </w:pPr>
            <w:r w:rsidRPr="00882871">
              <w:rPr>
                <w:sz w:val="20"/>
                <w:szCs w:val="20"/>
              </w:rPr>
              <w:t>Constitución Política del Estado Libre y Soberano de Tabasco.</w:t>
            </w:r>
          </w:p>
        </w:tc>
      </w:tr>
      <w:tr w:rsidR="006D0066" w:rsidRPr="008C1524" w:rsidTr="000F7F91">
        <w:trPr>
          <w:trHeight w:val="624"/>
          <w:jc w:val="center"/>
        </w:trPr>
        <w:tc>
          <w:tcPr>
            <w:tcW w:w="2042" w:type="pct"/>
            <w:shd w:val="clear" w:color="auto" w:fill="auto"/>
            <w:vAlign w:val="center"/>
          </w:tcPr>
          <w:p w:rsidR="006D0066" w:rsidRPr="00882871" w:rsidRDefault="006D0066" w:rsidP="0010142F">
            <w:pPr>
              <w:spacing w:before="60" w:after="60" w:line="276" w:lineRule="auto"/>
              <w:ind w:left="57"/>
              <w:jc w:val="right"/>
              <w:rPr>
                <w:b/>
                <w:sz w:val="20"/>
                <w:szCs w:val="20"/>
              </w:rPr>
            </w:pPr>
            <w:r w:rsidRPr="00882871">
              <w:rPr>
                <w:b/>
                <w:sz w:val="20"/>
                <w:szCs w:val="20"/>
              </w:rPr>
              <w:t>INE:</w:t>
            </w:r>
          </w:p>
        </w:tc>
        <w:tc>
          <w:tcPr>
            <w:tcW w:w="2958" w:type="pct"/>
            <w:shd w:val="clear" w:color="auto" w:fill="auto"/>
            <w:vAlign w:val="center"/>
          </w:tcPr>
          <w:p w:rsidR="006D0066" w:rsidRPr="00882871" w:rsidRDefault="006D0066" w:rsidP="0010142F">
            <w:pPr>
              <w:spacing w:before="60" w:after="60" w:line="276" w:lineRule="auto"/>
              <w:ind w:left="57"/>
              <w:rPr>
                <w:sz w:val="20"/>
                <w:szCs w:val="20"/>
              </w:rPr>
            </w:pPr>
            <w:r w:rsidRPr="00882871">
              <w:rPr>
                <w:sz w:val="20"/>
                <w:szCs w:val="20"/>
              </w:rPr>
              <w:t>Instituto Nacional Electoral.</w:t>
            </w:r>
          </w:p>
        </w:tc>
      </w:tr>
      <w:tr w:rsidR="006D0066" w:rsidRPr="008C1524" w:rsidTr="000F7F91">
        <w:trPr>
          <w:trHeight w:val="624"/>
          <w:jc w:val="center"/>
        </w:trPr>
        <w:tc>
          <w:tcPr>
            <w:tcW w:w="2042" w:type="pct"/>
            <w:shd w:val="clear" w:color="auto" w:fill="auto"/>
            <w:vAlign w:val="center"/>
          </w:tcPr>
          <w:p w:rsidR="006D0066" w:rsidRPr="00882871" w:rsidRDefault="006D0066" w:rsidP="0010142F">
            <w:pPr>
              <w:spacing w:before="60" w:after="60" w:line="276" w:lineRule="auto"/>
              <w:ind w:left="57"/>
              <w:jc w:val="right"/>
              <w:rPr>
                <w:b/>
                <w:sz w:val="20"/>
                <w:szCs w:val="20"/>
              </w:rPr>
            </w:pPr>
            <w:r w:rsidRPr="00882871">
              <w:rPr>
                <w:b/>
                <w:sz w:val="20"/>
                <w:szCs w:val="20"/>
              </w:rPr>
              <w:t>Instituto:</w:t>
            </w:r>
          </w:p>
        </w:tc>
        <w:tc>
          <w:tcPr>
            <w:tcW w:w="2958" w:type="pct"/>
            <w:shd w:val="clear" w:color="auto" w:fill="auto"/>
          </w:tcPr>
          <w:p w:rsidR="006D0066" w:rsidRPr="00882871" w:rsidRDefault="006D0066" w:rsidP="0010142F">
            <w:pPr>
              <w:spacing w:before="60" w:after="60" w:line="276" w:lineRule="auto"/>
              <w:ind w:left="57"/>
              <w:rPr>
                <w:sz w:val="20"/>
                <w:szCs w:val="20"/>
              </w:rPr>
            </w:pPr>
            <w:r w:rsidRPr="00882871">
              <w:rPr>
                <w:sz w:val="20"/>
                <w:szCs w:val="20"/>
              </w:rPr>
              <w:t>Instituto Electoral y de Participación Ciudadana de Tabasco.</w:t>
            </w:r>
          </w:p>
        </w:tc>
      </w:tr>
      <w:tr w:rsidR="006D0066" w:rsidRPr="008C1524" w:rsidTr="000F7F91">
        <w:trPr>
          <w:trHeight w:val="624"/>
          <w:jc w:val="center"/>
        </w:trPr>
        <w:tc>
          <w:tcPr>
            <w:tcW w:w="2042" w:type="pct"/>
            <w:shd w:val="clear" w:color="auto" w:fill="auto"/>
            <w:vAlign w:val="center"/>
          </w:tcPr>
          <w:p w:rsidR="006D0066" w:rsidRPr="00882871" w:rsidRDefault="006D0066" w:rsidP="0010142F">
            <w:pPr>
              <w:spacing w:before="60" w:after="60" w:line="276" w:lineRule="auto"/>
              <w:ind w:left="57"/>
              <w:jc w:val="right"/>
              <w:rPr>
                <w:b/>
                <w:sz w:val="20"/>
                <w:szCs w:val="20"/>
              </w:rPr>
            </w:pPr>
            <w:r w:rsidRPr="00882871">
              <w:rPr>
                <w:b/>
                <w:sz w:val="20"/>
                <w:szCs w:val="20"/>
              </w:rPr>
              <w:t>Ley de Partidos:</w:t>
            </w:r>
          </w:p>
        </w:tc>
        <w:tc>
          <w:tcPr>
            <w:tcW w:w="2958" w:type="pct"/>
            <w:shd w:val="clear" w:color="auto" w:fill="auto"/>
            <w:vAlign w:val="center"/>
          </w:tcPr>
          <w:p w:rsidR="006D0066" w:rsidRPr="00882871" w:rsidRDefault="006D0066" w:rsidP="0010142F">
            <w:pPr>
              <w:spacing w:before="60" w:after="60" w:line="276" w:lineRule="auto"/>
              <w:ind w:left="57"/>
              <w:rPr>
                <w:sz w:val="20"/>
                <w:szCs w:val="20"/>
              </w:rPr>
            </w:pPr>
            <w:r w:rsidRPr="00882871">
              <w:rPr>
                <w:sz w:val="20"/>
                <w:szCs w:val="20"/>
              </w:rPr>
              <w:t>Ley General de Partidos Políticos.</w:t>
            </w:r>
          </w:p>
        </w:tc>
      </w:tr>
      <w:tr w:rsidR="006D0066" w:rsidRPr="008C1524" w:rsidTr="000F7F91">
        <w:trPr>
          <w:trHeight w:val="624"/>
          <w:jc w:val="center"/>
        </w:trPr>
        <w:tc>
          <w:tcPr>
            <w:tcW w:w="2042" w:type="pct"/>
            <w:shd w:val="clear" w:color="auto" w:fill="auto"/>
            <w:vAlign w:val="center"/>
          </w:tcPr>
          <w:p w:rsidR="006D0066" w:rsidRPr="00882871" w:rsidRDefault="006D0066" w:rsidP="0010142F">
            <w:pPr>
              <w:spacing w:before="60" w:after="60" w:line="276" w:lineRule="auto"/>
              <w:ind w:left="57"/>
              <w:jc w:val="right"/>
              <w:rPr>
                <w:b/>
                <w:sz w:val="20"/>
                <w:szCs w:val="20"/>
              </w:rPr>
            </w:pPr>
            <w:r w:rsidRPr="00882871">
              <w:rPr>
                <w:b/>
                <w:sz w:val="20"/>
                <w:szCs w:val="20"/>
              </w:rPr>
              <w:t>Ley Electoral:</w:t>
            </w:r>
          </w:p>
        </w:tc>
        <w:tc>
          <w:tcPr>
            <w:tcW w:w="2958" w:type="pct"/>
            <w:shd w:val="clear" w:color="auto" w:fill="auto"/>
            <w:vAlign w:val="center"/>
          </w:tcPr>
          <w:p w:rsidR="006D0066" w:rsidRPr="00882871" w:rsidRDefault="006D0066" w:rsidP="0010142F">
            <w:pPr>
              <w:spacing w:before="60" w:after="60" w:line="276" w:lineRule="auto"/>
              <w:ind w:left="57"/>
              <w:rPr>
                <w:sz w:val="20"/>
                <w:szCs w:val="20"/>
              </w:rPr>
            </w:pPr>
            <w:r w:rsidRPr="00882871">
              <w:rPr>
                <w:sz w:val="20"/>
                <w:szCs w:val="20"/>
              </w:rPr>
              <w:t>Ley Electoral y de Partidos Políticos del Estado de Tabasco.</w:t>
            </w:r>
          </w:p>
        </w:tc>
      </w:tr>
      <w:tr w:rsidR="006D0066" w:rsidRPr="008C1524" w:rsidTr="000F7F91">
        <w:trPr>
          <w:trHeight w:val="624"/>
          <w:jc w:val="center"/>
        </w:trPr>
        <w:tc>
          <w:tcPr>
            <w:tcW w:w="2042" w:type="pct"/>
            <w:shd w:val="clear" w:color="auto" w:fill="auto"/>
            <w:vAlign w:val="center"/>
          </w:tcPr>
          <w:p w:rsidR="006D0066" w:rsidRPr="00882871" w:rsidRDefault="006D0066" w:rsidP="0010142F">
            <w:pPr>
              <w:spacing w:before="60" w:after="60" w:line="276" w:lineRule="auto"/>
              <w:ind w:left="57"/>
              <w:jc w:val="right"/>
              <w:rPr>
                <w:b/>
                <w:sz w:val="20"/>
                <w:szCs w:val="20"/>
              </w:rPr>
            </w:pPr>
            <w:r w:rsidRPr="00882871">
              <w:rPr>
                <w:b/>
                <w:sz w:val="20"/>
                <w:szCs w:val="20"/>
              </w:rPr>
              <w:t>Ley General:</w:t>
            </w:r>
          </w:p>
        </w:tc>
        <w:tc>
          <w:tcPr>
            <w:tcW w:w="2958" w:type="pct"/>
            <w:shd w:val="clear" w:color="auto" w:fill="auto"/>
            <w:vAlign w:val="center"/>
          </w:tcPr>
          <w:p w:rsidR="006D0066" w:rsidRPr="00882871" w:rsidRDefault="006D0066" w:rsidP="0010142F">
            <w:pPr>
              <w:spacing w:before="60" w:after="60" w:line="276" w:lineRule="auto"/>
              <w:ind w:left="57"/>
              <w:rPr>
                <w:sz w:val="20"/>
                <w:szCs w:val="20"/>
              </w:rPr>
            </w:pPr>
            <w:r w:rsidRPr="00882871">
              <w:rPr>
                <w:sz w:val="20"/>
                <w:szCs w:val="20"/>
              </w:rPr>
              <w:t>Ley General de Instituciones y Procedimientos Electorales.</w:t>
            </w:r>
          </w:p>
        </w:tc>
      </w:tr>
      <w:tr w:rsidR="006D0066" w:rsidRPr="008C1524" w:rsidTr="000F7F91">
        <w:trPr>
          <w:trHeight w:val="624"/>
          <w:jc w:val="center"/>
        </w:trPr>
        <w:tc>
          <w:tcPr>
            <w:tcW w:w="2042" w:type="pct"/>
            <w:shd w:val="clear" w:color="auto" w:fill="auto"/>
            <w:vAlign w:val="center"/>
          </w:tcPr>
          <w:p w:rsidR="006D0066" w:rsidRPr="00882871" w:rsidRDefault="006D0066" w:rsidP="0010142F">
            <w:pPr>
              <w:spacing w:before="60" w:after="60" w:line="276" w:lineRule="auto"/>
              <w:ind w:left="57"/>
              <w:jc w:val="right"/>
              <w:rPr>
                <w:b/>
                <w:sz w:val="20"/>
                <w:szCs w:val="20"/>
              </w:rPr>
            </w:pPr>
            <w:r w:rsidRPr="00882871">
              <w:rPr>
                <w:b/>
                <w:sz w:val="20"/>
                <w:szCs w:val="20"/>
              </w:rPr>
              <w:t>Organismo electoral:</w:t>
            </w:r>
          </w:p>
        </w:tc>
        <w:tc>
          <w:tcPr>
            <w:tcW w:w="2958" w:type="pct"/>
            <w:shd w:val="clear" w:color="auto" w:fill="auto"/>
            <w:vAlign w:val="center"/>
          </w:tcPr>
          <w:p w:rsidR="006D0066" w:rsidRPr="00882871" w:rsidRDefault="006D0066" w:rsidP="0010142F">
            <w:pPr>
              <w:spacing w:before="60" w:after="60" w:line="276" w:lineRule="auto"/>
              <w:ind w:left="57"/>
              <w:rPr>
                <w:sz w:val="20"/>
                <w:szCs w:val="20"/>
              </w:rPr>
            </w:pPr>
            <w:r w:rsidRPr="00882871">
              <w:rPr>
                <w:sz w:val="20"/>
                <w:szCs w:val="20"/>
              </w:rPr>
              <w:t xml:space="preserve">Organismo(s) público(s) local(es) electoral(es). </w:t>
            </w:r>
          </w:p>
        </w:tc>
      </w:tr>
      <w:tr w:rsidR="00D03A85" w:rsidRPr="008C1524" w:rsidTr="000F7F91">
        <w:trPr>
          <w:trHeight w:val="624"/>
          <w:jc w:val="center"/>
        </w:trPr>
        <w:tc>
          <w:tcPr>
            <w:tcW w:w="2042" w:type="pct"/>
            <w:shd w:val="clear" w:color="auto" w:fill="auto"/>
            <w:vAlign w:val="center"/>
          </w:tcPr>
          <w:p w:rsidR="00D03A85" w:rsidRPr="00882871" w:rsidRDefault="00D03A85" w:rsidP="00D03A85">
            <w:pPr>
              <w:spacing w:before="60" w:after="60" w:line="276" w:lineRule="auto"/>
              <w:ind w:left="57"/>
              <w:jc w:val="right"/>
              <w:rPr>
                <w:b/>
                <w:sz w:val="20"/>
                <w:szCs w:val="20"/>
              </w:rPr>
            </w:pPr>
            <w:r w:rsidRPr="00882871">
              <w:rPr>
                <w:b/>
                <w:sz w:val="20"/>
                <w:szCs w:val="20"/>
              </w:rPr>
              <w:t>Proceso Electoral:</w:t>
            </w:r>
          </w:p>
        </w:tc>
        <w:tc>
          <w:tcPr>
            <w:tcW w:w="2958" w:type="pct"/>
            <w:shd w:val="clear" w:color="auto" w:fill="auto"/>
            <w:vAlign w:val="center"/>
          </w:tcPr>
          <w:p w:rsidR="00D03A85" w:rsidRPr="00882871" w:rsidRDefault="00D03A85" w:rsidP="0010142F">
            <w:pPr>
              <w:spacing w:before="60" w:after="60" w:line="276" w:lineRule="auto"/>
              <w:ind w:left="57"/>
              <w:rPr>
                <w:sz w:val="20"/>
                <w:szCs w:val="20"/>
              </w:rPr>
            </w:pPr>
            <w:r w:rsidRPr="00882871">
              <w:rPr>
                <w:sz w:val="20"/>
                <w:szCs w:val="20"/>
              </w:rPr>
              <w:t>Proceso Electoral Local Ordinario 2023 – 2024.</w:t>
            </w:r>
          </w:p>
        </w:tc>
      </w:tr>
      <w:tr w:rsidR="006D0066" w:rsidRPr="008C1524" w:rsidTr="000F7F91">
        <w:trPr>
          <w:trHeight w:val="624"/>
          <w:jc w:val="center"/>
        </w:trPr>
        <w:tc>
          <w:tcPr>
            <w:tcW w:w="2042" w:type="pct"/>
            <w:shd w:val="clear" w:color="auto" w:fill="auto"/>
            <w:vAlign w:val="center"/>
          </w:tcPr>
          <w:p w:rsidR="006D0066" w:rsidRPr="00882871" w:rsidRDefault="006D0066" w:rsidP="0010142F">
            <w:pPr>
              <w:spacing w:before="60" w:after="60" w:line="276" w:lineRule="auto"/>
              <w:ind w:left="57"/>
              <w:jc w:val="right"/>
              <w:rPr>
                <w:b/>
                <w:sz w:val="20"/>
                <w:szCs w:val="20"/>
              </w:rPr>
            </w:pPr>
            <w:r w:rsidRPr="00882871">
              <w:rPr>
                <w:b/>
                <w:sz w:val="20"/>
                <w:szCs w:val="20"/>
              </w:rPr>
              <w:t>Secretaría Ejecutiva:</w:t>
            </w:r>
          </w:p>
        </w:tc>
        <w:tc>
          <w:tcPr>
            <w:tcW w:w="2958" w:type="pct"/>
            <w:shd w:val="clear" w:color="auto" w:fill="auto"/>
            <w:vAlign w:val="center"/>
          </w:tcPr>
          <w:p w:rsidR="006D0066" w:rsidRPr="00882871" w:rsidRDefault="006D0066" w:rsidP="0010142F">
            <w:pPr>
              <w:spacing w:before="60" w:after="60" w:line="276" w:lineRule="auto"/>
              <w:ind w:left="57"/>
              <w:rPr>
                <w:sz w:val="20"/>
                <w:szCs w:val="20"/>
              </w:rPr>
            </w:pPr>
            <w:r w:rsidRPr="00882871">
              <w:rPr>
                <w:sz w:val="20"/>
                <w:szCs w:val="20"/>
              </w:rPr>
              <w:t>Secretaría Ejecutiva del Instituto Electoral y de Participación Ciudadana de Tabasco.</w:t>
            </w:r>
          </w:p>
        </w:tc>
      </w:tr>
      <w:tr w:rsidR="008D6653" w:rsidRPr="008C1524" w:rsidTr="000F7F91">
        <w:trPr>
          <w:trHeight w:val="624"/>
          <w:jc w:val="center"/>
        </w:trPr>
        <w:tc>
          <w:tcPr>
            <w:tcW w:w="2042" w:type="pct"/>
            <w:shd w:val="clear" w:color="auto" w:fill="auto"/>
            <w:vAlign w:val="center"/>
          </w:tcPr>
          <w:p w:rsidR="008D6653" w:rsidRPr="00882871" w:rsidRDefault="008D6653" w:rsidP="0010142F">
            <w:pPr>
              <w:spacing w:before="60" w:after="60" w:line="276" w:lineRule="auto"/>
              <w:ind w:left="57"/>
              <w:jc w:val="right"/>
              <w:rPr>
                <w:b/>
                <w:sz w:val="20"/>
                <w:szCs w:val="20"/>
              </w:rPr>
            </w:pPr>
            <w:r w:rsidRPr="00882871">
              <w:rPr>
                <w:b/>
                <w:sz w:val="20"/>
                <w:szCs w:val="20"/>
              </w:rPr>
              <w:t>Lineamientos:</w:t>
            </w:r>
          </w:p>
        </w:tc>
        <w:tc>
          <w:tcPr>
            <w:tcW w:w="2958" w:type="pct"/>
            <w:shd w:val="clear" w:color="auto" w:fill="auto"/>
            <w:vAlign w:val="center"/>
          </w:tcPr>
          <w:p w:rsidR="008D6653" w:rsidRPr="00882871" w:rsidRDefault="008D6653" w:rsidP="0010142F">
            <w:pPr>
              <w:spacing w:before="60" w:after="60" w:line="276" w:lineRule="auto"/>
              <w:ind w:left="57"/>
              <w:rPr>
                <w:sz w:val="20"/>
                <w:szCs w:val="20"/>
              </w:rPr>
            </w:pPr>
            <w:r w:rsidRPr="00882871">
              <w:rPr>
                <w:sz w:val="20"/>
                <w:szCs w:val="20"/>
              </w:rPr>
              <w:t>Lineamientos para la disolución y liquidación de las asociaciones civiles constituidas para la rendición de cuentas de las y los aspirantes, así como de las candidaturas independientes a cargos de elección popular en el estado de Tabasco.</w:t>
            </w:r>
          </w:p>
        </w:tc>
      </w:tr>
    </w:tbl>
    <w:p w:rsidR="000A792C" w:rsidRPr="00882871" w:rsidRDefault="000A792C" w:rsidP="000916BB">
      <w:pPr>
        <w:pStyle w:val="Ttulo1"/>
        <w:rPr>
          <w:sz w:val="24"/>
          <w:szCs w:val="24"/>
        </w:rPr>
      </w:pPr>
      <w:r w:rsidRPr="00882871">
        <w:rPr>
          <w:sz w:val="24"/>
          <w:szCs w:val="24"/>
        </w:rPr>
        <w:t>Antecedentes</w:t>
      </w:r>
    </w:p>
    <w:p w:rsidR="00B470F9" w:rsidRPr="00882871" w:rsidRDefault="00B470F9" w:rsidP="00B470F9">
      <w:pPr>
        <w:pStyle w:val="Ttulo2"/>
        <w:rPr>
          <w:sz w:val="23"/>
        </w:rPr>
      </w:pPr>
      <w:r w:rsidRPr="00882871">
        <w:rPr>
          <w:sz w:val="23"/>
        </w:rPr>
        <w:t>Lineamientos para la disolución y liquidación de asociaciones civiles</w:t>
      </w:r>
    </w:p>
    <w:p w:rsidR="001E58C0" w:rsidRPr="00882871" w:rsidRDefault="00FC46EB" w:rsidP="001E58C0">
      <w:pPr>
        <w:spacing w:line="288" w:lineRule="auto"/>
        <w:rPr>
          <w:sz w:val="23"/>
          <w:szCs w:val="23"/>
        </w:rPr>
      </w:pPr>
      <w:r w:rsidRPr="00882871">
        <w:rPr>
          <w:sz w:val="23"/>
          <w:szCs w:val="23"/>
        </w:rPr>
        <w:t>El 31 de mayo de 2021</w:t>
      </w:r>
      <w:r w:rsidR="001E58C0" w:rsidRPr="00882871">
        <w:rPr>
          <w:sz w:val="23"/>
          <w:szCs w:val="23"/>
        </w:rPr>
        <w:t>, mediante acuerdo CE/2021/067, el Consejo Estatal aprobó los Lineamientos para la disolución y liquidación de las asociaciones civiles constituidas para la rendición de cuentas de las y los aspirantes, así como de las candidaturas independientes a cargos de elección popular en el estado de Tabasco, propuestos por el titular del Órgano Técnico de Fiscalización.</w:t>
      </w:r>
    </w:p>
    <w:p w:rsidR="000A792C" w:rsidRPr="00882871" w:rsidRDefault="000A792C" w:rsidP="000916BB">
      <w:pPr>
        <w:pStyle w:val="Ttulo2"/>
        <w:rPr>
          <w:sz w:val="23"/>
        </w:rPr>
      </w:pPr>
      <w:r w:rsidRPr="00882871">
        <w:rPr>
          <w:sz w:val="23"/>
        </w:rPr>
        <w:t>Homologación de plazos y fechas en los procesos electorales locales concurrentes</w:t>
      </w:r>
    </w:p>
    <w:p w:rsidR="000A792C" w:rsidRPr="00882871" w:rsidRDefault="000A792C" w:rsidP="000A792C">
      <w:pPr>
        <w:spacing w:line="288" w:lineRule="auto"/>
        <w:rPr>
          <w:sz w:val="23"/>
          <w:szCs w:val="23"/>
        </w:rPr>
      </w:pPr>
      <w:r w:rsidRPr="00882871">
        <w:rPr>
          <w:sz w:val="23"/>
          <w:szCs w:val="23"/>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rsidR="000A792C" w:rsidRPr="00882871" w:rsidRDefault="000A792C" w:rsidP="000916BB">
      <w:pPr>
        <w:pStyle w:val="Ttulo2"/>
        <w:rPr>
          <w:sz w:val="23"/>
        </w:rPr>
      </w:pPr>
      <w:r w:rsidRPr="00882871">
        <w:rPr>
          <w:sz w:val="23"/>
        </w:rPr>
        <w:t xml:space="preserve">Plan integral y calendario de coordinación </w:t>
      </w:r>
    </w:p>
    <w:p w:rsidR="000A792C" w:rsidRDefault="000A792C" w:rsidP="000A792C">
      <w:pPr>
        <w:spacing w:line="288" w:lineRule="auto"/>
        <w:rPr>
          <w:sz w:val="23"/>
          <w:szCs w:val="23"/>
        </w:rPr>
      </w:pPr>
      <w:r w:rsidRPr="00882871">
        <w:rPr>
          <w:sz w:val="23"/>
          <w:szCs w:val="23"/>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rsidR="00882871" w:rsidRPr="00882871" w:rsidRDefault="00882871" w:rsidP="000A792C">
      <w:pPr>
        <w:spacing w:line="288" w:lineRule="auto"/>
        <w:rPr>
          <w:sz w:val="23"/>
          <w:szCs w:val="23"/>
        </w:rPr>
      </w:pPr>
    </w:p>
    <w:p w:rsidR="000A792C" w:rsidRPr="00882871" w:rsidRDefault="000A792C" w:rsidP="000916BB">
      <w:pPr>
        <w:pStyle w:val="Ttulo2"/>
        <w:rPr>
          <w:sz w:val="23"/>
        </w:rPr>
      </w:pPr>
      <w:r w:rsidRPr="00882871">
        <w:rPr>
          <w:sz w:val="23"/>
        </w:rPr>
        <w:t>Determinación del financiamiento público</w:t>
      </w:r>
    </w:p>
    <w:p w:rsidR="000A792C" w:rsidRPr="00882871" w:rsidRDefault="000A792C" w:rsidP="000A792C">
      <w:pPr>
        <w:spacing w:line="288" w:lineRule="auto"/>
        <w:rPr>
          <w:sz w:val="23"/>
          <w:szCs w:val="23"/>
        </w:rPr>
      </w:pPr>
      <w:r w:rsidRPr="00882871">
        <w:rPr>
          <w:sz w:val="23"/>
          <w:szCs w:val="23"/>
        </w:rPr>
        <w:t>El 29 de septiembre de 2023, mediante acuerdo CE/2023/020, el Consejo Estatal determinó el monto de financiamiento público para el sostenimiento de actividades ordinarias permanentes y específicas de los partidos políticos para el ejercicio 2024, para gastos de campaña de los partidos políticos y candidaturas independientes para el Proceso Electoral Local Ordinario 2023 – 2024.</w:t>
      </w:r>
    </w:p>
    <w:p w:rsidR="000A792C" w:rsidRPr="00882871" w:rsidRDefault="000A792C" w:rsidP="000916BB">
      <w:pPr>
        <w:pStyle w:val="Ttulo2"/>
        <w:rPr>
          <w:sz w:val="23"/>
        </w:rPr>
      </w:pPr>
      <w:r w:rsidRPr="00882871">
        <w:rPr>
          <w:sz w:val="23"/>
        </w:rPr>
        <w:t>Calendario electoral</w:t>
      </w:r>
    </w:p>
    <w:p w:rsidR="000A792C" w:rsidRPr="00882871" w:rsidRDefault="000A792C" w:rsidP="000A792C">
      <w:pPr>
        <w:spacing w:line="288" w:lineRule="auto"/>
        <w:rPr>
          <w:sz w:val="23"/>
          <w:szCs w:val="23"/>
        </w:rPr>
      </w:pPr>
      <w:r w:rsidRPr="00882871">
        <w:rPr>
          <w:sz w:val="23"/>
          <w:szCs w:val="23"/>
        </w:rPr>
        <w:t>En la fecha que antecede, el Consejo Estatal aprobó el acuerdo CE/2023/021 relativo al calendario electoral para el Proceso Electoral.</w:t>
      </w:r>
    </w:p>
    <w:p w:rsidR="000A792C" w:rsidRPr="00882871" w:rsidRDefault="000A792C" w:rsidP="000916BB">
      <w:pPr>
        <w:pStyle w:val="Ttulo2"/>
        <w:rPr>
          <w:sz w:val="23"/>
        </w:rPr>
      </w:pPr>
      <w:r w:rsidRPr="00882871">
        <w:rPr>
          <w:sz w:val="23"/>
        </w:rPr>
        <w:t>Lineamientos para candidaturas independientes, candidaturas comunes y elección consecutiva</w:t>
      </w:r>
    </w:p>
    <w:p w:rsidR="000A792C" w:rsidRPr="00882871" w:rsidRDefault="000A792C" w:rsidP="000A792C">
      <w:pPr>
        <w:spacing w:line="288" w:lineRule="auto"/>
        <w:rPr>
          <w:sz w:val="23"/>
          <w:szCs w:val="23"/>
        </w:rPr>
      </w:pPr>
      <w:r w:rsidRPr="00882871">
        <w:rPr>
          <w:sz w:val="23"/>
          <w:szCs w:val="23"/>
        </w:rPr>
        <w:t xml:space="preserve">El 29 de septiembre de 2023, el Consejo Estatal mediante acuerdos CE/2023/022, CE/2023/023 y CE/2023/024 aprobó los Lineamientos para la postulación y registro de candidaturas independientes, los Lineamientos para la postulación de candidaturas comunes y los Lineamientos para el ejercicio de derecho de elección consecutiva, todos con motivo del Proceso Electoral. </w:t>
      </w:r>
    </w:p>
    <w:p w:rsidR="000A792C" w:rsidRPr="00882871" w:rsidRDefault="000A792C" w:rsidP="000A792C">
      <w:pPr>
        <w:spacing w:line="288" w:lineRule="auto"/>
        <w:rPr>
          <w:sz w:val="23"/>
          <w:szCs w:val="23"/>
        </w:rPr>
      </w:pPr>
      <w:r w:rsidRPr="00882871">
        <w:rPr>
          <w:sz w:val="23"/>
          <w:szCs w:val="23"/>
        </w:rPr>
        <w:t>En ese tenor, los Lineamientos mencionados tienen como propósito establecer las reglas, criterios y procedimientos a los que deberán ajustarse las personas que pretendan postularse bajo las modalidades de candidaturas independientes.</w:t>
      </w:r>
    </w:p>
    <w:p w:rsidR="000A792C" w:rsidRPr="00882871" w:rsidRDefault="000A792C" w:rsidP="000916BB">
      <w:pPr>
        <w:pStyle w:val="Ttulo2"/>
        <w:rPr>
          <w:sz w:val="23"/>
        </w:rPr>
      </w:pPr>
      <w:r w:rsidRPr="00882871">
        <w:rPr>
          <w:sz w:val="23"/>
        </w:rPr>
        <w:t>Inicio del Proceso Electoral</w:t>
      </w:r>
    </w:p>
    <w:p w:rsidR="000A792C" w:rsidRDefault="000A792C" w:rsidP="000A792C">
      <w:pPr>
        <w:spacing w:line="288" w:lineRule="auto"/>
        <w:rPr>
          <w:sz w:val="23"/>
          <w:szCs w:val="23"/>
        </w:rPr>
      </w:pPr>
      <w:r w:rsidRPr="00882871">
        <w:rPr>
          <w:sz w:val="23"/>
          <w:szCs w:val="23"/>
        </w:rPr>
        <w:t xml:space="preserve">El 6 de octubre de 2023, el Consejo Estatal de conformidad con el artículo 111 de la Ley Electoral declaró el inicio del Proceso Electoral por el que se renovarán los cargos relativos a la Gubernatura del Estado, </w:t>
      </w:r>
      <w:r w:rsidR="00BB187E" w:rsidRPr="00882871">
        <w:rPr>
          <w:sz w:val="23"/>
          <w:szCs w:val="23"/>
        </w:rPr>
        <w:t>Diputaciones locales, P</w:t>
      </w:r>
      <w:r w:rsidRPr="00882871">
        <w:rPr>
          <w:sz w:val="23"/>
          <w:szCs w:val="23"/>
        </w:rPr>
        <w:t xml:space="preserve">residencias </w:t>
      </w:r>
      <w:r w:rsidR="00BB187E" w:rsidRPr="00882871">
        <w:rPr>
          <w:sz w:val="23"/>
          <w:szCs w:val="23"/>
        </w:rPr>
        <w:t>M</w:t>
      </w:r>
      <w:r w:rsidRPr="00882871">
        <w:rPr>
          <w:sz w:val="23"/>
          <w:szCs w:val="23"/>
        </w:rPr>
        <w:t>unicipales y regidurías.</w:t>
      </w:r>
    </w:p>
    <w:p w:rsidR="00882871" w:rsidRDefault="00882871" w:rsidP="000A792C">
      <w:pPr>
        <w:spacing w:line="288" w:lineRule="auto"/>
        <w:rPr>
          <w:sz w:val="23"/>
          <w:szCs w:val="23"/>
        </w:rPr>
      </w:pPr>
      <w:r>
        <w:rPr>
          <w:sz w:val="23"/>
          <w:szCs w:val="23"/>
        </w:rPr>
        <w:t xml:space="preserve"> </w:t>
      </w:r>
    </w:p>
    <w:p w:rsidR="00882871" w:rsidRPr="00882871" w:rsidRDefault="00882871" w:rsidP="000A792C">
      <w:pPr>
        <w:spacing w:line="288" w:lineRule="auto"/>
        <w:rPr>
          <w:sz w:val="23"/>
          <w:szCs w:val="23"/>
        </w:rPr>
      </w:pPr>
    </w:p>
    <w:p w:rsidR="000A792C" w:rsidRPr="00882871" w:rsidRDefault="000A792C" w:rsidP="000916BB">
      <w:pPr>
        <w:pStyle w:val="Ttulo2"/>
        <w:rPr>
          <w:sz w:val="23"/>
        </w:rPr>
      </w:pPr>
      <w:r w:rsidRPr="00882871">
        <w:rPr>
          <w:sz w:val="23"/>
        </w:rPr>
        <w:t>Convocatoria para la renovación del Poder Ejecutivo, Legislativo y los Ayuntamientos</w:t>
      </w:r>
    </w:p>
    <w:p w:rsidR="000A792C" w:rsidRPr="00882871" w:rsidRDefault="000A792C" w:rsidP="000A792C">
      <w:pPr>
        <w:spacing w:line="288" w:lineRule="auto"/>
        <w:rPr>
          <w:sz w:val="23"/>
          <w:szCs w:val="23"/>
        </w:rPr>
      </w:pPr>
      <w:r w:rsidRPr="00882871">
        <w:rPr>
          <w:sz w:val="23"/>
          <w:szCs w:val="23"/>
        </w:rPr>
        <w:t>El 20 de octubre de 2023, mediante acuerdo CE/2023/035, el Consejo Estatal expidió la convocatoria para renovar a las y los integrantes de los Poderes Ejecutivo, Legislativo y los Ayuntamientos del Estado, con motivo del Proceso Electoral.</w:t>
      </w:r>
    </w:p>
    <w:p w:rsidR="00740F85" w:rsidRPr="00882871" w:rsidRDefault="00740F85" w:rsidP="000916BB">
      <w:pPr>
        <w:pStyle w:val="Ttulo2"/>
        <w:rPr>
          <w:sz w:val="23"/>
        </w:rPr>
      </w:pPr>
      <w:r w:rsidRPr="00882871">
        <w:rPr>
          <w:sz w:val="23"/>
        </w:rPr>
        <w:t>Propuesta de Lineamientos</w:t>
      </w:r>
    </w:p>
    <w:p w:rsidR="00740F85" w:rsidRPr="00882871" w:rsidRDefault="00740F85" w:rsidP="00740F85">
      <w:pPr>
        <w:rPr>
          <w:sz w:val="23"/>
          <w:szCs w:val="23"/>
        </w:rPr>
      </w:pPr>
      <w:r w:rsidRPr="00882871">
        <w:rPr>
          <w:sz w:val="23"/>
          <w:szCs w:val="23"/>
        </w:rPr>
        <w:t>El 12 de diciembre de 2023, mediante oficio el titular del Órgano Técnico de Fiscalización OTF/357/2023, remitió la propuesta relativa a los Lineamientos, para para la deliberación, y aprobación en su caso, por parte de este Consejo Estatal.</w:t>
      </w:r>
    </w:p>
    <w:p w:rsidR="000A792C" w:rsidRPr="00882871" w:rsidRDefault="000A792C" w:rsidP="000916BB">
      <w:pPr>
        <w:pStyle w:val="Ttulo2"/>
        <w:rPr>
          <w:sz w:val="23"/>
        </w:rPr>
      </w:pPr>
      <w:r w:rsidRPr="00882871">
        <w:rPr>
          <w:sz w:val="23"/>
        </w:rPr>
        <w:t>Jornada electoral</w:t>
      </w:r>
    </w:p>
    <w:p w:rsidR="000A792C" w:rsidRPr="00882871" w:rsidRDefault="000A792C" w:rsidP="000A792C">
      <w:pPr>
        <w:spacing w:line="288" w:lineRule="auto"/>
        <w:rPr>
          <w:sz w:val="23"/>
          <w:szCs w:val="23"/>
        </w:rPr>
      </w:pPr>
      <w:r w:rsidRPr="00882871">
        <w:rPr>
          <w:sz w:val="23"/>
          <w:szCs w:val="23"/>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rsidR="000A792C" w:rsidRPr="00882871" w:rsidRDefault="000A792C" w:rsidP="000916BB">
      <w:pPr>
        <w:pStyle w:val="Ttulo1"/>
        <w:rPr>
          <w:sz w:val="24"/>
          <w:szCs w:val="24"/>
        </w:rPr>
      </w:pPr>
      <w:r w:rsidRPr="00882871">
        <w:rPr>
          <w:sz w:val="24"/>
          <w:szCs w:val="24"/>
        </w:rPr>
        <w:t>Considerando</w:t>
      </w:r>
    </w:p>
    <w:p w:rsidR="000A792C" w:rsidRPr="000A792C" w:rsidRDefault="000A792C" w:rsidP="000916BB">
      <w:pPr>
        <w:pStyle w:val="Ttulo2"/>
      </w:pPr>
      <w:r w:rsidRPr="000A792C">
        <w:t xml:space="preserve">Fines del Instituto </w:t>
      </w:r>
    </w:p>
    <w:p w:rsidR="000A792C" w:rsidRPr="00882871" w:rsidRDefault="000A792C" w:rsidP="000A792C">
      <w:pPr>
        <w:spacing w:line="288" w:lineRule="auto"/>
        <w:rPr>
          <w:sz w:val="23"/>
          <w:szCs w:val="23"/>
        </w:rPr>
      </w:pPr>
      <w:r w:rsidRPr="000A792C">
        <w:rPr>
          <w:sz w:val="23"/>
          <w:szCs w:val="23"/>
        </w:rPr>
        <w:t xml:space="preserve">Que, de </w:t>
      </w:r>
      <w:r w:rsidRPr="00882871">
        <w:rPr>
          <w:sz w:val="23"/>
          <w:szCs w:val="23"/>
        </w:rPr>
        <w:t xml:space="preserve">conformidad con los artículos 9 apartado C, fracción I de la </w:t>
      </w:r>
      <w:r w:rsidR="005B0A88" w:rsidRPr="00882871">
        <w:rPr>
          <w:sz w:val="23"/>
          <w:szCs w:val="23"/>
        </w:rPr>
        <w:t>Constitución Local</w:t>
      </w:r>
      <w:r w:rsidRPr="00882871">
        <w:rPr>
          <w:sz w:val="23"/>
          <w:szCs w:val="23"/>
        </w:rPr>
        <w:t>,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rsidR="000A792C" w:rsidRPr="00882871" w:rsidRDefault="000A792C" w:rsidP="000A792C">
      <w:pPr>
        <w:spacing w:line="288" w:lineRule="auto"/>
        <w:rPr>
          <w:sz w:val="23"/>
          <w:szCs w:val="23"/>
        </w:rPr>
      </w:pPr>
      <w:r w:rsidRPr="00882871">
        <w:rPr>
          <w:sz w:val="23"/>
          <w:szCs w:val="23"/>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rsidR="000A792C" w:rsidRPr="00882871" w:rsidRDefault="000A792C" w:rsidP="000916BB">
      <w:pPr>
        <w:pStyle w:val="Ttulo2"/>
        <w:rPr>
          <w:sz w:val="23"/>
        </w:rPr>
      </w:pPr>
      <w:r w:rsidRPr="00882871">
        <w:rPr>
          <w:sz w:val="23"/>
        </w:rPr>
        <w:t xml:space="preserve">Órgano Superior de Dirección del Instituto </w:t>
      </w:r>
    </w:p>
    <w:p w:rsidR="000A792C" w:rsidRPr="00882871" w:rsidRDefault="000A792C" w:rsidP="000A792C">
      <w:pPr>
        <w:spacing w:line="288" w:lineRule="auto"/>
        <w:rPr>
          <w:sz w:val="23"/>
          <w:szCs w:val="23"/>
        </w:rPr>
      </w:pPr>
      <w:r w:rsidRPr="00882871">
        <w:rPr>
          <w:sz w:val="23"/>
          <w:szCs w:val="23"/>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rsidR="000A792C" w:rsidRPr="00882871" w:rsidRDefault="000A792C" w:rsidP="000916BB">
      <w:pPr>
        <w:pStyle w:val="Ttulo2"/>
        <w:rPr>
          <w:sz w:val="23"/>
        </w:rPr>
      </w:pPr>
      <w:r w:rsidRPr="00882871">
        <w:rPr>
          <w:sz w:val="23"/>
        </w:rPr>
        <w:t>Integración del Órgano de Dirección Superior</w:t>
      </w:r>
    </w:p>
    <w:p w:rsidR="000A792C" w:rsidRPr="00882871" w:rsidRDefault="000A792C" w:rsidP="000A792C">
      <w:pPr>
        <w:spacing w:line="288" w:lineRule="auto"/>
        <w:rPr>
          <w:sz w:val="23"/>
          <w:szCs w:val="23"/>
        </w:rPr>
      </w:pPr>
      <w:r w:rsidRPr="00882871">
        <w:rPr>
          <w:sz w:val="23"/>
          <w:szCs w:val="23"/>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rsidR="000A792C" w:rsidRPr="00882871" w:rsidRDefault="000A792C" w:rsidP="000916BB">
      <w:pPr>
        <w:pStyle w:val="Ttulo2"/>
        <w:rPr>
          <w:sz w:val="23"/>
        </w:rPr>
      </w:pPr>
      <w:r w:rsidRPr="00882871">
        <w:rPr>
          <w:sz w:val="23"/>
        </w:rPr>
        <w:t xml:space="preserve">Competencia del Consejo Estatal </w:t>
      </w:r>
    </w:p>
    <w:p w:rsidR="000A792C" w:rsidRPr="00882871" w:rsidRDefault="000A792C" w:rsidP="000A792C">
      <w:pPr>
        <w:widowControl w:val="0"/>
        <w:spacing w:line="288" w:lineRule="auto"/>
        <w:rPr>
          <w:sz w:val="23"/>
          <w:szCs w:val="23"/>
        </w:rPr>
      </w:pPr>
      <w:r w:rsidRPr="00882871">
        <w:rPr>
          <w:sz w:val="23"/>
          <w:szCs w:val="23"/>
        </w:rPr>
        <w:t>Que, de conformidad con el artículo 115 numeral 1 fracciones II y XXXVIII de la Ley Electoral, el Consejo Estatal es competente para vigilar y supervisar la oportuna integración, instalación y adecuado funcionamiento de los órganos centrales y distritales del Instituto, así como para expedir los reglamentos internos necesarios para el debido ejercicio de las facultades y atribuciones del Instituto.</w:t>
      </w:r>
    </w:p>
    <w:p w:rsidR="000A792C" w:rsidRPr="00882871" w:rsidRDefault="000A792C" w:rsidP="000A792C">
      <w:pPr>
        <w:spacing w:line="288" w:lineRule="auto"/>
        <w:rPr>
          <w:sz w:val="23"/>
          <w:szCs w:val="23"/>
        </w:rPr>
      </w:pPr>
      <w:r w:rsidRPr="00882871">
        <w:rPr>
          <w:sz w:val="23"/>
          <w:szCs w:val="23"/>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rsidR="00010DD1" w:rsidRPr="00882871" w:rsidRDefault="00010DD1" w:rsidP="00010DD1">
      <w:pPr>
        <w:pStyle w:val="Ttulo2"/>
        <w:rPr>
          <w:sz w:val="23"/>
        </w:rPr>
      </w:pPr>
      <w:r w:rsidRPr="00882871">
        <w:rPr>
          <w:sz w:val="23"/>
        </w:rPr>
        <w:t>Órgano Técnico de Fiscalización</w:t>
      </w:r>
    </w:p>
    <w:p w:rsidR="00010DD1" w:rsidRPr="00882871" w:rsidRDefault="00010DD1" w:rsidP="00010DD1">
      <w:pPr>
        <w:spacing w:line="288" w:lineRule="auto"/>
        <w:rPr>
          <w:sz w:val="23"/>
          <w:szCs w:val="23"/>
        </w:rPr>
      </w:pPr>
      <w:r w:rsidRPr="00882871">
        <w:rPr>
          <w:sz w:val="23"/>
          <w:szCs w:val="23"/>
        </w:rPr>
        <w:t>Que, de conformidad con el artículo 78 numeral 1 de la Ley Electoral, el Instituto contará con el Órgano Técnico de Fiscalización, que tendrá a su cargo las siguientes responsabilidades:</w:t>
      </w:r>
    </w:p>
    <w:p w:rsidR="00010DD1" w:rsidRPr="00882871" w:rsidRDefault="00010DD1" w:rsidP="00010DD1">
      <w:pPr>
        <w:pStyle w:val="Prrafodelista"/>
        <w:numPr>
          <w:ilvl w:val="0"/>
          <w:numId w:val="8"/>
        </w:numPr>
        <w:spacing w:line="288" w:lineRule="auto"/>
        <w:ind w:left="703" w:hanging="703"/>
        <w:contextualSpacing w:val="0"/>
        <w:rPr>
          <w:sz w:val="23"/>
          <w:szCs w:val="23"/>
        </w:rPr>
      </w:pPr>
      <w:r w:rsidRPr="00882871">
        <w:rPr>
          <w:sz w:val="23"/>
          <w:szCs w:val="23"/>
        </w:rPr>
        <w:t>La verificación del origen y destino de los recursos de las organizaciones que se pretendan constituir como agrupaciones políticas locales;</w:t>
      </w:r>
    </w:p>
    <w:p w:rsidR="00010DD1" w:rsidRPr="00882871" w:rsidRDefault="00010DD1" w:rsidP="00010DD1">
      <w:pPr>
        <w:pStyle w:val="Prrafodelista"/>
        <w:numPr>
          <w:ilvl w:val="0"/>
          <w:numId w:val="8"/>
        </w:numPr>
        <w:spacing w:line="288" w:lineRule="auto"/>
        <w:ind w:left="703" w:hanging="703"/>
        <w:contextualSpacing w:val="0"/>
        <w:rPr>
          <w:sz w:val="23"/>
          <w:szCs w:val="23"/>
        </w:rPr>
      </w:pPr>
      <w:r w:rsidRPr="00882871">
        <w:rPr>
          <w:sz w:val="23"/>
          <w:szCs w:val="23"/>
        </w:rPr>
        <w:t>La verificación del origen y destino de los recursos que obtengan las agrupaciones políticas locales registradas, para sus actividades ordinarias, salvo en el caso de que los recursos que se obtengan y ejerzan en el marco de acuerdos de participación electoral con partidos o candidatos, y</w:t>
      </w:r>
    </w:p>
    <w:p w:rsidR="00010DD1" w:rsidRPr="00882871" w:rsidRDefault="00010DD1" w:rsidP="00010DD1">
      <w:pPr>
        <w:pStyle w:val="Prrafodelista"/>
        <w:numPr>
          <w:ilvl w:val="0"/>
          <w:numId w:val="8"/>
        </w:numPr>
        <w:spacing w:line="288" w:lineRule="auto"/>
        <w:ind w:left="703" w:hanging="703"/>
        <w:contextualSpacing w:val="0"/>
        <w:rPr>
          <w:sz w:val="23"/>
          <w:szCs w:val="23"/>
        </w:rPr>
      </w:pPr>
      <w:r w:rsidRPr="00882871">
        <w:rPr>
          <w:sz w:val="23"/>
          <w:szCs w:val="23"/>
        </w:rPr>
        <w:t>Intervenir en los procesos de liquidación del patrimonio de los partidos políticos que pierdan su registro, conforme a lo dispuesto por la Ley.</w:t>
      </w:r>
    </w:p>
    <w:p w:rsidR="00010DD1" w:rsidRPr="00882871" w:rsidRDefault="00010DD1" w:rsidP="00010DD1">
      <w:pPr>
        <w:spacing w:line="288" w:lineRule="auto"/>
        <w:rPr>
          <w:sz w:val="23"/>
          <w:szCs w:val="23"/>
        </w:rPr>
      </w:pPr>
      <w:r w:rsidRPr="00882871">
        <w:rPr>
          <w:sz w:val="23"/>
          <w:szCs w:val="23"/>
        </w:rPr>
        <w:t>Además, en términos del numeral 2 del artículo en cita, en el ejercicio de sus atribuciones, el Órgano Técnico de Fiscalización contará con autonomía de gestión y su nivel jerárquico será equivalente al de dirección en el Instituto.</w:t>
      </w:r>
    </w:p>
    <w:p w:rsidR="00010DD1" w:rsidRPr="00882871" w:rsidRDefault="00010DD1" w:rsidP="00010DD1">
      <w:pPr>
        <w:spacing w:line="288" w:lineRule="auto"/>
        <w:rPr>
          <w:sz w:val="23"/>
          <w:szCs w:val="23"/>
        </w:rPr>
      </w:pPr>
      <w:r w:rsidRPr="00882871">
        <w:rPr>
          <w:sz w:val="23"/>
          <w:szCs w:val="23"/>
        </w:rPr>
        <w:t xml:space="preserve">Para su funcionamiento, </w:t>
      </w:r>
      <w:r w:rsidR="000D0B23" w:rsidRPr="00882871">
        <w:rPr>
          <w:sz w:val="23"/>
          <w:szCs w:val="23"/>
        </w:rPr>
        <w:t xml:space="preserve">conforme al numeral 3 del artículo señalado, </w:t>
      </w:r>
      <w:r w:rsidRPr="00882871">
        <w:rPr>
          <w:sz w:val="23"/>
          <w:szCs w:val="23"/>
        </w:rPr>
        <w:t>las reglas, criterios y normas que regulen la actuación del Órgano Técnico de Fiscalización se apegarán a los estándares y principios que establecen las leyes generales para las actividades relativas a la fiscalización de partidos políticos y candidaturas, así como a las reglas y lineamientos que emita el INE.</w:t>
      </w:r>
    </w:p>
    <w:p w:rsidR="000A792C" w:rsidRPr="00882871" w:rsidRDefault="000A792C" w:rsidP="000916BB">
      <w:pPr>
        <w:pStyle w:val="Ttulo2"/>
        <w:rPr>
          <w:sz w:val="23"/>
        </w:rPr>
      </w:pPr>
      <w:r w:rsidRPr="00882871">
        <w:rPr>
          <w:sz w:val="23"/>
        </w:rPr>
        <w:t>Derecho de la ciudadanía a postularse de manera independiente a cargos de elección popular</w:t>
      </w:r>
    </w:p>
    <w:p w:rsidR="000A792C" w:rsidRPr="00882871" w:rsidRDefault="000A792C" w:rsidP="000A792C">
      <w:pPr>
        <w:spacing w:line="288" w:lineRule="auto"/>
        <w:rPr>
          <w:sz w:val="23"/>
          <w:szCs w:val="23"/>
        </w:rPr>
      </w:pPr>
      <w:r w:rsidRPr="00882871">
        <w:rPr>
          <w:sz w:val="23"/>
          <w:szCs w:val="23"/>
        </w:rPr>
        <w:t xml:space="preserve">Que, de conformidad con los artículos 35 fracción II de la Constitución Federal, 7 fracción I y 9 apartado “A” fracción II de la </w:t>
      </w:r>
      <w:r w:rsidR="005B0A88" w:rsidRPr="00882871">
        <w:rPr>
          <w:sz w:val="23"/>
          <w:szCs w:val="23"/>
        </w:rPr>
        <w:t>Constitución Local</w:t>
      </w:r>
      <w:r w:rsidRPr="00882871">
        <w:rPr>
          <w:sz w:val="23"/>
          <w:szCs w:val="23"/>
        </w:rPr>
        <w:t>, es un derecho de la ciudadanía votar en las elecciones populares y solicitar por sí misma su registro como candidatas o candidatos de manera independiente a cargos de elección popular por el principio de mayoría relativa. cumpliendo con los requisitos, condiciones y términos que determine la legislación</w:t>
      </w:r>
    </w:p>
    <w:p w:rsidR="000A792C" w:rsidRPr="00882871" w:rsidRDefault="000A792C" w:rsidP="000A792C">
      <w:pPr>
        <w:spacing w:line="288" w:lineRule="auto"/>
        <w:rPr>
          <w:sz w:val="23"/>
          <w:szCs w:val="23"/>
        </w:rPr>
      </w:pPr>
      <w:r w:rsidRPr="00882871">
        <w:rPr>
          <w:sz w:val="23"/>
          <w:szCs w:val="23"/>
        </w:rPr>
        <w:t xml:space="preserve">Además, en términos del artículo 116 fracción IV, incisos k) y p) de la Constitución Federal y 9 apartado “A” fracción III de la </w:t>
      </w:r>
      <w:r w:rsidR="005B0A88" w:rsidRPr="00882871">
        <w:rPr>
          <w:sz w:val="23"/>
          <w:szCs w:val="23"/>
        </w:rPr>
        <w:t>Constitución Local</w:t>
      </w:r>
      <w:r w:rsidRPr="00882871">
        <w:rPr>
          <w:sz w:val="23"/>
          <w:szCs w:val="23"/>
        </w:rPr>
        <w:t>, conforme a las bases establecidas en la propia Constitución y las leyes generales en la materia, las Constituciones y leyes de los estados en materia electoral garantizarán que se regule el régimen aplicable a la postulación, registro, derechos y obligaciones de las personas candidatas independientes, garantizando su derecho al financiamiento público y al acceso a la radio y la televisión, fijando las bases y requisitos para que en las elecciones la ciudadanía solicite su registro como candidatas o candidatos para poder ser votados en forma independiente a todos los cargos de elección popular, en los términos del artículo 35 de la Constitución Federal.</w:t>
      </w:r>
    </w:p>
    <w:p w:rsidR="000A792C" w:rsidRPr="00882871" w:rsidRDefault="000A792C" w:rsidP="000916BB">
      <w:pPr>
        <w:pStyle w:val="Ttulo2"/>
        <w:rPr>
          <w:sz w:val="23"/>
        </w:rPr>
      </w:pPr>
      <w:r w:rsidRPr="00882871">
        <w:rPr>
          <w:sz w:val="23"/>
        </w:rPr>
        <w:t>Regulación de las candidaturas independientes</w:t>
      </w:r>
    </w:p>
    <w:p w:rsidR="000A792C" w:rsidRPr="00882871" w:rsidRDefault="000A792C" w:rsidP="000A792C">
      <w:pPr>
        <w:spacing w:line="288" w:lineRule="auto"/>
        <w:rPr>
          <w:sz w:val="23"/>
          <w:szCs w:val="23"/>
        </w:rPr>
      </w:pPr>
      <w:r w:rsidRPr="00882871">
        <w:rPr>
          <w:sz w:val="23"/>
          <w:szCs w:val="23"/>
        </w:rPr>
        <w:t xml:space="preserve">Que, el artículo 280, numeral 4 de la Ley Electoral establece que, el derecho de la ciudadanía de solicitar su registro para cargos de elección popular de manera independiente a los partidos políticos se sujetará a los requisitos, condiciones y términos establecidos en la Constitución Federal, la </w:t>
      </w:r>
      <w:r w:rsidR="005B0A88" w:rsidRPr="00882871">
        <w:rPr>
          <w:sz w:val="23"/>
          <w:szCs w:val="23"/>
        </w:rPr>
        <w:t>Constitución Local</w:t>
      </w:r>
      <w:r w:rsidRPr="00882871">
        <w:rPr>
          <w:sz w:val="23"/>
          <w:szCs w:val="23"/>
        </w:rPr>
        <w:t>, la Ley General y en la propia Ley.</w:t>
      </w:r>
    </w:p>
    <w:p w:rsidR="000A792C" w:rsidRPr="00882871" w:rsidRDefault="000A792C" w:rsidP="000916BB">
      <w:pPr>
        <w:pStyle w:val="Ttulo2"/>
        <w:rPr>
          <w:sz w:val="23"/>
        </w:rPr>
      </w:pPr>
      <w:r w:rsidRPr="00882871">
        <w:rPr>
          <w:sz w:val="23"/>
        </w:rPr>
        <w:t>Requisitos para participar y registrarse en candidaturas independientes</w:t>
      </w:r>
    </w:p>
    <w:p w:rsidR="000A792C" w:rsidRPr="00882871" w:rsidRDefault="000A792C" w:rsidP="000A792C">
      <w:pPr>
        <w:spacing w:line="288" w:lineRule="auto"/>
        <w:rPr>
          <w:sz w:val="23"/>
          <w:szCs w:val="23"/>
        </w:rPr>
      </w:pPr>
      <w:r w:rsidRPr="00882871">
        <w:rPr>
          <w:sz w:val="23"/>
          <w:szCs w:val="23"/>
        </w:rPr>
        <w:t xml:space="preserve">Que, el artículo 282 numeral 1 de la Ley Electoral dispone que, la ciudadanía que cumpla con los requisitos, condiciones y términos de ley tendrá derecho a participar y, en su caso, a ser registrada en las candidaturas independientes para ocupar los siguientes cargos de elección popular: </w:t>
      </w:r>
    </w:p>
    <w:p w:rsidR="000A792C" w:rsidRPr="00882871" w:rsidRDefault="000A792C" w:rsidP="000916BB">
      <w:pPr>
        <w:pStyle w:val="Prrafodelista"/>
        <w:numPr>
          <w:ilvl w:val="0"/>
          <w:numId w:val="1"/>
        </w:numPr>
        <w:spacing w:line="288" w:lineRule="auto"/>
        <w:ind w:left="1077"/>
        <w:rPr>
          <w:sz w:val="23"/>
          <w:szCs w:val="23"/>
        </w:rPr>
      </w:pPr>
      <w:r w:rsidRPr="00882871">
        <w:rPr>
          <w:sz w:val="23"/>
          <w:szCs w:val="23"/>
        </w:rPr>
        <w:t>Gobernador del Estado de Tabasco, y</w:t>
      </w:r>
    </w:p>
    <w:p w:rsidR="000A792C" w:rsidRPr="00882871" w:rsidRDefault="000A792C" w:rsidP="000916BB">
      <w:pPr>
        <w:pStyle w:val="Prrafodelista"/>
        <w:numPr>
          <w:ilvl w:val="0"/>
          <w:numId w:val="1"/>
        </w:numPr>
        <w:spacing w:line="288" w:lineRule="auto"/>
        <w:ind w:left="1077"/>
        <w:rPr>
          <w:sz w:val="23"/>
          <w:szCs w:val="23"/>
        </w:rPr>
      </w:pPr>
      <w:r w:rsidRPr="00882871">
        <w:rPr>
          <w:sz w:val="23"/>
          <w:szCs w:val="23"/>
        </w:rPr>
        <w:t>Diputados y regidores por el principio de mayoría relativa.</w:t>
      </w:r>
    </w:p>
    <w:p w:rsidR="000A792C" w:rsidRPr="00882871" w:rsidRDefault="000A792C" w:rsidP="000A792C">
      <w:pPr>
        <w:spacing w:line="288" w:lineRule="auto"/>
        <w:rPr>
          <w:sz w:val="23"/>
          <w:szCs w:val="23"/>
        </w:rPr>
      </w:pPr>
      <w:r w:rsidRPr="00882871">
        <w:rPr>
          <w:sz w:val="23"/>
          <w:szCs w:val="23"/>
        </w:rPr>
        <w:t xml:space="preserve">Por otra parte, si bien el numeral 2 del artículo citado, establece que no procederá en ningún caso el registro de candidaturas independientes por el principio de representación proporcional, la Sala Superior del Tribunal Electoral del Poder Judicial de la Federación, de la interpretación a los artículos 1°, 35 fracción II, 41 Base I, 115 fracción VIII y 116 de la Constitución Federal, 23 numeral 1, inciso b) de la Convención Americana sobre Derechos Humanos, 25 del Pacto Internacional de Derechos Civiles y Políticos, consideró que las planillas de candidaturas conformadas para participar en la elección de miembros de los ayuntamientos, postuladas por partidos políticos, al reunir los mismos requisitos, participan en igualdad de condiciones, por ende, a fin de cumplir con dicho principio en el acceso a cargos públicos, las candidaturas independientes tienen derecho a participar en la asignación correspondiente a regidurías por el principio de representación proporcional. Criterio que se encuentra contenido en la jurisprudencia 4/2016 con rubro: </w:t>
      </w:r>
      <w:r w:rsidRPr="00882871">
        <w:rPr>
          <w:b/>
          <w:bCs/>
          <w:sz w:val="23"/>
          <w:szCs w:val="23"/>
        </w:rPr>
        <w:t>“CANDIDATURAS INDEPENDIENTES. LAS RELACIONADAS CON LA INTEGRACIÓN DE AYUNTAMIENTOS, TIENEN DERECHO A QUE SE LES ASIGNEN REGIDURÍAS POR EL PRINCIPIO DE REPRESENTACIÓN PROPORCIONAL”</w:t>
      </w:r>
      <w:r w:rsidRPr="00882871">
        <w:rPr>
          <w:rStyle w:val="Refdenotaalpie"/>
          <w:sz w:val="23"/>
          <w:szCs w:val="23"/>
        </w:rPr>
        <w:footnoteRef/>
      </w:r>
      <w:r w:rsidRPr="00882871">
        <w:rPr>
          <w:sz w:val="23"/>
          <w:szCs w:val="23"/>
        </w:rPr>
        <w:t>.</w:t>
      </w:r>
    </w:p>
    <w:p w:rsidR="000A792C" w:rsidRPr="00882871" w:rsidRDefault="000A792C" w:rsidP="000916BB">
      <w:pPr>
        <w:pStyle w:val="Ttulo2"/>
        <w:rPr>
          <w:sz w:val="23"/>
        </w:rPr>
      </w:pPr>
      <w:r w:rsidRPr="00882871">
        <w:rPr>
          <w:sz w:val="23"/>
        </w:rPr>
        <w:t>Proceso de selección de candidaturas independientes</w:t>
      </w:r>
    </w:p>
    <w:p w:rsidR="000A792C" w:rsidRPr="00882871" w:rsidRDefault="000A792C" w:rsidP="000A792C">
      <w:pPr>
        <w:spacing w:line="288" w:lineRule="auto"/>
        <w:rPr>
          <w:sz w:val="23"/>
          <w:szCs w:val="23"/>
        </w:rPr>
      </w:pPr>
      <w:r w:rsidRPr="00882871">
        <w:rPr>
          <w:sz w:val="23"/>
          <w:szCs w:val="23"/>
        </w:rPr>
        <w:t xml:space="preserve">Que, en términos del artículo 285 numeral 1 de la Ley Electoral el proceso de selección de candidaturas independientes comprende las etapas siguientes: </w:t>
      </w:r>
    </w:p>
    <w:p w:rsidR="000A792C" w:rsidRPr="00882871" w:rsidRDefault="000A792C" w:rsidP="00010DD1">
      <w:pPr>
        <w:pStyle w:val="Prrafodelista"/>
        <w:numPr>
          <w:ilvl w:val="0"/>
          <w:numId w:val="2"/>
        </w:numPr>
        <w:spacing w:line="288" w:lineRule="auto"/>
        <w:ind w:left="1077"/>
        <w:rPr>
          <w:sz w:val="23"/>
          <w:szCs w:val="23"/>
        </w:rPr>
      </w:pPr>
      <w:r w:rsidRPr="00882871">
        <w:rPr>
          <w:sz w:val="23"/>
          <w:szCs w:val="23"/>
        </w:rPr>
        <w:t>De la convocatoria;</w:t>
      </w:r>
    </w:p>
    <w:p w:rsidR="000A792C" w:rsidRPr="00882871" w:rsidRDefault="000A792C" w:rsidP="00010DD1">
      <w:pPr>
        <w:pStyle w:val="Prrafodelista"/>
        <w:numPr>
          <w:ilvl w:val="0"/>
          <w:numId w:val="2"/>
        </w:numPr>
        <w:spacing w:line="288" w:lineRule="auto"/>
        <w:ind w:left="1077"/>
        <w:rPr>
          <w:sz w:val="23"/>
          <w:szCs w:val="23"/>
        </w:rPr>
      </w:pPr>
      <w:r w:rsidRPr="00882871">
        <w:rPr>
          <w:sz w:val="23"/>
          <w:szCs w:val="23"/>
        </w:rPr>
        <w:t>De los actos previos al registro de candidaturas independientes;</w:t>
      </w:r>
    </w:p>
    <w:p w:rsidR="000A792C" w:rsidRPr="00882871" w:rsidRDefault="000A792C" w:rsidP="00010DD1">
      <w:pPr>
        <w:pStyle w:val="Prrafodelista"/>
        <w:numPr>
          <w:ilvl w:val="0"/>
          <w:numId w:val="2"/>
        </w:numPr>
        <w:spacing w:line="288" w:lineRule="auto"/>
        <w:ind w:left="1077"/>
        <w:rPr>
          <w:sz w:val="23"/>
          <w:szCs w:val="23"/>
        </w:rPr>
      </w:pPr>
      <w:r w:rsidRPr="00882871">
        <w:rPr>
          <w:sz w:val="23"/>
          <w:szCs w:val="23"/>
        </w:rPr>
        <w:t>De la obtención del apoyo de la ciudadanía, y</w:t>
      </w:r>
    </w:p>
    <w:p w:rsidR="000A792C" w:rsidRPr="00882871" w:rsidRDefault="000A792C" w:rsidP="00010DD1">
      <w:pPr>
        <w:pStyle w:val="Prrafodelista"/>
        <w:numPr>
          <w:ilvl w:val="0"/>
          <w:numId w:val="2"/>
        </w:numPr>
        <w:spacing w:line="288" w:lineRule="auto"/>
        <w:ind w:left="1077"/>
        <w:rPr>
          <w:sz w:val="23"/>
          <w:szCs w:val="23"/>
        </w:rPr>
      </w:pPr>
      <w:r w:rsidRPr="00882871">
        <w:rPr>
          <w:sz w:val="23"/>
          <w:szCs w:val="23"/>
        </w:rPr>
        <w:t>Del registro de candidaturas independientes.</w:t>
      </w:r>
    </w:p>
    <w:p w:rsidR="000A792C" w:rsidRPr="00882871" w:rsidRDefault="000A792C" w:rsidP="000916BB">
      <w:pPr>
        <w:pStyle w:val="Ttulo2"/>
        <w:rPr>
          <w:sz w:val="23"/>
        </w:rPr>
      </w:pPr>
      <w:r w:rsidRPr="00882871">
        <w:rPr>
          <w:sz w:val="23"/>
        </w:rPr>
        <w:t>Convocatoria al proceso de selección de candidaturas independientes</w:t>
      </w:r>
    </w:p>
    <w:p w:rsidR="000A792C" w:rsidRPr="00882871" w:rsidRDefault="000A792C" w:rsidP="000A792C">
      <w:pPr>
        <w:spacing w:line="288" w:lineRule="auto"/>
        <w:rPr>
          <w:sz w:val="23"/>
          <w:szCs w:val="23"/>
        </w:rPr>
      </w:pPr>
      <w:r w:rsidRPr="00882871">
        <w:rPr>
          <w:sz w:val="23"/>
          <w:szCs w:val="23"/>
        </w:rPr>
        <w:t>Que, de acuerdo con el artículo 286 numerales 1 y 2 de la Ley Electoral, el apartado de la Convocatoria para las elecciones ordinarias, relativo a la ciudadanía interesada en postularse en las candidaturas independientes, deberá señalar los cargos de elección popular a los que pueden aspirar, los requisitos que deben cumplir, la documentación comprobatoria requerida, la fecha de inicio del plazo para recabar el apoyo de la ciudadanía correspondiente, los topes de gastos que pueden erogar y los formatos para ello, siendo obligación del Instituto, dar amplia difusión a su contenido.</w:t>
      </w:r>
    </w:p>
    <w:p w:rsidR="000A792C" w:rsidRPr="00882871" w:rsidRDefault="000A792C" w:rsidP="000916BB">
      <w:pPr>
        <w:pStyle w:val="Ttulo2"/>
        <w:rPr>
          <w:sz w:val="23"/>
        </w:rPr>
      </w:pPr>
      <w:r w:rsidRPr="00882871">
        <w:rPr>
          <w:sz w:val="23"/>
        </w:rPr>
        <w:t>Actos previos al registro de candidaturas independientes</w:t>
      </w:r>
    </w:p>
    <w:p w:rsidR="000A792C" w:rsidRPr="00882871" w:rsidRDefault="000A792C" w:rsidP="000A792C">
      <w:pPr>
        <w:spacing w:line="288" w:lineRule="auto"/>
        <w:rPr>
          <w:sz w:val="23"/>
          <w:szCs w:val="23"/>
        </w:rPr>
      </w:pPr>
      <w:r w:rsidRPr="00882871">
        <w:rPr>
          <w:sz w:val="23"/>
          <w:szCs w:val="23"/>
        </w:rPr>
        <w:t>Que, el artículo 287 numerales 1 y 2 de la Ley Electoral dispone que, la ciudadanía que pretenda postular su candidatura independiente a un cargo de elección popular del orden local deberá informarlo al Instituto por escrito en el formato que éste determine.  En todo caso, la manifestación de la intención para postular una candidatura independiente a la Gubernatura, diputaciones y regidurías se realizará a partir del día siguiente al en que se emita la Convocatoria y hasta la fecha señalada como inicio del periodo para recabar el apoyo de la ciudadanía, ante la persona titular de la Secretaría Ejecutiva.</w:t>
      </w:r>
    </w:p>
    <w:p w:rsidR="000A792C" w:rsidRPr="00882871" w:rsidRDefault="000A792C" w:rsidP="000A792C">
      <w:pPr>
        <w:spacing w:line="288" w:lineRule="auto"/>
        <w:rPr>
          <w:sz w:val="23"/>
          <w:szCs w:val="23"/>
        </w:rPr>
      </w:pPr>
      <w:r w:rsidRPr="00882871">
        <w:rPr>
          <w:sz w:val="23"/>
          <w:szCs w:val="23"/>
        </w:rPr>
        <w:t>Además, conforme al numeral 3 del artículo en cita, una vez hecha la comunicación que antecede y recibida la constancia respectiva, las y los ciudadanos adquirirán la calidad de aspirantes. Dicha constancia se entregará a todas las personas aspirantes que hayan cumplido los requisitos de ley, dentro de los dos días anteriores al señalado como inicio del periodo para recabar el apoyo de la ciudadanía.</w:t>
      </w:r>
    </w:p>
    <w:p w:rsidR="000A792C" w:rsidRPr="00882871" w:rsidRDefault="000A792C" w:rsidP="000916BB">
      <w:pPr>
        <w:pStyle w:val="Ttulo2"/>
        <w:rPr>
          <w:sz w:val="23"/>
        </w:rPr>
      </w:pPr>
      <w:r w:rsidRPr="00882871">
        <w:rPr>
          <w:sz w:val="23"/>
        </w:rPr>
        <w:t>Requisitos adjuntos a la manifestación de intención</w:t>
      </w:r>
    </w:p>
    <w:p w:rsidR="000A792C" w:rsidRPr="00882871" w:rsidRDefault="000A792C" w:rsidP="000A792C">
      <w:pPr>
        <w:spacing w:line="288" w:lineRule="auto"/>
        <w:rPr>
          <w:sz w:val="23"/>
          <w:szCs w:val="23"/>
        </w:rPr>
      </w:pPr>
      <w:r w:rsidRPr="00882871">
        <w:rPr>
          <w:sz w:val="23"/>
          <w:szCs w:val="23"/>
        </w:rPr>
        <w:t>Que, el artículo 287 de la Ley Electoral en</w:t>
      </w:r>
      <w:r w:rsidR="00EF4C01" w:rsidRPr="00882871">
        <w:rPr>
          <w:sz w:val="23"/>
          <w:szCs w:val="23"/>
        </w:rPr>
        <w:t xml:space="preserve"> sus numerales 4, 5 y 6 señala</w:t>
      </w:r>
      <w:r w:rsidRPr="00882871">
        <w:rPr>
          <w:sz w:val="23"/>
          <w:szCs w:val="23"/>
        </w:rPr>
        <w:t xml:space="preserve"> que, con la manifestación de intención, la persona aspirante a una candidatura independiente deberá presentar la documentación que acredite la creación de una persona jurídico-colectiva constituida en asociación civil, la cual deberá tener el mismo tratamiento que un partido político en el régimen fiscal.</w:t>
      </w:r>
    </w:p>
    <w:p w:rsidR="000A792C" w:rsidRPr="00882871" w:rsidRDefault="000A792C" w:rsidP="000A792C">
      <w:pPr>
        <w:spacing w:line="288" w:lineRule="auto"/>
        <w:rPr>
          <w:sz w:val="23"/>
          <w:szCs w:val="23"/>
        </w:rPr>
      </w:pPr>
      <w:r w:rsidRPr="00882871">
        <w:rPr>
          <w:sz w:val="23"/>
          <w:szCs w:val="23"/>
        </w:rPr>
        <w:t>En ese tenor, el Instituto establecerá el modelo único de estatutos de la asociación civil. De la misma manera, la persona solicitante deberá acreditar su alta ante el Sistema de Administración Tributaria y anexar los datos de las cuentas bancarias abiertas a nombre de la persona jurídico-colectiva para recibir el financiamiento público y privado correspondiente, conforme a los lineamientos, reglas y criterios que establezca el INE.</w:t>
      </w:r>
    </w:p>
    <w:p w:rsidR="000A792C" w:rsidRPr="00882871" w:rsidRDefault="000A792C" w:rsidP="000A792C">
      <w:pPr>
        <w:spacing w:line="288" w:lineRule="auto"/>
        <w:rPr>
          <w:sz w:val="23"/>
          <w:szCs w:val="23"/>
        </w:rPr>
      </w:pPr>
      <w:r w:rsidRPr="00882871">
        <w:rPr>
          <w:sz w:val="23"/>
          <w:szCs w:val="23"/>
        </w:rPr>
        <w:t>Adicionalmente, la asociación civil deberá estar constituida con por lo menos la persona aspirante a la candidatura independiente, su representante legal y la persona encargada de la administración de los recursos de la candidatura independiente.</w:t>
      </w:r>
    </w:p>
    <w:p w:rsidR="00483707" w:rsidRPr="00882871" w:rsidRDefault="00483707" w:rsidP="00483707">
      <w:pPr>
        <w:pStyle w:val="Ttulo2"/>
        <w:rPr>
          <w:sz w:val="23"/>
        </w:rPr>
      </w:pPr>
      <w:r w:rsidRPr="00882871">
        <w:rPr>
          <w:sz w:val="23"/>
        </w:rPr>
        <w:t xml:space="preserve">Constitucionalidad del requisito </w:t>
      </w:r>
      <w:r w:rsidR="00012659" w:rsidRPr="00882871">
        <w:rPr>
          <w:sz w:val="23"/>
        </w:rPr>
        <w:t xml:space="preserve">relativo a la </w:t>
      </w:r>
      <w:r w:rsidRPr="00882871">
        <w:rPr>
          <w:sz w:val="23"/>
        </w:rPr>
        <w:t>asociación civil</w:t>
      </w:r>
    </w:p>
    <w:p w:rsidR="00483707" w:rsidRPr="00882871" w:rsidRDefault="00483707" w:rsidP="00483707">
      <w:pPr>
        <w:spacing w:line="288" w:lineRule="auto"/>
        <w:rPr>
          <w:sz w:val="23"/>
          <w:szCs w:val="23"/>
        </w:rPr>
      </w:pPr>
      <w:r w:rsidRPr="00882871">
        <w:rPr>
          <w:sz w:val="23"/>
          <w:szCs w:val="23"/>
        </w:rPr>
        <w:t xml:space="preserve">Que, la Suprema Corte de Justicia de la Nación al resolver la acción de inconstitucionalidad 35/2014 y sus acumuladas, declaró que es constitucional exigir la acreditación de una persona jurídico colectiva constituida en asociación civil a quienes busquen el registro como candidatas o candidatos independientes ya que esto no conlleva un detrimento del derecho a ser votado, pues las legislaturas locales cuentan con la facultad de reglamentar en ese sentido en términos de lo dispuesto en el inciso k) del </w:t>
      </w:r>
      <w:r w:rsidR="00EF4C01" w:rsidRPr="00882871">
        <w:rPr>
          <w:sz w:val="23"/>
          <w:szCs w:val="23"/>
        </w:rPr>
        <w:t>artículo 116 constitucional.</w:t>
      </w:r>
    </w:p>
    <w:p w:rsidR="00483707" w:rsidRPr="00882871" w:rsidRDefault="00483707" w:rsidP="00483707">
      <w:pPr>
        <w:spacing w:line="288" w:lineRule="auto"/>
        <w:rPr>
          <w:sz w:val="23"/>
          <w:szCs w:val="23"/>
        </w:rPr>
      </w:pPr>
      <w:r w:rsidRPr="00882871">
        <w:rPr>
          <w:sz w:val="23"/>
          <w:szCs w:val="23"/>
        </w:rPr>
        <w:t>Asimismo, la Suprema Corte de Justicia de la Nación estimó que la exigencia de este requisito es adecuada, idónea y proporcional, pues el objetivo es lograr una candidatura competitiva y el uso eficiente de los recursos públicos que se asignen a la o al candidato independiente para lo cual deberá contar con una estructura organizativa que le permita cumplir con dicho fin.</w:t>
      </w:r>
    </w:p>
    <w:p w:rsidR="00483707" w:rsidRPr="00882871" w:rsidRDefault="00483707" w:rsidP="00483707">
      <w:pPr>
        <w:spacing w:line="288" w:lineRule="auto"/>
        <w:rPr>
          <w:sz w:val="23"/>
          <w:szCs w:val="23"/>
        </w:rPr>
      </w:pPr>
      <w:r w:rsidRPr="00882871">
        <w:rPr>
          <w:sz w:val="23"/>
          <w:szCs w:val="23"/>
        </w:rPr>
        <w:t>De manera similar, la Sala Superior</w:t>
      </w:r>
      <w:r w:rsidR="006D0066" w:rsidRPr="00882871">
        <w:rPr>
          <w:rStyle w:val="Refdenotaalpie"/>
          <w:sz w:val="23"/>
          <w:szCs w:val="23"/>
        </w:rPr>
        <w:footnoteReference w:id="1"/>
      </w:r>
      <w:r w:rsidRPr="00882871">
        <w:rPr>
          <w:sz w:val="23"/>
          <w:szCs w:val="23"/>
        </w:rPr>
        <w:t xml:space="preserve"> del Tribunal Electoral del Poder Judicial de la Federación sostuvo que, la constitución de una asociación civil, es una medida razonable y no es excesiva o desproporcionada, ya que únicamente pretende dar un cauce legal a las relaciones jurídicas que se entablen con la candidatura independiente. Entre otras finalidades del requisito en cuestión es posible identificar: i) proveer a la candidatura independiente de una estructura que facilite su actuación, ii) contribuir a la transparencia, al permitir distinguir entre los actos jurídicos del candidato independiente en su esfera personal y los relacionados con su candidatura, y iii) permitir una mejor y más adecuada fiscalización de los recursos que obtenga el candidato independiente, tanto de financiamiento público como privado.</w:t>
      </w:r>
    </w:p>
    <w:p w:rsidR="00483707" w:rsidRPr="00882871" w:rsidRDefault="00483707" w:rsidP="00483707">
      <w:pPr>
        <w:spacing w:line="288" w:lineRule="auto"/>
        <w:rPr>
          <w:sz w:val="23"/>
          <w:szCs w:val="23"/>
        </w:rPr>
      </w:pPr>
      <w:r w:rsidRPr="00882871">
        <w:rPr>
          <w:sz w:val="23"/>
          <w:szCs w:val="23"/>
        </w:rPr>
        <w:t>Ambos órganos jurisdiccionales, estimaron que, provee a la candidatura independiente de una estructura mínima que facilita su actuación a través de los distintos miembros de la asociación; por otro lado abona a la transparencia, al permitir distinguir claramente entre los actos jurídicos del candidato independiente en su esfera personal y los relacionados con su candidatura; sin que ello pueda llegar a constituir un obstáculo o carga excesiva, pues si bien implica un trámite y un costo para quien aspire a una candidatura independiente, ello guarda proporción con la finalidad de la candidatura, que es la de acceder a un cargo de elección popular.</w:t>
      </w:r>
    </w:p>
    <w:p w:rsidR="000A792C" w:rsidRPr="00882871" w:rsidRDefault="000A792C" w:rsidP="000916BB">
      <w:pPr>
        <w:pStyle w:val="Ttulo2"/>
        <w:rPr>
          <w:sz w:val="23"/>
        </w:rPr>
      </w:pPr>
      <w:r w:rsidRPr="00882871">
        <w:rPr>
          <w:sz w:val="23"/>
        </w:rPr>
        <w:t>Régimen de financiamiento de las candidaturas independientes</w:t>
      </w:r>
    </w:p>
    <w:p w:rsidR="000A792C" w:rsidRPr="00882871" w:rsidRDefault="000A792C" w:rsidP="000A792C">
      <w:pPr>
        <w:spacing w:line="288" w:lineRule="auto"/>
        <w:rPr>
          <w:sz w:val="23"/>
          <w:szCs w:val="23"/>
        </w:rPr>
      </w:pPr>
      <w:r w:rsidRPr="00882871">
        <w:rPr>
          <w:sz w:val="23"/>
          <w:szCs w:val="23"/>
        </w:rPr>
        <w:t xml:space="preserve">Que, el artículo 9, apartado A, fracción VIII Bis de la </w:t>
      </w:r>
      <w:r w:rsidR="005B0A88" w:rsidRPr="00882871">
        <w:rPr>
          <w:sz w:val="23"/>
          <w:szCs w:val="23"/>
        </w:rPr>
        <w:t>Constitución Local</w:t>
      </w:r>
      <w:r w:rsidRPr="00882871">
        <w:rPr>
          <w:sz w:val="23"/>
          <w:szCs w:val="23"/>
        </w:rPr>
        <w:t>, dispone que, las leyes, general o estatal, según corresponda, establecerán las reglas y límites a que se sujetará el financiamiento público y privado de las actividades de la ciudadanía que obtenga su registro como candidaturas independientes dentro de un proceso electoral, así como los procedimientos para el control y vigilancia del origen, uso y destino de todos los recursos con los que cuenten, incluyendo aquellos que hubiesen utilizado para financiar las actividades tendentes a obtener dicho registro y dispondrán las sanciones que deban imponerse por el incumplimiento a dichas disposiciones.</w:t>
      </w:r>
    </w:p>
    <w:p w:rsidR="000A792C" w:rsidRPr="00882871" w:rsidRDefault="000A792C" w:rsidP="000916BB">
      <w:pPr>
        <w:pStyle w:val="Ttulo2"/>
        <w:rPr>
          <w:sz w:val="23"/>
        </w:rPr>
      </w:pPr>
      <w:r w:rsidRPr="00882871">
        <w:rPr>
          <w:sz w:val="23"/>
        </w:rPr>
        <w:t>Modalidades de financiamiento de las candidaturas independientes</w:t>
      </w:r>
    </w:p>
    <w:p w:rsidR="000A792C" w:rsidRPr="00882871" w:rsidRDefault="000A792C" w:rsidP="000A792C">
      <w:pPr>
        <w:spacing w:line="288" w:lineRule="auto"/>
        <w:rPr>
          <w:sz w:val="23"/>
          <w:szCs w:val="23"/>
        </w:rPr>
      </w:pPr>
      <w:r w:rsidRPr="00882871">
        <w:rPr>
          <w:sz w:val="23"/>
          <w:szCs w:val="23"/>
        </w:rPr>
        <w:t xml:space="preserve">Que, el artículo 312 de la Ley Electoral establece que el régimen del financiamiento de las candidaturas independientes tendrá las modalidades de: financiamiento público y financiamiento privado. </w:t>
      </w:r>
    </w:p>
    <w:p w:rsidR="000A792C" w:rsidRPr="00882871" w:rsidRDefault="000A792C" w:rsidP="000A792C">
      <w:pPr>
        <w:spacing w:line="288" w:lineRule="auto"/>
        <w:rPr>
          <w:sz w:val="23"/>
          <w:szCs w:val="23"/>
        </w:rPr>
      </w:pPr>
      <w:r w:rsidRPr="00882871">
        <w:rPr>
          <w:sz w:val="23"/>
          <w:szCs w:val="23"/>
        </w:rPr>
        <w:t>En lo que respecta al financiamiento público, las candidaturas independientes, de conformidad con los artículos 407 numeral 1 de la Ley General, 309 numeral 1 fracción V, 319 y 322 de la Ley Electoral, únicamente puede ser utilizado para los gastos de campaña y el monto no erogado deberá reembolsarse al Instituto.</w:t>
      </w:r>
    </w:p>
    <w:p w:rsidR="000A792C" w:rsidRPr="00882871" w:rsidRDefault="000A792C" w:rsidP="000A792C">
      <w:pPr>
        <w:spacing w:line="288" w:lineRule="auto"/>
        <w:rPr>
          <w:sz w:val="23"/>
          <w:szCs w:val="23"/>
        </w:rPr>
      </w:pPr>
      <w:r w:rsidRPr="00882871">
        <w:rPr>
          <w:sz w:val="23"/>
          <w:szCs w:val="23"/>
        </w:rPr>
        <w:t xml:space="preserve">Por otro lado, el financiamiento privado para las candidaturas independientes, es aquel que proviene de fuentes distintas al erario público y conforme al artículo 313 de la Ley Electoral, se constituye por las aportaciones que realicen las personas candidatas y sus simpatizantes. </w:t>
      </w:r>
    </w:p>
    <w:p w:rsidR="000A792C" w:rsidRPr="00882871" w:rsidRDefault="000A792C" w:rsidP="000A792C">
      <w:pPr>
        <w:spacing w:line="288" w:lineRule="auto"/>
        <w:rPr>
          <w:sz w:val="23"/>
          <w:szCs w:val="23"/>
        </w:rPr>
      </w:pPr>
      <w:r w:rsidRPr="00882871">
        <w:rPr>
          <w:sz w:val="23"/>
          <w:szCs w:val="23"/>
        </w:rPr>
        <w:t>Esta última modalidad, tutela el derecho de participación política, en el sentido que permite a la propia persona candidata, así como a la ciudadanía que simpatice con ella, incidir en la dirección de los asuntos electorales mediante las aportaciones que realicen a su candidatura independiente o una con la que se identifiquen.</w:t>
      </w:r>
    </w:p>
    <w:p w:rsidR="00516A9C" w:rsidRPr="00882871" w:rsidRDefault="00516A9C" w:rsidP="00483707">
      <w:pPr>
        <w:pStyle w:val="Ttulo2"/>
        <w:rPr>
          <w:sz w:val="23"/>
        </w:rPr>
      </w:pPr>
      <w:r w:rsidRPr="00882871">
        <w:rPr>
          <w:sz w:val="23"/>
        </w:rPr>
        <w:t>Lineamientos</w:t>
      </w:r>
    </w:p>
    <w:p w:rsidR="00A16922" w:rsidRPr="00882871" w:rsidRDefault="00516A9C" w:rsidP="000A792C">
      <w:pPr>
        <w:spacing w:line="288" w:lineRule="auto"/>
        <w:rPr>
          <w:sz w:val="23"/>
          <w:szCs w:val="23"/>
        </w:rPr>
      </w:pPr>
      <w:r w:rsidRPr="00882871">
        <w:rPr>
          <w:sz w:val="23"/>
          <w:szCs w:val="23"/>
        </w:rPr>
        <w:t>Que, conforme a las consideraciones anteriores, el titular del Órgano Técnico de Fiscalización</w:t>
      </w:r>
      <w:r w:rsidR="00A16922" w:rsidRPr="00882871">
        <w:rPr>
          <w:sz w:val="23"/>
          <w:szCs w:val="23"/>
        </w:rPr>
        <w:t xml:space="preserve"> propuso a este Consejo Estatal la implementación de los Lineamientos, los cuales tienen por objeto establecer las reglas relativas a la disolución y liquidación del patrimonio de las asociaciones civiles que se constituyan para la rendición de cuentas de las y los aspirantes, así como de las candidatas y candidatos independientes a cargos de elección popular en el estado de Tabasco.</w:t>
      </w:r>
    </w:p>
    <w:p w:rsidR="00A16922" w:rsidRPr="00882871" w:rsidRDefault="00A16922" w:rsidP="000A792C">
      <w:pPr>
        <w:spacing w:line="288" w:lineRule="auto"/>
        <w:rPr>
          <w:sz w:val="23"/>
          <w:szCs w:val="23"/>
        </w:rPr>
      </w:pPr>
      <w:r w:rsidRPr="00882871">
        <w:rPr>
          <w:sz w:val="23"/>
          <w:szCs w:val="23"/>
        </w:rPr>
        <w:t>De acuerdo con el artículo 287 numerales 4 y 5 de la Ley Electoral, las personas que aspiren a una candidatura independiente deben adjuntar a la manifestación de intención, la documentación que acredite la creación de una persona jurídico-colectiva constituida en asociación civil, la cual deberá tener el mismo tratamiento que un partido político en el régimen fiscal, para ello el Instituto establecerá el modelo único de estatutos de dicha asociación.</w:t>
      </w:r>
    </w:p>
    <w:p w:rsidR="00783751" w:rsidRPr="00882871" w:rsidRDefault="00783751" w:rsidP="00783751">
      <w:pPr>
        <w:spacing w:line="288" w:lineRule="auto"/>
        <w:rPr>
          <w:sz w:val="23"/>
          <w:szCs w:val="23"/>
        </w:rPr>
      </w:pPr>
      <w:r w:rsidRPr="00882871">
        <w:rPr>
          <w:sz w:val="23"/>
          <w:szCs w:val="23"/>
        </w:rPr>
        <w:t xml:space="preserve">En ese sentido, </w:t>
      </w:r>
      <w:r w:rsidR="000D38EF" w:rsidRPr="00882871">
        <w:rPr>
          <w:sz w:val="23"/>
          <w:szCs w:val="23"/>
        </w:rPr>
        <w:t>conforme a</w:t>
      </w:r>
      <w:r w:rsidRPr="00882871">
        <w:rPr>
          <w:sz w:val="23"/>
          <w:szCs w:val="23"/>
        </w:rPr>
        <w:t>l modelo de estatutos aprobado por este órgano electoral mediante acuerdo CE/2023/022</w:t>
      </w:r>
      <w:r w:rsidR="000D38EF" w:rsidRPr="00882871">
        <w:rPr>
          <w:sz w:val="23"/>
          <w:szCs w:val="23"/>
        </w:rPr>
        <w:t>,</w:t>
      </w:r>
      <w:r w:rsidRPr="00882871">
        <w:rPr>
          <w:sz w:val="23"/>
          <w:szCs w:val="23"/>
        </w:rPr>
        <w:t xml:space="preserve"> </w:t>
      </w:r>
      <w:r w:rsidR="000D38EF" w:rsidRPr="00882871">
        <w:rPr>
          <w:sz w:val="23"/>
          <w:szCs w:val="23"/>
        </w:rPr>
        <w:t xml:space="preserve">este órgano electoral </w:t>
      </w:r>
      <w:r w:rsidRPr="00882871">
        <w:rPr>
          <w:sz w:val="23"/>
          <w:szCs w:val="23"/>
        </w:rPr>
        <w:t xml:space="preserve">determinó que aquellas asociaciones creadas para los fines </w:t>
      </w:r>
      <w:r w:rsidR="00ED07D7" w:rsidRPr="00882871">
        <w:rPr>
          <w:sz w:val="23"/>
          <w:szCs w:val="23"/>
        </w:rPr>
        <w:t>mencionados</w:t>
      </w:r>
      <w:r w:rsidRPr="00882871">
        <w:rPr>
          <w:sz w:val="23"/>
          <w:szCs w:val="23"/>
        </w:rPr>
        <w:t>, se disolverán una vez solventadas todas las obligaciones que hayan contraído con motivo de su constitución dentro del Proceso Electoral, siempre y cuando se cumplan con todas las obligaciones que marca la legislación electoral y una vez que se resuelvan en total y definitiva los medios de impugnación que se hubieren interpuesto en relación con la misma.</w:t>
      </w:r>
    </w:p>
    <w:p w:rsidR="00783751" w:rsidRPr="00882871" w:rsidRDefault="00783751" w:rsidP="00783751">
      <w:pPr>
        <w:spacing w:line="288" w:lineRule="auto"/>
        <w:rPr>
          <w:sz w:val="23"/>
          <w:szCs w:val="23"/>
        </w:rPr>
      </w:pPr>
      <w:r w:rsidRPr="00882871">
        <w:rPr>
          <w:sz w:val="23"/>
          <w:szCs w:val="23"/>
        </w:rPr>
        <w:t>En ese tenor, la asociación se disolverá o extinguirá con apego a lo que establezca el Código Civil y a los Lineamientos para la disolución y liquidación de las asociaciones civiles constituidas para la rendición de cuentas de las y los aspirantes, así como de las candidaturas independientes a cargos de elección popular en el estado de Tabasco.</w:t>
      </w:r>
    </w:p>
    <w:p w:rsidR="00783751" w:rsidRPr="00882871" w:rsidRDefault="00783751" w:rsidP="00783751">
      <w:pPr>
        <w:spacing w:line="288" w:lineRule="auto"/>
        <w:rPr>
          <w:sz w:val="23"/>
          <w:szCs w:val="23"/>
        </w:rPr>
      </w:pPr>
      <w:r w:rsidRPr="00882871">
        <w:rPr>
          <w:sz w:val="23"/>
          <w:szCs w:val="23"/>
        </w:rPr>
        <w:t>En todo caso, la asociación una vez que concluya el Proceso Electoral correspondiente, deberá iniciar el procedimiento de disolución y liquidación solventando todas las obligaciones que la misma haya contraído con motivo de su constitución y cumpliendo con todas las obligaciones que establezca la legislación electoral y no existan medios de impugnación pendientes de resolver relacionados con los resultados electorales.</w:t>
      </w:r>
    </w:p>
    <w:p w:rsidR="00502194" w:rsidRPr="00882871" w:rsidRDefault="00502194" w:rsidP="00502194">
      <w:pPr>
        <w:spacing w:line="288" w:lineRule="auto"/>
        <w:rPr>
          <w:sz w:val="23"/>
          <w:szCs w:val="23"/>
        </w:rPr>
      </w:pPr>
      <w:r w:rsidRPr="00882871">
        <w:rPr>
          <w:sz w:val="23"/>
          <w:szCs w:val="23"/>
        </w:rPr>
        <w:t>A partir de lo anterior, los Lineamientos señalan con precisión el procedimiento y los criterios a los que deberán sujetarse las personas aspirantes, y en su caso, candidatas independientes para la disolución y liquidación del patrimonio de las asociaciones civiles que constituyan con motivo del proceso de selección de candidaturas independientes</w:t>
      </w:r>
      <w:r w:rsidR="00974572" w:rsidRPr="00882871">
        <w:rPr>
          <w:sz w:val="23"/>
          <w:szCs w:val="23"/>
        </w:rPr>
        <w:t>.</w:t>
      </w:r>
    </w:p>
    <w:p w:rsidR="000A792C" w:rsidRPr="00882871" w:rsidRDefault="000A792C" w:rsidP="000A792C">
      <w:pPr>
        <w:rPr>
          <w:sz w:val="23"/>
          <w:szCs w:val="23"/>
        </w:rPr>
      </w:pPr>
      <w:r w:rsidRPr="00882871">
        <w:rPr>
          <w:sz w:val="23"/>
          <w:szCs w:val="23"/>
        </w:rPr>
        <w:t>Sobre la base de las consideraciones señaladas, este Consejo Estatal emite el siguiente:</w:t>
      </w:r>
    </w:p>
    <w:p w:rsidR="000A792C" w:rsidRPr="00882871" w:rsidRDefault="000A792C" w:rsidP="00010DD1">
      <w:pPr>
        <w:pStyle w:val="Ttulo1"/>
        <w:rPr>
          <w:sz w:val="24"/>
          <w:szCs w:val="24"/>
        </w:rPr>
      </w:pPr>
      <w:r w:rsidRPr="00882871">
        <w:rPr>
          <w:sz w:val="24"/>
          <w:szCs w:val="24"/>
        </w:rPr>
        <w:t>Acuerdo</w:t>
      </w:r>
    </w:p>
    <w:p w:rsidR="00B470F9" w:rsidRPr="00882871" w:rsidRDefault="000A792C" w:rsidP="000A792C">
      <w:pPr>
        <w:rPr>
          <w:sz w:val="23"/>
          <w:szCs w:val="23"/>
        </w:rPr>
      </w:pPr>
      <w:r w:rsidRPr="00882871">
        <w:rPr>
          <w:b/>
          <w:sz w:val="23"/>
          <w:szCs w:val="23"/>
        </w:rPr>
        <w:t>Primero.</w:t>
      </w:r>
      <w:r w:rsidRPr="00882871">
        <w:rPr>
          <w:sz w:val="23"/>
          <w:szCs w:val="23"/>
        </w:rPr>
        <w:t xml:space="preserve"> </w:t>
      </w:r>
      <w:r w:rsidR="00B470F9" w:rsidRPr="00882871">
        <w:rPr>
          <w:sz w:val="23"/>
          <w:szCs w:val="23"/>
        </w:rPr>
        <w:t>Se aprueban los Lineamientos para la disolución y liquidación de las asociaciones civiles constituidas para la rendición de cuentas de las y los aspirantes, así como de las candidaturas independientes a cargos de elección popular en el estado de Tabasco que se anexan al presente acuerdo.</w:t>
      </w:r>
    </w:p>
    <w:p w:rsidR="00B470F9" w:rsidRPr="00882871" w:rsidRDefault="000A792C" w:rsidP="000A792C">
      <w:pPr>
        <w:rPr>
          <w:sz w:val="23"/>
          <w:szCs w:val="23"/>
        </w:rPr>
      </w:pPr>
      <w:r w:rsidRPr="00882871">
        <w:rPr>
          <w:b/>
          <w:sz w:val="23"/>
          <w:szCs w:val="23"/>
        </w:rPr>
        <w:t>Segundo.</w:t>
      </w:r>
      <w:r w:rsidRPr="00882871">
        <w:rPr>
          <w:sz w:val="23"/>
          <w:szCs w:val="23"/>
        </w:rPr>
        <w:t xml:space="preserve"> </w:t>
      </w:r>
      <w:r w:rsidR="00B470F9" w:rsidRPr="00882871">
        <w:rPr>
          <w:sz w:val="23"/>
          <w:szCs w:val="23"/>
        </w:rPr>
        <w:t>Se derogan los Lineamientos para la disolución y liquidación de las asociaciones civiles constituidas para la rendición de cuentas de las y los aspirantes, así como de las candidaturas independientes a cargos de elección popular en el estado de Tabasco aprobados por este Consejo Estatal, el 31 de mayo de 2021, mediante acuerdo CE/2021/067.</w:t>
      </w:r>
    </w:p>
    <w:p w:rsidR="00B470F9" w:rsidRPr="00882871" w:rsidRDefault="00B470F9" w:rsidP="000A792C">
      <w:pPr>
        <w:rPr>
          <w:sz w:val="23"/>
          <w:szCs w:val="23"/>
        </w:rPr>
      </w:pPr>
      <w:r w:rsidRPr="00882871">
        <w:rPr>
          <w:b/>
          <w:sz w:val="23"/>
          <w:szCs w:val="23"/>
        </w:rPr>
        <w:t>Tercero.</w:t>
      </w:r>
      <w:r w:rsidRPr="00882871">
        <w:rPr>
          <w:sz w:val="23"/>
          <w:szCs w:val="23"/>
        </w:rPr>
        <w:t xml:space="preserve"> Los Lineamientos aprobados entrarán en vigor a partir del día siguiente de la aprobación del presente acuerdo.</w:t>
      </w:r>
    </w:p>
    <w:p w:rsidR="0018579F" w:rsidRPr="00882871" w:rsidRDefault="00B470F9" w:rsidP="00170668">
      <w:pPr>
        <w:rPr>
          <w:sz w:val="23"/>
          <w:szCs w:val="23"/>
        </w:rPr>
      </w:pPr>
      <w:r w:rsidRPr="00882871">
        <w:rPr>
          <w:b/>
          <w:sz w:val="23"/>
          <w:szCs w:val="23"/>
        </w:rPr>
        <w:t>Cuarto</w:t>
      </w:r>
      <w:r w:rsidR="000A792C" w:rsidRPr="00882871">
        <w:rPr>
          <w:b/>
          <w:sz w:val="23"/>
          <w:szCs w:val="23"/>
        </w:rPr>
        <w:t xml:space="preserve">. </w:t>
      </w:r>
      <w:r w:rsidR="00170668" w:rsidRPr="00882871">
        <w:rPr>
          <w:b/>
          <w:sz w:val="23"/>
          <w:szCs w:val="23"/>
        </w:rPr>
        <w:t xml:space="preserve"> </w:t>
      </w:r>
      <w:r w:rsidR="00170668" w:rsidRPr="00882871">
        <w:rPr>
          <w:sz w:val="23"/>
          <w:szCs w:val="23"/>
        </w:rPr>
        <w:t xml:space="preserve">Los procedimientos </w:t>
      </w:r>
      <w:r w:rsidR="0018579F" w:rsidRPr="00882871">
        <w:rPr>
          <w:sz w:val="23"/>
          <w:szCs w:val="23"/>
        </w:rPr>
        <w:t xml:space="preserve">de liquidación </w:t>
      </w:r>
      <w:r w:rsidR="00170668" w:rsidRPr="00882871">
        <w:rPr>
          <w:sz w:val="23"/>
          <w:szCs w:val="23"/>
        </w:rPr>
        <w:t xml:space="preserve">iniciados </w:t>
      </w:r>
      <w:r w:rsidR="0018579F" w:rsidRPr="00882871">
        <w:rPr>
          <w:sz w:val="23"/>
          <w:szCs w:val="23"/>
        </w:rPr>
        <w:t>con anterioridad a la entrada en vigor de los Lineamientos aprobados mediante el presente acuerdo, serán concluidos conforme a las disposiciones aplicables vigentes a su inicio.</w:t>
      </w:r>
    </w:p>
    <w:p w:rsidR="000A792C" w:rsidRPr="00882871" w:rsidRDefault="00170668" w:rsidP="000A792C">
      <w:pPr>
        <w:rPr>
          <w:sz w:val="23"/>
          <w:szCs w:val="23"/>
        </w:rPr>
      </w:pPr>
      <w:r w:rsidRPr="00882871">
        <w:rPr>
          <w:b/>
          <w:sz w:val="23"/>
          <w:szCs w:val="23"/>
        </w:rPr>
        <w:t xml:space="preserve">Quinto. </w:t>
      </w:r>
      <w:r w:rsidR="00B470F9" w:rsidRPr="00882871">
        <w:rPr>
          <w:sz w:val="23"/>
          <w:szCs w:val="23"/>
        </w:rPr>
        <w:t>S</w:t>
      </w:r>
      <w:r w:rsidR="000A792C" w:rsidRPr="00882871">
        <w:rPr>
          <w:sz w:val="23"/>
          <w:szCs w:val="23"/>
        </w:rPr>
        <w:t>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rsidR="000A792C" w:rsidRPr="00882871" w:rsidRDefault="00831C53" w:rsidP="000A792C">
      <w:pPr>
        <w:rPr>
          <w:sz w:val="23"/>
          <w:szCs w:val="23"/>
        </w:rPr>
      </w:pPr>
      <w:r w:rsidRPr="00882871">
        <w:rPr>
          <w:b/>
          <w:sz w:val="23"/>
          <w:szCs w:val="23"/>
        </w:rPr>
        <w:t>Sexto</w:t>
      </w:r>
      <w:r w:rsidR="000A792C" w:rsidRPr="00882871">
        <w:rPr>
          <w:b/>
          <w:sz w:val="23"/>
          <w:szCs w:val="23"/>
        </w:rPr>
        <w:t>.</w:t>
      </w:r>
      <w:r w:rsidR="000A792C" w:rsidRPr="00882871">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rsidR="000A792C" w:rsidRPr="00882871" w:rsidRDefault="000A792C" w:rsidP="000A792C">
      <w:pPr>
        <w:rPr>
          <w:sz w:val="23"/>
          <w:szCs w:val="23"/>
        </w:rPr>
      </w:pPr>
      <w:r w:rsidRPr="00882871">
        <w:rPr>
          <w:sz w:val="23"/>
          <w:szCs w:val="23"/>
        </w:rPr>
        <w:t xml:space="preserve">El presente acuerdo fue </w:t>
      </w:r>
      <w:r w:rsidR="00882871">
        <w:rPr>
          <w:sz w:val="23"/>
          <w:szCs w:val="23"/>
        </w:rPr>
        <w:t>aprobado</w:t>
      </w:r>
      <w:r w:rsidRPr="00882871">
        <w:rPr>
          <w:sz w:val="23"/>
          <w:szCs w:val="23"/>
        </w:rPr>
        <w:t xml:space="preserve"> en sesión </w:t>
      </w:r>
      <w:r w:rsidR="00882871">
        <w:rPr>
          <w:sz w:val="23"/>
          <w:szCs w:val="23"/>
        </w:rPr>
        <w:t>extraordinaria</w:t>
      </w:r>
      <w:r w:rsidRPr="00882871">
        <w:rPr>
          <w:sz w:val="23"/>
          <w:szCs w:val="23"/>
        </w:rPr>
        <w:t xml:space="preserve"> efectuada el</w:t>
      </w:r>
      <w:r w:rsidR="00882871">
        <w:rPr>
          <w:sz w:val="23"/>
          <w:szCs w:val="23"/>
        </w:rPr>
        <w:t xml:space="preserve"> 31</w:t>
      </w:r>
      <w:r w:rsidRPr="00882871">
        <w:rPr>
          <w:sz w:val="23"/>
          <w:szCs w:val="23"/>
        </w:rPr>
        <w:t xml:space="preserve"> de </w:t>
      </w:r>
      <w:r w:rsidR="00882871">
        <w:rPr>
          <w:sz w:val="23"/>
          <w:szCs w:val="23"/>
        </w:rPr>
        <w:t>enero</w:t>
      </w:r>
      <w:r w:rsidRPr="00882871">
        <w:rPr>
          <w:sz w:val="23"/>
          <w:szCs w:val="23"/>
        </w:rPr>
        <w:t xml:space="preserve"> del año dos mil veinticuatro, por votación </w:t>
      </w:r>
      <w:r w:rsidR="00882871">
        <w:rPr>
          <w:sz w:val="23"/>
          <w:szCs w:val="23"/>
        </w:rPr>
        <w:t xml:space="preserve">unánime </w:t>
      </w:r>
      <w:r w:rsidRPr="00882871">
        <w:rPr>
          <w:sz w:val="23"/>
          <w:szCs w:val="23"/>
        </w:rPr>
        <w:t xml:space="preserve">de las y los Consejeros Electorales del Consejo Estatal del Instituto Electoral y de Participación Ciudadana de Tabasco: Dra. </w:t>
      </w:r>
      <w:proofErr w:type="spellStart"/>
      <w:r w:rsidRPr="00882871">
        <w:rPr>
          <w:sz w:val="23"/>
          <w:szCs w:val="23"/>
        </w:rPr>
        <w:t>Rosselvy</w:t>
      </w:r>
      <w:proofErr w:type="spellEnd"/>
      <w:r w:rsidRPr="00882871">
        <w:rPr>
          <w:sz w:val="23"/>
          <w:szCs w:val="23"/>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rsidR="000A792C" w:rsidRDefault="000A792C" w:rsidP="000A792C">
      <w:pPr>
        <w:rPr>
          <w:sz w:val="23"/>
          <w:szCs w:val="23"/>
        </w:rPr>
      </w:pPr>
    </w:p>
    <w:p w:rsidR="00882871" w:rsidRDefault="00882871" w:rsidP="000A792C">
      <w:pPr>
        <w:rPr>
          <w:sz w:val="23"/>
          <w:szCs w:val="23"/>
        </w:rPr>
      </w:pPr>
      <w:bookmarkStart w:id="0" w:name="_GoBack"/>
      <w:bookmarkEnd w:id="0"/>
    </w:p>
    <w:p w:rsidR="00882871" w:rsidRPr="00882871" w:rsidRDefault="00882871" w:rsidP="000A792C">
      <w:pPr>
        <w:rPr>
          <w:sz w:val="23"/>
          <w:szCs w:val="23"/>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97"/>
      </w:tblGrid>
      <w:tr w:rsidR="000A792C" w:rsidRPr="00882871" w:rsidTr="000F7F91">
        <w:tc>
          <w:tcPr>
            <w:tcW w:w="4248" w:type="dxa"/>
          </w:tcPr>
          <w:p w:rsidR="000A792C" w:rsidRPr="00882871" w:rsidRDefault="000A792C" w:rsidP="000F7F91">
            <w:pPr>
              <w:spacing w:before="0" w:after="0"/>
              <w:jc w:val="center"/>
              <w:rPr>
                <w:rFonts w:ascii="Arial Negrita" w:hAnsi="Arial Negrita"/>
                <w:b/>
                <w:bCs/>
                <w:spacing w:val="-10"/>
                <w:sz w:val="23"/>
                <w:szCs w:val="23"/>
              </w:rPr>
            </w:pPr>
            <w:r w:rsidRPr="00882871">
              <w:rPr>
                <w:rFonts w:ascii="Arial Negrita" w:hAnsi="Arial Negrita"/>
                <w:b/>
                <w:bCs/>
                <w:spacing w:val="-10"/>
                <w:sz w:val="23"/>
                <w:szCs w:val="23"/>
              </w:rPr>
              <w:t>MTRA. ELIZABETH NAVA GUTIÉRREZ</w:t>
            </w:r>
          </w:p>
          <w:p w:rsidR="000A792C" w:rsidRPr="00882871" w:rsidRDefault="000A792C" w:rsidP="000F7F91">
            <w:pPr>
              <w:spacing w:before="0" w:after="0"/>
              <w:jc w:val="center"/>
              <w:rPr>
                <w:b/>
                <w:bCs/>
                <w:sz w:val="23"/>
                <w:szCs w:val="23"/>
              </w:rPr>
            </w:pPr>
            <w:r w:rsidRPr="00882871">
              <w:rPr>
                <w:rFonts w:ascii="Arial Negrita" w:hAnsi="Arial Negrita"/>
                <w:b/>
                <w:bCs/>
                <w:spacing w:val="-10"/>
                <w:sz w:val="23"/>
                <w:szCs w:val="23"/>
              </w:rPr>
              <w:t>CONSEJERA PRESIDENTA</w:t>
            </w:r>
          </w:p>
        </w:tc>
        <w:tc>
          <w:tcPr>
            <w:tcW w:w="283" w:type="dxa"/>
          </w:tcPr>
          <w:p w:rsidR="000A792C" w:rsidRPr="00882871" w:rsidRDefault="000A792C" w:rsidP="000F7F91">
            <w:pPr>
              <w:spacing w:before="0" w:after="0"/>
              <w:rPr>
                <w:b/>
                <w:bCs/>
                <w:sz w:val="23"/>
                <w:szCs w:val="23"/>
              </w:rPr>
            </w:pPr>
          </w:p>
        </w:tc>
        <w:tc>
          <w:tcPr>
            <w:tcW w:w="4297" w:type="dxa"/>
          </w:tcPr>
          <w:p w:rsidR="000A792C" w:rsidRPr="00882871" w:rsidRDefault="000A792C" w:rsidP="000F7F91">
            <w:pPr>
              <w:spacing w:before="0" w:after="0"/>
              <w:jc w:val="center"/>
              <w:rPr>
                <w:rFonts w:ascii="Arial Negrita" w:hAnsi="Arial Negrita"/>
                <w:b/>
                <w:bCs/>
                <w:spacing w:val="-10"/>
                <w:sz w:val="23"/>
                <w:szCs w:val="23"/>
              </w:rPr>
            </w:pPr>
            <w:r w:rsidRPr="00882871">
              <w:rPr>
                <w:rFonts w:ascii="Arial Negrita" w:hAnsi="Arial Negrita"/>
                <w:b/>
                <w:bCs/>
                <w:spacing w:val="-10"/>
                <w:sz w:val="23"/>
                <w:szCs w:val="23"/>
              </w:rPr>
              <w:t>LIC. JORGE ALBERTO ZAVALA FRÍAS</w:t>
            </w:r>
          </w:p>
          <w:p w:rsidR="000A792C" w:rsidRPr="00882871" w:rsidRDefault="000A792C" w:rsidP="000F7F91">
            <w:pPr>
              <w:spacing w:before="0" w:after="0"/>
              <w:jc w:val="center"/>
              <w:rPr>
                <w:b/>
                <w:bCs/>
                <w:sz w:val="23"/>
                <w:szCs w:val="23"/>
              </w:rPr>
            </w:pPr>
            <w:r w:rsidRPr="00882871">
              <w:rPr>
                <w:rFonts w:ascii="Arial Negrita" w:hAnsi="Arial Negrita"/>
                <w:b/>
                <w:bCs/>
                <w:spacing w:val="-10"/>
                <w:sz w:val="23"/>
                <w:szCs w:val="23"/>
              </w:rPr>
              <w:t>SECRETARIO DEL CONSEJO</w:t>
            </w:r>
          </w:p>
        </w:tc>
      </w:tr>
    </w:tbl>
    <w:p w:rsidR="005748EF" w:rsidRPr="00882871" w:rsidRDefault="005748EF" w:rsidP="000A792C">
      <w:pPr>
        <w:spacing w:line="288" w:lineRule="auto"/>
        <w:rPr>
          <w:sz w:val="23"/>
          <w:szCs w:val="23"/>
        </w:rPr>
      </w:pPr>
    </w:p>
    <w:sectPr w:rsidR="005748EF" w:rsidRPr="00882871" w:rsidSect="00882871">
      <w:headerReference w:type="default" r:id="rId7"/>
      <w:footerReference w:type="default" r:id="rId8"/>
      <w:pgSz w:w="12240" w:h="15840" w:code="1"/>
      <w:pgMar w:top="2694" w:right="1608" w:bottom="1276"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8CE" w:rsidRDefault="00EF28CE" w:rsidP="006D0066">
      <w:pPr>
        <w:spacing w:before="0" w:after="0" w:line="240" w:lineRule="auto"/>
      </w:pPr>
      <w:r>
        <w:separator/>
      </w:r>
    </w:p>
  </w:endnote>
  <w:endnote w:type="continuationSeparator" w:id="0">
    <w:p w:rsidR="00EF28CE" w:rsidRDefault="00EF28CE" w:rsidP="006D00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1817458879"/>
      <w:docPartObj>
        <w:docPartGallery w:val="Page Numbers (Top of Page)"/>
        <w:docPartUnique/>
      </w:docPartObj>
    </w:sdtPr>
    <w:sdtEndPr/>
    <w:sdtContent>
      <w:p w:rsidR="00EB32D3" w:rsidRPr="00EB32D3" w:rsidRDefault="00EB32D3" w:rsidP="00EB32D3">
        <w:pPr>
          <w:pStyle w:val="Piedepgina"/>
          <w:jc w:val="right"/>
          <w:rPr>
            <w:color w:val="993366"/>
            <w:sz w:val="20"/>
            <w:szCs w:val="20"/>
          </w:rPr>
        </w:pPr>
        <w:r w:rsidRPr="0084107C">
          <w:rPr>
            <w:b/>
            <w:bCs/>
            <w:color w:val="993366"/>
            <w:lang w:val="es-ES"/>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882871">
          <w:rPr>
            <w:b/>
            <w:bCs/>
            <w:noProof/>
            <w:color w:val="993366"/>
          </w:rPr>
          <w:t>2</w:t>
        </w:r>
        <w:r w:rsidRPr="0084107C">
          <w:rPr>
            <w:b/>
            <w:bCs/>
            <w:color w:val="993366"/>
          </w:rPr>
          <w:fldChar w:fldCharType="end"/>
        </w:r>
        <w:r w:rsidRPr="0084107C">
          <w:rPr>
            <w:b/>
            <w:bCs/>
            <w:color w:val="993366"/>
            <w:lang w:val="es-ES"/>
          </w:rPr>
          <w:t xml:space="preserve"> | </w:t>
        </w:r>
        <w:r w:rsidRPr="0084107C">
          <w:rPr>
            <w:b/>
            <w:bCs/>
            <w:color w:val="993366"/>
          </w:rPr>
          <w:fldChar w:fldCharType="begin"/>
        </w:r>
        <w:r w:rsidRPr="0084107C">
          <w:rPr>
            <w:b/>
            <w:bCs/>
            <w:color w:val="993366"/>
          </w:rPr>
          <w:instrText>NUMPAGES</w:instrText>
        </w:r>
        <w:r w:rsidRPr="0084107C">
          <w:rPr>
            <w:b/>
            <w:bCs/>
            <w:color w:val="993366"/>
          </w:rPr>
          <w:fldChar w:fldCharType="separate"/>
        </w:r>
        <w:r w:rsidR="00882871">
          <w:rPr>
            <w:b/>
            <w:bCs/>
            <w:noProof/>
            <w:color w:val="993366"/>
          </w:rPr>
          <w:t>13</w:t>
        </w:r>
        <w:r w:rsidRPr="0084107C">
          <w:rPr>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8CE" w:rsidRDefault="00EF28CE" w:rsidP="006D0066">
      <w:pPr>
        <w:spacing w:before="0" w:after="0" w:line="240" w:lineRule="auto"/>
      </w:pPr>
      <w:r>
        <w:separator/>
      </w:r>
    </w:p>
  </w:footnote>
  <w:footnote w:type="continuationSeparator" w:id="0">
    <w:p w:rsidR="00EF28CE" w:rsidRDefault="00EF28CE" w:rsidP="006D0066">
      <w:pPr>
        <w:spacing w:before="0" w:after="0" w:line="240" w:lineRule="auto"/>
      </w:pPr>
      <w:r>
        <w:continuationSeparator/>
      </w:r>
    </w:p>
  </w:footnote>
  <w:footnote w:id="1">
    <w:p w:rsidR="006D0066" w:rsidRPr="008D6653" w:rsidRDefault="006D0066" w:rsidP="006D0066">
      <w:pPr>
        <w:pStyle w:val="Textonotapie"/>
        <w:rPr>
          <w:rFonts w:ascii="Arial" w:hAnsi="Arial" w:cs="Arial"/>
        </w:rPr>
      </w:pPr>
      <w:r w:rsidRPr="008D6653">
        <w:rPr>
          <w:rStyle w:val="Refdenotaalpie"/>
          <w:rFonts w:ascii="Arial" w:hAnsi="Arial" w:cs="Arial"/>
          <w:sz w:val="16"/>
        </w:rPr>
        <w:footnoteRef/>
      </w:r>
      <w:r w:rsidRPr="008D6653">
        <w:rPr>
          <w:rFonts w:ascii="Arial" w:hAnsi="Arial" w:cs="Arial"/>
          <w:sz w:val="16"/>
        </w:rPr>
        <w:t xml:space="preserve"> SUP-JDC-919/2017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EB32D3" w:rsidRPr="00063338" w:rsidTr="000F7F91">
      <w:tc>
        <w:tcPr>
          <w:tcW w:w="1418" w:type="dxa"/>
        </w:tcPr>
        <w:p w:rsidR="00EB32D3" w:rsidRPr="00063338" w:rsidRDefault="00EB32D3" w:rsidP="00EB32D3">
          <w:pPr>
            <w:pStyle w:val="Encabezado"/>
            <w:ind w:left="-170"/>
            <w:jc w:val="left"/>
          </w:pPr>
          <w:r>
            <w:rPr>
              <w:b/>
              <w:noProof/>
              <w:sz w:val="32"/>
              <w:lang w:eastAsia="es-MX"/>
            </w:rPr>
            <w:drawing>
              <wp:inline distT="0" distB="0" distL="0" distR="0" wp14:anchorId="3AE383F5" wp14:editId="454A248C">
                <wp:extent cx="1014331" cy="1199403"/>
                <wp:effectExtent l="0" t="0" r="0" b="1270"/>
                <wp:docPr id="1" name="Imagen 1"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rsidR="00EB32D3" w:rsidRPr="007B01D0" w:rsidRDefault="00EB32D3" w:rsidP="00EB32D3">
          <w:pPr>
            <w:pStyle w:val="Encabezado"/>
            <w:spacing w:before="720"/>
            <w:jc w:val="center"/>
            <w:rPr>
              <w:b/>
              <w:bCs/>
              <w:sz w:val="25"/>
              <w:szCs w:val="25"/>
            </w:rPr>
          </w:pPr>
          <w:r w:rsidRPr="007B01D0">
            <w:rPr>
              <w:b/>
              <w:bCs/>
              <w:sz w:val="25"/>
              <w:szCs w:val="25"/>
            </w:rPr>
            <w:t>INSTITUTO ELECTORAL Y DE PARTICIPACIÓN CIUDADANA DE TABASCO</w:t>
          </w:r>
        </w:p>
        <w:p w:rsidR="00EB32D3" w:rsidRPr="00063338" w:rsidRDefault="00EB32D3" w:rsidP="00EB32D3">
          <w:pPr>
            <w:pStyle w:val="Encabezado"/>
            <w:jc w:val="center"/>
          </w:pPr>
          <w:r w:rsidRPr="007B01D0">
            <w:rPr>
              <w:sz w:val="26"/>
              <w:szCs w:val="26"/>
            </w:rPr>
            <w:t>CONSEJO ESTATAL</w:t>
          </w:r>
        </w:p>
      </w:tc>
      <w:tc>
        <w:tcPr>
          <w:tcW w:w="1701" w:type="dxa"/>
        </w:tcPr>
        <w:p w:rsidR="00EB32D3" w:rsidRPr="00063338" w:rsidRDefault="00EB32D3" w:rsidP="00EB32D3">
          <w:pPr>
            <w:pStyle w:val="Encabezado"/>
            <w:spacing w:before="480"/>
          </w:pPr>
          <w:r>
            <w:rPr>
              <w:noProof/>
              <w:lang w:eastAsia="es-MX"/>
            </w:rPr>
            <w:drawing>
              <wp:inline distT="0" distB="0" distL="0" distR="0" wp14:anchorId="4868E0D5" wp14:editId="7A861A46">
                <wp:extent cx="921600" cy="756000"/>
                <wp:effectExtent l="0" t="0" r="0" b="6350"/>
                <wp:docPr id="2" name="Imagen 2"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rsidR="00EB32D3" w:rsidRPr="00882871" w:rsidRDefault="00882871" w:rsidP="00882871">
    <w:pPr>
      <w:pStyle w:val="Encabezado"/>
      <w:jc w:val="right"/>
      <w:rPr>
        <w:b/>
      </w:rPr>
    </w:pPr>
    <w:r w:rsidRPr="00882871">
      <w:rPr>
        <w:b/>
      </w:rPr>
      <w:t>CE/2024/008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7DD"/>
    <w:multiLevelType w:val="hybridMultilevel"/>
    <w:tmpl w:val="B16E59AA"/>
    <w:lvl w:ilvl="0" w:tplc="FF642A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772E7D"/>
    <w:multiLevelType w:val="hybridMultilevel"/>
    <w:tmpl w:val="05B2F94C"/>
    <w:lvl w:ilvl="0" w:tplc="08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423838"/>
    <w:multiLevelType w:val="hybridMultilevel"/>
    <w:tmpl w:val="567C60EC"/>
    <w:lvl w:ilvl="0" w:tplc="080A0017">
      <w:start w:val="1"/>
      <w:numFmt w:val="lowerLetter"/>
      <w:lvlText w:val="%1)"/>
      <w:lvlJc w:val="left"/>
      <w:pPr>
        <w:ind w:left="720" w:hanging="360"/>
      </w:pPr>
      <w:rPr>
        <w:rFonts w:hint="default"/>
      </w:rPr>
    </w:lvl>
    <w:lvl w:ilvl="1" w:tplc="92FC5972">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36677A"/>
    <w:multiLevelType w:val="hybridMultilevel"/>
    <w:tmpl w:val="8BBE59B0"/>
    <w:lvl w:ilvl="0" w:tplc="FF642A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05463BC"/>
    <w:multiLevelType w:val="multilevel"/>
    <w:tmpl w:val="DB1C77E0"/>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73FB3EDB"/>
    <w:multiLevelType w:val="hybridMultilevel"/>
    <w:tmpl w:val="73EE142E"/>
    <w:lvl w:ilvl="0" w:tplc="4E2661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B1A58EC"/>
    <w:multiLevelType w:val="hybridMultilevel"/>
    <w:tmpl w:val="B2AE3A04"/>
    <w:lvl w:ilvl="0" w:tplc="AC969B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D353162"/>
    <w:multiLevelType w:val="hybridMultilevel"/>
    <w:tmpl w:val="6276C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92C"/>
    <w:rsid w:val="00010DD1"/>
    <w:rsid w:val="00010FAD"/>
    <w:rsid w:val="00012659"/>
    <w:rsid w:val="000916BB"/>
    <w:rsid w:val="000A792C"/>
    <w:rsid w:val="000D0B23"/>
    <w:rsid w:val="000D38EF"/>
    <w:rsid w:val="000F7F9D"/>
    <w:rsid w:val="0010142F"/>
    <w:rsid w:val="00140D12"/>
    <w:rsid w:val="00155BEC"/>
    <w:rsid w:val="00170668"/>
    <w:rsid w:val="0018579F"/>
    <w:rsid w:val="001E58C0"/>
    <w:rsid w:val="00212D98"/>
    <w:rsid w:val="00253F1B"/>
    <w:rsid w:val="00377904"/>
    <w:rsid w:val="004304F9"/>
    <w:rsid w:val="00470BF2"/>
    <w:rsid w:val="00483707"/>
    <w:rsid w:val="00495B45"/>
    <w:rsid w:val="00502194"/>
    <w:rsid w:val="00507AB8"/>
    <w:rsid w:val="00516A9C"/>
    <w:rsid w:val="00517A1C"/>
    <w:rsid w:val="005748EF"/>
    <w:rsid w:val="005B0A88"/>
    <w:rsid w:val="005D7D52"/>
    <w:rsid w:val="005F69D1"/>
    <w:rsid w:val="00630B07"/>
    <w:rsid w:val="00646009"/>
    <w:rsid w:val="006B5DEB"/>
    <w:rsid w:val="006D0066"/>
    <w:rsid w:val="00740F85"/>
    <w:rsid w:val="00783751"/>
    <w:rsid w:val="007D1E4B"/>
    <w:rsid w:val="00831C53"/>
    <w:rsid w:val="00882871"/>
    <w:rsid w:val="008D6653"/>
    <w:rsid w:val="00944FCB"/>
    <w:rsid w:val="00974572"/>
    <w:rsid w:val="0099644D"/>
    <w:rsid w:val="00A16922"/>
    <w:rsid w:val="00A335CC"/>
    <w:rsid w:val="00A43C00"/>
    <w:rsid w:val="00AC1216"/>
    <w:rsid w:val="00AE2C80"/>
    <w:rsid w:val="00B470F9"/>
    <w:rsid w:val="00BB187E"/>
    <w:rsid w:val="00C90984"/>
    <w:rsid w:val="00CC65BF"/>
    <w:rsid w:val="00CD732E"/>
    <w:rsid w:val="00CF76F6"/>
    <w:rsid w:val="00D03A85"/>
    <w:rsid w:val="00D2140C"/>
    <w:rsid w:val="00DE696D"/>
    <w:rsid w:val="00E46240"/>
    <w:rsid w:val="00EB32D3"/>
    <w:rsid w:val="00ED07D7"/>
    <w:rsid w:val="00EF28CE"/>
    <w:rsid w:val="00EF4C01"/>
    <w:rsid w:val="00FC46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1DD53"/>
  <w15:chartTrackingRefBased/>
  <w15:docId w15:val="{0B8F3891-1A41-4D21-AD82-CAB3CCA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92C"/>
    <w:pPr>
      <w:spacing w:before="240" w:after="240" w:line="281" w:lineRule="auto"/>
      <w:jc w:val="both"/>
    </w:pPr>
    <w:rPr>
      <w:rFonts w:ascii="Arial" w:hAnsi="Arial" w:cs="Arial"/>
      <w:kern w:val="2"/>
      <w:sz w:val="24"/>
      <w:szCs w:val="24"/>
      <w14:ligatures w14:val="standardContextual"/>
    </w:rPr>
  </w:style>
  <w:style w:type="paragraph" w:styleId="Ttulo1">
    <w:name w:val="heading 1"/>
    <w:basedOn w:val="Normal"/>
    <w:next w:val="Normal"/>
    <w:link w:val="Ttulo1Car"/>
    <w:uiPriority w:val="9"/>
    <w:qFormat/>
    <w:rsid w:val="000916BB"/>
    <w:pPr>
      <w:keepNext/>
      <w:keepLines/>
      <w:numPr>
        <w:numId w:val="3"/>
      </w:numPr>
      <w:spacing w:before="600" w:after="480" w:line="288" w:lineRule="auto"/>
      <w:ind w:left="431" w:hanging="431"/>
      <w:jc w:val="center"/>
      <w:outlineLvl w:val="0"/>
    </w:pPr>
    <w:rPr>
      <w:rFonts w:eastAsiaTheme="majorEastAsia"/>
      <w:b/>
      <w:bCs/>
      <w:sz w:val="28"/>
      <w:szCs w:val="28"/>
    </w:rPr>
  </w:style>
  <w:style w:type="paragraph" w:styleId="Ttulo2">
    <w:name w:val="heading 2"/>
    <w:basedOn w:val="Normal"/>
    <w:next w:val="Normal"/>
    <w:link w:val="Ttulo2Car"/>
    <w:uiPriority w:val="9"/>
    <w:unhideWhenUsed/>
    <w:qFormat/>
    <w:rsid w:val="000916BB"/>
    <w:pPr>
      <w:numPr>
        <w:ilvl w:val="1"/>
        <w:numId w:val="3"/>
      </w:numPr>
      <w:spacing w:before="480" w:line="288" w:lineRule="auto"/>
      <w:ind w:left="0" w:firstLine="0"/>
      <w:outlineLvl w:val="1"/>
    </w:pPr>
    <w:rPr>
      <w:b/>
      <w:bCs/>
      <w:szCs w:val="23"/>
    </w:rPr>
  </w:style>
  <w:style w:type="paragraph" w:styleId="Ttulo3">
    <w:name w:val="heading 3"/>
    <w:basedOn w:val="Normal"/>
    <w:next w:val="Normal"/>
    <w:link w:val="Ttulo3Car"/>
    <w:uiPriority w:val="9"/>
    <w:semiHidden/>
    <w:unhideWhenUsed/>
    <w:qFormat/>
    <w:rsid w:val="000A792C"/>
    <w:pPr>
      <w:keepNext/>
      <w:keepLines/>
      <w:numPr>
        <w:ilvl w:val="2"/>
        <w:numId w:val="3"/>
      </w:numPr>
      <w:spacing w:before="40" w:after="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0A792C"/>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0A792C"/>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0A792C"/>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0A792C"/>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0A792C"/>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A792C"/>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16BB"/>
    <w:rPr>
      <w:rFonts w:ascii="Arial" w:eastAsiaTheme="majorEastAsia" w:hAnsi="Arial" w:cs="Arial"/>
      <w:b/>
      <w:bCs/>
      <w:kern w:val="2"/>
      <w:sz w:val="28"/>
      <w:szCs w:val="28"/>
      <w14:ligatures w14:val="standardContextual"/>
    </w:rPr>
  </w:style>
  <w:style w:type="character" w:customStyle="1" w:styleId="Ttulo2Car">
    <w:name w:val="Título 2 Car"/>
    <w:basedOn w:val="Fuentedeprrafopredeter"/>
    <w:link w:val="Ttulo2"/>
    <w:uiPriority w:val="9"/>
    <w:rsid w:val="000916BB"/>
    <w:rPr>
      <w:rFonts w:ascii="Arial" w:hAnsi="Arial" w:cs="Arial"/>
      <w:b/>
      <w:bCs/>
      <w:kern w:val="2"/>
      <w:sz w:val="24"/>
      <w:szCs w:val="23"/>
      <w14:ligatures w14:val="standardContextual"/>
    </w:rPr>
  </w:style>
  <w:style w:type="character" w:customStyle="1" w:styleId="Ttulo3Car">
    <w:name w:val="Título 3 Car"/>
    <w:basedOn w:val="Fuentedeprrafopredeter"/>
    <w:link w:val="Ttulo3"/>
    <w:uiPriority w:val="9"/>
    <w:semiHidden/>
    <w:rsid w:val="000A792C"/>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Ttulo4Car">
    <w:name w:val="Título 4 Car"/>
    <w:basedOn w:val="Fuentedeprrafopredeter"/>
    <w:link w:val="Ttulo4"/>
    <w:uiPriority w:val="9"/>
    <w:semiHidden/>
    <w:rsid w:val="000A792C"/>
    <w:rPr>
      <w:rFonts w:asciiTheme="majorHAnsi" w:eastAsiaTheme="majorEastAsia" w:hAnsiTheme="majorHAnsi" w:cstheme="majorBidi"/>
      <w:i/>
      <w:iCs/>
      <w:color w:val="2E74B5" w:themeColor="accent1" w:themeShade="BF"/>
      <w:kern w:val="2"/>
      <w:sz w:val="24"/>
      <w:szCs w:val="24"/>
      <w14:ligatures w14:val="standardContextual"/>
    </w:rPr>
  </w:style>
  <w:style w:type="character" w:customStyle="1" w:styleId="Ttulo5Car">
    <w:name w:val="Título 5 Car"/>
    <w:basedOn w:val="Fuentedeprrafopredeter"/>
    <w:link w:val="Ttulo5"/>
    <w:uiPriority w:val="9"/>
    <w:semiHidden/>
    <w:rsid w:val="000A792C"/>
    <w:rPr>
      <w:rFonts w:asciiTheme="majorHAnsi" w:eastAsiaTheme="majorEastAsia" w:hAnsiTheme="majorHAnsi" w:cstheme="majorBidi"/>
      <w:color w:val="2E74B5" w:themeColor="accent1" w:themeShade="BF"/>
      <w:kern w:val="2"/>
      <w:sz w:val="24"/>
      <w:szCs w:val="24"/>
      <w14:ligatures w14:val="standardContextual"/>
    </w:rPr>
  </w:style>
  <w:style w:type="character" w:customStyle="1" w:styleId="Ttulo6Car">
    <w:name w:val="Título 6 Car"/>
    <w:basedOn w:val="Fuentedeprrafopredeter"/>
    <w:link w:val="Ttulo6"/>
    <w:uiPriority w:val="9"/>
    <w:semiHidden/>
    <w:rsid w:val="000A792C"/>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Ttulo7Car">
    <w:name w:val="Título 7 Car"/>
    <w:basedOn w:val="Fuentedeprrafopredeter"/>
    <w:link w:val="Ttulo7"/>
    <w:uiPriority w:val="9"/>
    <w:semiHidden/>
    <w:rsid w:val="000A792C"/>
    <w:rPr>
      <w:rFonts w:asciiTheme="majorHAnsi" w:eastAsiaTheme="majorEastAsia" w:hAnsiTheme="majorHAnsi" w:cstheme="majorBidi"/>
      <w:i/>
      <w:iCs/>
      <w:color w:val="1F4D78" w:themeColor="accent1" w:themeShade="7F"/>
      <w:kern w:val="2"/>
      <w:sz w:val="24"/>
      <w:szCs w:val="24"/>
      <w14:ligatures w14:val="standardContextual"/>
    </w:rPr>
  </w:style>
  <w:style w:type="character" w:customStyle="1" w:styleId="Ttulo8Car">
    <w:name w:val="Título 8 Car"/>
    <w:basedOn w:val="Fuentedeprrafopredeter"/>
    <w:link w:val="Ttulo8"/>
    <w:uiPriority w:val="9"/>
    <w:semiHidden/>
    <w:rsid w:val="000A792C"/>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Ttulo9Car">
    <w:name w:val="Título 9 Car"/>
    <w:basedOn w:val="Fuentedeprrafopredeter"/>
    <w:link w:val="Ttulo9"/>
    <w:uiPriority w:val="9"/>
    <w:semiHidden/>
    <w:rsid w:val="000A792C"/>
    <w:rPr>
      <w:rFonts w:asciiTheme="majorHAnsi" w:eastAsiaTheme="majorEastAsia" w:hAnsiTheme="majorHAnsi" w:cstheme="majorBidi"/>
      <w:i/>
      <w:iCs/>
      <w:color w:val="272727" w:themeColor="text1" w:themeTint="D8"/>
      <w:kern w:val="2"/>
      <w:sz w:val="21"/>
      <w:szCs w:val="21"/>
      <w14:ligatures w14:val="standardContextual"/>
    </w:rPr>
  </w:style>
  <w:style w:type="paragraph" w:styleId="Prrafodelista">
    <w:name w:val="List Paragraph"/>
    <w:aliases w:val="AB List 1,Bullet Points,Bullet List,FooterText,numbered,Paragraphe de liste1,List Paragraph1,Bulletr List Paragraph,CNBV Parrafo1"/>
    <w:basedOn w:val="Normal"/>
    <w:link w:val="PrrafodelistaCar"/>
    <w:uiPriority w:val="34"/>
    <w:qFormat/>
    <w:rsid w:val="000A792C"/>
    <w:pPr>
      <w:ind w:left="720"/>
      <w:contextualSpacing/>
    </w:pPr>
  </w:style>
  <w:style w:type="character" w:styleId="Refdenotaalpie">
    <w:name w:val="footnote reference"/>
    <w:basedOn w:val="Fuentedeprrafopredeter"/>
    <w:uiPriority w:val="99"/>
    <w:semiHidden/>
    <w:unhideWhenUsed/>
    <w:rsid w:val="000A792C"/>
    <w:rPr>
      <w:vertAlign w:val="superscript"/>
    </w:rPr>
  </w:style>
  <w:style w:type="character" w:customStyle="1" w:styleId="PrrafodelistaCar">
    <w:name w:val="Párrafo de lista Car"/>
    <w:aliases w:val="AB List 1 Car,Bullet Points Car,Bullet List Car,FooterText Car,numbered Car,Paragraphe de liste1 Car,List Paragraph1 Car,Bulletr List Paragraph Car,CNBV Parrafo1 Car"/>
    <w:link w:val="Prrafodelista"/>
    <w:uiPriority w:val="34"/>
    <w:rsid w:val="000A792C"/>
    <w:rPr>
      <w:rFonts w:ascii="Arial" w:hAnsi="Arial" w:cs="Arial"/>
      <w:kern w:val="2"/>
      <w:sz w:val="24"/>
      <w:szCs w:val="24"/>
      <w14:ligatures w14:val="standardContextual"/>
    </w:rPr>
  </w:style>
  <w:style w:type="table" w:styleId="Tablaconcuadrcula">
    <w:name w:val="Table Grid"/>
    <w:basedOn w:val="Tablanormal"/>
    <w:uiPriority w:val="39"/>
    <w:rsid w:val="000A7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6D0066"/>
    <w:pPr>
      <w:spacing w:before="0" w:after="0" w:line="240" w:lineRule="auto"/>
      <w:jc w:val="left"/>
    </w:pPr>
    <w:rPr>
      <w:rFonts w:asciiTheme="minorHAnsi" w:hAnsiTheme="minorHAnsi" w:cstheme="minorBidi"/>
      <w:kern w:val="0"/>
      <w:sz w:val="20"/>
      <w:szCs w:val="20"/>
      <w14:ligatures w14:val="none"/>
    </w:rPr>
  </w:style>
  <w:style w:type="character" w:customStyle="1" w:styleId="TextonotapieCar">
    <w:name w:val="Texto nota pie Car"/>
    <w:basedOn w:val="Fuentedeprrafopredeter"/>
    <w:link w:val="Textonotapie"/>
    <w:uiPriority w:val="99"/>
    <w:rsid w:val="006D0066"/>
    <w:rPr>
      <w:sz w:val="20"/>
      <w:szCs w:val="20"/>
    </w:rPr>
  </w:style>
  <w:style w:type="paragraph" w:styleId="Encabezado">
    <w:name w:val="header"/>
    <w:basedOn w:val="Normal"/>
    <w:link w:val="EncabezadoCar"/>
    <w:uiPriority w:val="99"/>
    <w:unhideWhenUsed/>
    <w:rsid w:val="00EB32D3"/>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EB32D3"/>
    <w:rPr>
      <w:rFonts w:ascii="Arial" w:hAnsi="Arial" w:cs="Arial"/>
      <w:kern w:val="2"/>
      <w:sz w:val="24"/>
      <w:szCs w:val="24"/>
      <w14:ligatures w14:val="standardContextual"/>
    </w:rPr>
  </w:style>
  <w:style w:type="paragraph" w:styleId="Piedepgina">
    <w:name w:val="footer"/>
    <w:basedOn w:val="Normal"/>
    <w:link w:val="PiedepginaCar"/>
    <w:uiPriority w:val="99"/>
    <w:unhideWhenUsed/>
    <w:rsid w:val="00EB32D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EB32D3"/>
    <w:rPr>
      <w:rFonts w:ascii="Arial" w:hAnsi="Arial" w:cs="Arial"/>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13</Pages>
  <Words>4062</Words>
  <Characters>22343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56</cp:revision>
  <dcterms:created xsi:type="dcterms:W3CDTF">2024-01-04T19:13:00Z</dcterms:created>
  <dcterms:modified xsi:type="dcterms:W3CDTF">2024-01-31T23:37:00Z</dcterms:modified>
</cp:coreProperties>
</file>