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84" w:rsidRPr="00696684" w:rsidRDefault="00696684" w:rsidP="00696684">
      <w:pPr>
        <w:spacing w:after="0"/>
        <w:jc w:val="center"/>
        <w:rPr>
          <w:rFonts w:ascii="Arial" w:hAnsi="Arial" w:cs="Arial"/>
          <w:b/>
          <w:sz w:val="28"/>
          <w:szCs w:val="28"/>
          <w:lang w:val="es-ES"/>
        </w:rPr>
      </w:pPr>
      <w:r w:rsidRPr="00696684">
        <w:rPr>
          <w:rFonts w:ascii="Arial" w:hAnsi="Arial" w:cs="Arial"/>
          <w:b/>
          <w:sz w:val="28"/>
          <w:szCs w:val="28"/>
          <w:lang w:val="es-ES"/>
        </w:rPr>
        <w:t>SESIÓN EXTRAORDINARIA</w:t>
      </w:r>
      <w:r w:rsidR="00A27885">
        <w:rPr>
          <w:rFonts w:ascii="Arial" w:hAnsi="Arial" w:cs="Arial"/>
          <w:b/>
          <w:sz w:val="28"/>
          <w:szCs w:val="28"/>
          <w:lang w:val="es-ES"/>
        </w:rPr>
        <w:t xml:space="preserve"> </w:t>
      </w:r>
    </w:p>
    <w:p w:rsidR="00696684" w:rsidRPr="00696684" w:rsidRDefault="007932FB" w:rsidP="00696684">
      <w:pPr>
        <w:spacing w:after="0"/>
        <w:jc w:val="center"/>
        <w:rPr>
          <w:rFonts w:ascii="Arial" w:hAnsi="Arial" w:cs="Arial"/>
          <w:sz w:val="28"/>
          <w:szCs w:val="28"/>
          <w:lang w:val="es-ES"/>
        </w:rPr>
      </w:pPr>
      <w:r>
        <w:rPr>
          <w:rFonts w:ascii="Arial" w:hAnsi="Arial" w:cs="Arial"/>
          <w:sz w:val="28"/>
          <w:szCs w:val="28"/>
          <w:lang w:val="es-ES"/>
        </w:rPr>
        <w:t>MI</w:t>
      </w:r>
      <w:r w:rsidR="00A9642A">
        <w:rPr>
          <w:rFonts w:ascii="Arial" w:hAnsi="Arial" w:cs="Arial"/>
          <w:sz w:val="28"/>
          <w:szCs w:val="28"/>
          <w:lang w:val="es-ES"/>
        </w:rPr>
        <w:t>É</w:t>
      </w:r>
      <w:r>
        <w:rPr>
          <w:rFonts w:ascii="Arial" w:hAnsi="Arial" w:cs="Arial"/>
          <w:sz w:val="28"/>
          <w:szCs w:val="28"/>
          <w:lang w:val="es-ES"/>
        </w:rPr>
        <w:t>RCOLES, 31</w:t>
      </w:r>
      <w:r w:rsidR="00584A86">
        <w:rPr>
          <w:rFonts w:ascii="Arial" w:hAnsi="Arial" w:cs="Arial"/>
          <w:sz w:val="28"/>
          <w:szCs w:val="28"/>
          <w:lang w:val="es-ES"/>
        </w:rPr>
        <w:t xml:space="preserve"> DE ENERO</w:t>
      </w:r>
      <w:r w:rsidR="00696684" w:rsidRPr="00696684">
        <w:rPr>
          <w:rFonts w:ascii="Arial" w:hAnsi="Arial" w:cs="Arial"/>
          <w:sz w:val="28"/>
          <w:szCs w:val="28"/>
          <w:lang w:val="es-ES"/>
        </w:rPr>
        <w:t xml:space="preserve"> DE 202</w:t>
      </w:r>
      <w:r w:rsidR="00584A86">
        <w:rPr>
          <w:rFonts w:ascii="Arial" w:hAnsi="Arial" w:cs="Arial"/>
          <w:sz w:val="28"/>
          <w:szCs w:val="28"/>
          <w:lang w:val="es-ES"/>
        </w:rPr>
        <w:t>4</w:t>
      </w:r>
    </w:p>
    <w:p w:rsidR="00696684" w:rsidRPr="00696684" w:rsidRDefault="00CE45FF" w:rsidP="00696684">
      <w:pPr>
        <w:spacing w:after="0"/>
        <w:jc w:val="center"/>
        <w:rPr>
          <w:rFonts w:ascii="Arial" w:hAnsi="Arial" w:cs="Arial"/>
          <w:sz w:val="28"/>
          <w:szCs w:val="28"/>
          <w:lang w:val="es-ES"/>
        </w:rPr>
      </w:pPr>
      <w:r>
        <w:rPr>
          <w:rFonts w:ascii="Arial" w:hAnsi="Arial" w:cs="Arial"/>
          <w:b/>
          <w:sz w:val="28"/>
          <w:szCs w:val="28"/>
          <w:lang w:val="es-ES"/>
        </w:rPr>
        <w:t>AL TÉ</w:t>
      </w:r>
      <w:r w:rsidR="007932FB">
        <w:rPr>
          <w:rFonts w:ascii="Arial" w:hAnsi="Arial" w:cs="Arial"/>
          <w:b/>
          <w:sz w:val="28"/>
          <w:szCs w:val="28"/>
          <w:lang w:val="es-ES"/>
        </w:rPr>
        <w:t xml:space="preserve">RMINO DE LA SESIÓN ORDINARIA </w:t>
      </w:r>
    </w:p>
    <w:p w:rsidR="003F38B6" w:rsidRDefault="003F38B6" w:rsidP="00696684">
      <w:pPr>
        <w:jc w:val="center"/>
        <w:rPr>
          <w:rFonts w:ascii="Arial" w:hAnsi="Arial" w:cs="Arial"/>
          <w:b/>
          <w:sz w:val="28"/>
          <w:szCs w:val="28"/>
        </w:rPr>
      </w:pPr>
    </w:p>
    <w:p w:rsidR="00696684" w:rsidRPr="00696684" w:rsidRDefault="00696684" w:rsidP="00696684">
      <w:pPr>
        <w:jc w:val="center"/>
        <w:rPr>
          <w:rFonts w:ascii="Arial" w:hAnsi="Arial" w:cs="Arial"/>
          <w:b/>
          <w:sz w:val="28"/>
          <w:szCs w:val="28"/>
        </w:rPr>
      </w:pPr>
      <w:r w:rsidRPr="00696684">
        <w:rPr>
          <w:rFonts w:ascii="Arial" w:hAnsi="Arial" w:cs="Arial"/>
          <w:b/>
          <w:sz w:val="28"/>
          <w:szCs w:val="28"/>
        </w:rPr>
        <w:t>ORDEN DEL DÍA</w:t>
      </w:r>
    </w:p>
    <w:p w:rsidR="00696684" w:rsidRDefault="00696684" w:rsidP="00696684">
      <w:pPr>
        <w:spacing w:after="0"/>
        <w:jc w:val="center"/>
        <w:rPr>
          <w:lang w:val="es-ES"/>
        </w:rPr>
      </w:pPr>
    </w:p>
    <w:p w:rsidR="00696684" w:rsidRPr="001C625F" w:rsidRDefault="00696684" w:rsidP="003F38B6">
      <w:pPr>
        <w:pStyle w:val="Prrafodelista"/>
        <w:numPr>
          <w:ilvl w:val="0"/>
          <w:numId w:val="4"/>
        </w:numPr>
        <w:spacing w:before="240" w:after="240" w:line="276" w:lineRule="auto"/>
        <w:ind w:left="357" w:hanging="357"/>
        <w:contextualSpacing w:val="0"/>
        <w:rPr>
          <w:rFonts w:ascii="Arial" w:hAnsi="Arial" w:cs="Arial"/>
          <w:sz w:val="24"/>
          <w:szCs w:val="24"/>
          <w:lang w:val="es-ES"/>
        </w:rPr>
      </w:pPr>
      <w:r w:rsidRPr="001C625F">
        <w:rPr>
          <w:rFonts w:ascii="Arial" w:hAnsi="Arial" w:cs="Arial"/>
          <w:sz w:val="24"/>
          <w:szCs w:val="24"/>
          <w:lang w:val="es-ES"/>
        </w:rPr>
        <w:t>Lista de asistencia</w:t>
      </w:r>
    </w:p>
    <w:p w:rsidR="00696684" w:rsidRPr="001C625F" w:rsidRDefault="00696684" w:rsidP="003F38B6">
      <w:pPr>
        <w:pStyle w:val="Prrafodelista"/>
        <w:numPr>
          <w:ilvl w:val="0"/>
          <w:numId w:val="4"/>
        </w:numPr>
        <w:spacing w:before="240" w:after="240" w:line="276" w:lineRule="auto"/>
        <w:ind w:left="426" w:hanging="426"/>
        <w:contextualSpacing w:val="0"/>
        <w:jc w:val="both"/>
        <w:rPr>
          <w:rFonts w:ascii="Arial" w:hAnsi="Arial" w:cs="Arial"/>
          <w:sz w:val="24"/>
          <w:szCs w:val="24"/>
        </w:rPr>
      </w:pPr>
      <w:r w:rsidRPr="001C625F">
        <w:rPr>
          <w:rFonts w:ascii="Arial" w:hAnsi="Arial" w:cs="Arial"/>
          <w:sz w:val="24"/>
          <w:szCs w:val="24"/>
        </w:rPr>
        <w:t xml:space="preserve">Declaración de quórum; </w:t>
      </w:r>
    </w:p>
    <w:p w:rsidR="00E95CCC" w:rsidRPr="001C625F" w:rsidRDefault="00696684" w:rsidP="007C45A6">
      <w:pPr>
        <w:pStyle w:val="Prrafodelista"/>
        <w:numPr>
          <w:ilvl w:val="0"/>
          <w:numId w:val="4"/>
        </w:numPr>
        <w:spacing w:before="240" w:after="240" w:line="276" w:lineRule="auto"/>
        <w:ind w:left="357" w:hanging="357"/>
        <w:contextualSpacing w:val="0"/>
        <w:rPr>
          <w:rFonts w:ascii="Arial" w:hAnsi="Arial" w:cs="Arial"/>
          <w:b/>
          <w:sz w:val="24"/>
          <w:szCs w:val="24"/>
        </w:rPr>
      </w:pPr>
      <w:r w:rsidRPr="001C625F">
        <w:rPr>
          <w:rFonts w:ascii="Arial" w:hAnsi="Arial" w:cs="Arial"/>
          <w:sz w:val="24"/>
          <w:szCs w:val="24"/>
          <w:lang w:val="es-ES"/>
        </w:rPr>
        <w:t>Aprobación del orden del día</w:t>
      </w:r>
      <w:r w:rsidR="00DF2A8F" w:rsidRPr="001C625F">
        <w:rPr>
          <w:rFonts w:ascii="Arial" w:hAnsi="Arial" w:cs="Arial"/>
          <w:sz w:val="24"/>
          <w:szCs w:val="24"/>
          <w:lang w:val="es-ES"/>
        </w:rPr>
        <w:t>;</w:t>
      </w:r>
    </w:p>
    <w:p w:rsidR="001C625F" w:rsidRPr="001C625F" w:rsidRDefault="001C625F" w:rsidP="001C625F">
      <w:pPr>
        <w:pStyle w:val="Prrafodelista"/>
        <w:numPr>
          <w:ilvl w:val="0"/>
          <w:numId w:val="4"/>
        </w:numPr>
        <w:spacing w:before="240" w:after="240" w:line="276" w:lineRule="auto"/>
        <w:contextualSpacing w:val="0"/>
        <w:jc w:val="both"/>
        <w:rPr>
          <w:rFonts w:ascii="Arial" w:hAnsi="Arial" w:cs="Arial"/>
          <w:color w:val="FF0000"/>
          <w:sz w:val="24"/>
          <w:szCs w:val="24"/>
        </w:rPr>
      </w:pPr>
      <w:r w:rsidRPr="001C625F">
        <w:rPr>
          <w:rFonts w:ascii="Arial" w:hAnsi="Arial" w:cs="Arial"/>
          <w:sz w:val="24"/>
          <w:szCs w:val="24"/>
        </w:rPr>
        <w:t xml:space="preserve">Presentación y aprobación, en su caso, del proyecto de acuerdo que emite el Consejo Estatal del Instituto Electoral y de Participación Ciudadana de Tabasco, por el que se aprueban los Lineamientos para la disolución y liquidación de las asociaciones civiles constituidas para la rendición de cuentas de las y los aspirantes, así como de las candidaturas independientes a cargos de elección popular en el estado de Tabasco con motivo del Proceso Electoral Local Ordinario 2023 – 2024; </w:t>
      </w:r>
    </w:p>
    <w:p w:rsidR="001C625F" w:rsidRPr="001C625F" w:rsidRDefault="001C625F" w:rsidP="001C625F">
      <w:pPr>
        <w:pStyle w:val="Prrafodelista"/>
        <w:numPr>
          <w:ilvl w:val="0"/>
          <w:numId w:val="4"/>
        </w:numPr>
        <w:spacing w:before="240" w:after="240" w:line="276" w:lineRule="auto"/>
        <w:contextualSpacing w:val="0"/>
        <w:jc w:val="both"/>
        <w:rPr>
          <w:rFonts w:ascii="Arial" w:hAnsi="Arial" w:cs="Arial"/>
          <w:sz w:val="24"/>
          <w:szCs w:val="24"/>
        </w:rPr>
      </w:pPr>
      <w:r w:rsidRPr="001C625F">
        <w:rPr>
          <w:rFonts w:ascii="Arial" w:hAnsi="Arial" w:cs="Arial"/>
          <w:sz w:val="24"/>
          <w:szCs w:val="24"/>
        </w:rPr>
        <w:t>Presentación y aprobación, en su caso, del proyecto de acuerdo que emite el Consejo Estatal del Instituto Electoral y de Participación Ciudadana de Tabasco, mediante el cual aprueba el Programa Anual de Trabajo de la Comisión Permanente de Organización Electoral y Educación Cívica para el ejercicio 2024 propuesto por la propia Comisión;</w:t>
      </w:r>
    </w:p>
    <w:p w:rsidR="001C625F" w:rsidRPr="001C625F" w:rsidRDefault="001C625F" w:rsidP="001C625F">
      <w:pPr>
        <w:pStyle w:val="Prrafodelista"/>
        <w:numPr>
          <w:ilvl w:val="0"/>
          <w:numId w:val="4"/>
        </w:numPr>
        <w:spacing w:before="240" w:after="240" w:line="276" w:lineRule="auto"/>
        <w:contextualSpacing w:val="0"/>
        <w:jc w:val="both"/>
        <w:rPr>
          <w:rFonts w:ascii="Arial" w:hAnsi="Arial" w:cs="Arial"/>
          <w:sz w:val="24"/>
          <w:szCs w:val="24"/>
        </w:rPr>
      </w:pPr>
      <w:r w:rsidRPr="001C625F">
        <w:rPr>
          <w:rFonts w:ascii="Arial" w:hAnsi="Arial" w:cs="Arial"/>
          <w:sz w:val="24"/>
          <w:szCs w:val="24"/>
        </w:rPr>
        <w:t>Presentación y aprobación, en su caso, del proyecto de acuerdo que emite el Consejo Estatal del Instituto Electoral y de Participación Ciudadana de Tabasco, mediante el cual aprueba el Programa Anual de Trabajo de la Comisión Permanente de Denuncias y Quejas para el ejercicio 2024 propuesto por la propia Comisión;</w:t>
      </w:r>
    </w:p>
    <w:p w:rsidR="001C625F" w:rsidRPr="001C625F" w:rsidRDefault="001C625F" w:rsidP="001C625F">
      <w:pPr>
        <w:pStyle w:val="Prrafodelista"/>
        <w:numPr>
          <w:ilvl w:val="0"/>
          <w:numId w:val="4"/>
        </w:numPr>
        <w:spacing w:before="240" w:after="240" w:line="276" w:lineRule="auto"/>
        <w:contextualSpacing w:val="0"/>
        <w:jc w:val="both"/>
        <w:rPr>
          <w:rFonts w:ascii="Arial" w:hAnsi="Arial" w:cs="Arial"/>
          <w:sz w:val="24"/>
          <w:szCs w:val="24"/>
        </w:rPr>
      </w:pPr>
      <w:r w:rsidRPr="001C625F">
        <w:rPr>
          <w:rFonts w:ascii="Arial" w:hAnsi="Arial" w:cs="Arial"/>
          <w:sz w:val="24"/>
          <w:szCs w:val="24"/>
        </w:rPr>
        <w:t xml:space="preserve">Presentación y aprobación, en su caso, del proyecto de acuerdo que emite el Consejo Estatal del Instituto Electoral y de Participación Ciudadana de Tabasco, mediante el cual aprueba el Programa Anual de Trabajo de la Comisión </w:t>
      </w:r>
      <w:r w:rsidRPr="001C625F">
        <w:rPr>
          <w:rFonts w:ascii="Arial" w:hAnsi="Arial" w:cs="Arial"/>
          <w:sz w:val="24"/>
          <w:szCs w:val="24"/>
        </w:rPr>
        <w:lastRenderedPageBreak/>
        <w:t xml:space="preserve">Permanente de Igualdad de Género y No Discriminación para el ejercicio 2024 propuesto por la propia Comisión; </w:t>
      </w:r>
    </w:p>
    <w:p w:rsidR="001C625F" w:rsidRPr="001C625F" w:rsidRDefault="001C625F" w:rsidP="001C625F">
      <w:pPr>
        <w:pStyle w:val="Prrafodelista"/>
        <w:numPr>
          <w:ilvl w:val="0"/>
          <w:numId w:val="4"/>
        </w:numPr>
        <w:spacing w:before="240" w:after="240" w:line="276" w:lineRule="auto"/>
        <w:contextualSpacing w:val="0"/>
        <w:jc w:val="both"/>
        <w:rPr>
          <w:rFonts w:ascii="Arial" w:hAnsi="Arial" w:cs="Arial"/>
          <w:sz w:val="24"/>
          <w:szCs w:val="24"/>
        </w:rPr>
      </w:pPr>
      <w:r w:rsidRPr="001C625F">
        <w:rPr>
          <w:rFonts w:ascii="Arial" w:hAnsi="Arial" w:cs="Arial"/>
          <w:sz w:val="24"/>
          <w:szCs w:val="24"/>
        </w:rPr>
        <w:t>Presentación y aprobación, en su caso, del proyecto de acuerdo que emite el Consejo Estatal del Instituto Electoral y de Participación Ciudadana de Tabasco, mediante el cual aprueba el Programa Anual de Trabajo de la Comisión Permanente de Seguimiento al Servicio Profesional Electoral Nacional del propio Instituto para el ejercicio 2024 propuesto por la propia Comisión;</w:t>
      </w:r>
    </w:p>
    <w:p w:rsidR="001C625F" w:rsidRPr="001C625F" w:rsidRDefault="001C625F" w:rsidP="001C625F">
      <w:pPr>
        <w:pStyle w:val="Prrafodelista"/>
        <w:numPr>
          <w:ilvl w:val="0"/>
          <w:numId w:val="4"/>
        </w:numPr>
        <w:spacing w:before="240" w:after="240" w:line="276" w:lineRule="auto"/>
        <w:contextualSpacing w:val="0"/>
        <w:jc w:val="both"/>
        <w:rPr>
          <w:rFonts w:ascii="Arial" w:hAnsi="Arial" w:cs="Arial"/>
          <w:sz w:val="24"/>
          <w:szCs w:val="24"/>
        </w:rPr>
      </w:pPr>
      <w:r w:rsidRPr="001C625F">
        <w:rPr>
          <w:rFonts w:ascii="Arial" w:hAnsi="Arial" w:cs="Arial"/>
          <w:sz w:val="24"/>
          <w:szCs w:val="24"/>
        </w:rPr>
        <w:t xml:space="preserve">Presentación y aprobación, en su caso, del proyecto de acuerdo que emite el Consejo Estatal del Instituto Electoral y de Participación Ciudadana de Tabasco mediante el cual aprueba los Lineamientos que regulan diversas disposiciones para la atención de los actos que constituyan violencia política contra las mujeres en razón de género y el cumplimiento del principio constitucional de paridad de género en el Proceso Electoral 2023-2024 propuestos por la Comisión de Igualdad </w:t>
      </w:r>
      <w:r w:rsidR="00D9560B">
        <w:rPr>
          <w:rFonts w:ascii="Arial" w:hAnsi="Arial" w:cs="Arial"/>
          <w:sz w:val="24"/>
          <w:szCs w:val="24"/>
        </w:rPr>
        <w:t xml:space="preserve">de Género </w:t>
      </w:r>
      <w:bookmarkStart w:id="0" w:name="_GoBack"/>
      <w:bookmarkEnd w:id="0"/>
      <w:r w:rsidRPr="001C625F">
        <w:rPr>
          <w:rFonts w:ascii="Arial" w:hAnsi="Arial" w:cs="Arial"/>
          <w:sz w:val="24"/>
          <w:szCs w:val="24"/>
        </w:rPr>
        <w:t>y No Discriminación del propio Instituto;</w:t>
      </w:r>
    </w:p>
    <w:p w:rsidR="00696684" w:rsidRPr="001C625F" w:rsidRDefault="00696684" w:rsidP="003F38B6">
      <w:pPr>
        <w:pStyle w:val="Prrafodelista"/>
        <w:numPr>
          <w:ilvl w:val="0"/>
          <w:numId w:val="4"/>
        </w:numPr>
        <w:spacing w:before="240" w:after="240" w:line="276" w:lineRule="auto"/>
        <w:ind w:left="357" w:hanging="357"/>
        <w:contextualSpacing w:val="0"/>
        <w:jc w:val="both"/>
        <w:rPr>
          <w:rFonts w:ascii="Arial" w:hAnsi="Arial" w:cs="Arial"/>
          <w:sz w:val="24"/>
          <w:szCs w:val="24"/>
          <w:lang w:val="es-ES"/>
        </w:rPr>
      </w:pPr>
      <w:r w:rsidRPr="001C625F">
        <w:rPr>
          <w:rFonts w:ascii="Arial" w:hAnsi="Arial" w:cs="Arial"/>
          <w:sz w:val="24"/>
          <w:szCs w:val="24"/>
          <w:lang w:val="es-ES"/>
        </w:rPr>
        <w:t>Clausura</w:t>
      </w:r>
      <w:r w:rsidR="00922E38" w:rsidRPr="001C625F">
        <w:rPr>
          <w:rFonts w:ascii="Arial" w:hAnsi="Arial" w:cs="Arial"/>
          <w:sz w:val="24"/>
          <w:szCs w:val="24"/>
          <w:lang w:val="es-ES"/>
        </w:rPr>
        <w:t>.</w:t>
      </w:r>
    </w:p>
    <w:p w:rsidR="000E2683" w:rsidRPr="001C625F" w:rsidRDefault="000E2683" w:rsidP="000E2683">
      <w:pPr>
        <w:jc w:val="center"/>
        <w:rPr>
          <w:rFonts w:ascii="Arial" w:hAnsi="Arial" w:cs="Arial"/>
          <w:b/>
          <w:sz w:val="24"/>
          <w:szCs w:val="24"/>
        </w:rPr>
      </w:pPr>
    </w:p>
    <w:p w:rsidR="006C7510" w:rsidRPr="001C625F" w:rsidRDefault="006C7510" w:rsidP="000E2683">
      <w:pPr>
        <w:jc w:val="center"/>
        <w:rPr>
          <w:rFonts w:ascii="Arial" w:hAnsi="Arial" w:cs="Arial"/>
          <w:b/>
          <w:sz w:val="24"/>
          <w:szCs w:val="24"/>
        </w:rPr>
      </w:pPr>
    </w:p>
    <w:p w:rsidR="000E2683" w:rsidRPr="001C625F" w:rsidRDefault="000E2683" w:rsidP="000E2683">
      <w:pPr>
        <w:spacing w:before="240" w:after="240"/>
        <w:jc w:val="both"/>
        <w:rPr>
          <w:rFonts w:ascii="Arial" w:hAnsi="Arial" w:cs="Arial"/>
          <w:sz w:val="24"/>
          <w:szCs w:val="24"/>
        </w:rPr>
      </w:pPr>
    </w:p>
    <w:sectPr w:rsidR="000E2683" w:rsidRPr="001C625F" w:rsidSect="000E2683">
      <w:headerReference w:type="default" r:id="rId8"/>
      <w:pgSz w:w="12240" w:h="15840" w:code="1"/>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470" w:rsidRDefault="00B87470" w:rsidP="000E2683">
      <w:pPr>
        <w:spacing w:after="0" w:line="240" w:lineRule="auto"/>
      </w:pPr>
      <w:r>
        <w:separator/>
      </w:r>
    </w:p>
  </w:endnote>
  <w:endnote w:type="continuationSeparator" w:id="0">
    <w:p w:rsidR="00B87470" w:rsidRDefault="00B87470" w:rsidP="000E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470" w:rsidRDefault="00B87470" w:rsidP="000E2683">
      <w:pPr>
        <w:spacing w:after="0" w:line="240" w:lineRule="auto"/>
      </w:pPr>
      <w:r>
        <w:separator/>
      </w:r>
    </w:p>
  </w:footnote>
  <w:footnote w:type="continuationSeparator" w:id="0">
    <w:p w:rsidR="00B87470" w:rsidRDefault="00B87470" w:rsidP="000E2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0E2683" w:rsidRPr="007958A0" w:rsidTr="00710E0F">
      <w:tc>
        <w:tcPr>
          <w:tcW w:w="1418" w:type="dxa"/>
        </w:tcPr>
        <w:p w:rsidR="000E2683" w:rsidRPr="007958A0" w:rsidRDefault="000E2683" w:rsidP="000E2683">
          <w:pPr>
            <w:pStyle w:val="Encabezado"/>
            <w:ind w:left="-170"/>
            <w:rPr>
              <w:rFonts w:ascii="Calisto MT" w:hAnsi="Calisto MT"/>
            </w:rPr>
          </w:pPr>
          <w:r>
            <w:rPr>
              <w:b/>
              <w:noProof/>
              <w:sz w:val="32"/>
              <w:lang w:eastAsia="es-MX"/>
            </w:rPr>
            <w:drawing>
              <wp:inline distT="0" distB="0" distL="0" distR="0" wp14:anchorId="78742DC3" wp14:editId="1C0C8023">
                <wp:extent cx="1014331" cy="119940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0E2683" w:rsidRPr="000E2683" w:rsidRDefault="000E2683" w:rsidP="000E2683">
          <w:pPr>
            <w:pStyle w:val="Encabezado"/>
            <w:spacing w:before="720"/>
            <w:jc w:val="center"/>
            <w:rPr>
              <w:rFonts w:ascii="Arial" w:hAnsi="Arial" w:cs="Arial"/>
              <w:b/>
              <w:bCs/>
              <w:sz w:val="25"/>
              <w:szCs w:val="25"/>
            </w:rPr>
          </w:pPr>
          <w:r w:rsidRPr="000E2683">
            <w:rPr>
              <w:rFonts w:ascii="Arial" w:hAnsi="Arial" w:cs="Arial"/>
              <w:b/>
              <w:bCs/>
              <w:sz w:val="25"/>
              <w:szCs w:val="25"/>
            </w:rPr>
            <w:t>INSTITUTO ELECTORAL Y DE PARTICIPACIÓN CIUDADANA DE TABASCO</w:t>
          </w:r>
        </w:p>
        <w:p w:rsidR="000E2683" w:rsidRPr="00F43C7F" w:rsidRDefault="000E2683" w:rsidP="000E2683">
          <w:pPr>
            <w:pStyle w:val="Encabezado"/>
            <w:jc w:val="center"/>
          </w:pPr>
          <w:r w:rsidRPr="000E2683">
            <w:rPr>
              <w:rFonts w:ascii="Arial" w:hAnsi="Arial" w:cs="Arial"/>
              <w:sz w:val="26"/>
              <w:szCs w:val="26"/>
            </w:rPr>
            <w:t>CONSEJO ESTATAL</w:t>
          </w:r>
        </w:p>
      </w:tc>
      <w:tc>
        <w:tcPr>
          <w:tcW w:w="1701" w:type="dxa"/>
        </w:tcPr>
        <w:p w:rsidR="000E2683" w:rsidRPr="007958A0" w:rsidRDefault="000E2683" w:rsidP="000E2683">
          <w:pPr>
            <w:pStyle w:val="Encabezado"/>
            <w:spacing w:before="480"/>
            <w:rPr>
              <w:rFonts w:ascii="Calisto MT" w:hAnsi="Calisto MT"/>
            </w:rPr>
          </w:pPr>
          <w:r>
            <w:rPr>
              <w:rFonts w:ascii="Calisto MT" w:hAnsi="Calisto MT"/>
              <w:noProof/>
              <w:lang w:eastAsia="es-MX"/>
            </w:rPr>
            <w:drawing>
              <wp:inline distT="0" distB="0" distL="0" distR="0">
                <wp:extent cx="942975" cy="774065"/>
                <wp:effectExtent l="0" t="0" r="952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rsidR="000E2683" w:rsidRDefault="000E26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563"/>
    <w:multiLevelType w:val="hybridMultilevel"/>
    <w:tmpl w:val="3992E198"/>
    <w:lvl w:ilvl="0" w:tplc="2CC8573C">
      <w:start w:val="1"/>
      <w:numFmt w:val="decimal"/>
      <w:lvlText w:val="%1."/>
      <w:lvlJc w:val="left"/>
      <w:pPr>
        <w:ind w:left="36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85636A"/>
    <w:multiLevelType w:val="hybridMultilevel"/>
    <w:tmpl w:val="2124D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DF5FF3"/>
    <w:multiLevelType w:val="hybridMultilevel"/>
    <w:tmpl w:val="95B247F4"/>
    <w:lvl w:ilvl="0" w:tplc="E56262F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345E38"/>
    <w:multiLevelType w:val="hybridMultilevel"/>
    <w:tmpl w:val="497EDD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C14491"/>
    <w:multiLevelType w:val="hybridMultilevel"/>
    <w:tmpl w:val="EC8C7AF6"/>
    <w:lvl w:ilvl="0" w:tplc="8B56DC7A">
      <w:start w:val="1"/>
      <w:numFmt w:val="decimal"/>
      <w:lvlText w:val="%1."/>
      <w:lvlJc w:val="left"/>
      <w:pPr>
        <w:ind w:left="720" w:hanging="360"/>
      </w:pPr>
      <w:rPr>
        <w:rFonts w:hint="default"/>
      </w:rPr>
    </w:lvl>
    <w:lvl w:ilvl="1" w:tplc="B150E71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83"/>
    <w:rsid w:val="00070988"/>
    <w:rsid w:val="000E2683"/>
    <w:rsid w:val="001C625F"/>
    <w:rsid w:val="00237A1D"/>
    <w:rsid w:val="003F38B6"/>
    <w:rsid w:val="00464C36"/>
    <w:rsid w:val="004C0186"/>
    <w:rsid w:val="004F21F9"/>
    <w:rsid w:val="00584A86"/>
    <w:rsid w:val="005B6D2C"/>
    <w:rsid w:val="006201F7"/>
    <w:rsid w:val="00696684"/>
    <w:rsid w:val="006C7510"/>
    <w:rsid w:val="0070549D"/>
    <w:rsid w:val="007932FB"/>
    <w:rsid w:val="00922E38"/>
    <w:rsid w:val="00A27885"/>
    <w:rsid w:val="00A9642A"/>
    <w:rsid w:val="00B87470"/>
    <w:rsid w:val="00CB0DCA"/>
    <w:rsid w:val="00CE45FF"/>
    <w:rsid w:val="00D1597F"/>
    <w:rsid w:val="00D9560B"/>
    <w:rsid w:val="00DF2A8F"/>
    <w:rsid w:val="00E27B95"/>
    <w:rsid w:val="00E91638"/>
    <w:rsid w:val="00E95CCC"/>
    <w:rsid w:val="00EC7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BB6199"/>
  <w15:chartTrackingRefBased/>
  <w15:docId w15:val="{BB23A953-09D6-4267-BEBD-BF2C853C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683"/>
    <w:pPr>
      <w:ind w:left="720"/>
      <w:contextualSpacing/>
    </w:pPr>
  </w:style>
  <w:style w:type="paragraph" w:styleId="Encabezado">
    <w:name w:val="header"/>
    <w:basedOn w:val="Normal"/>
    <w:link w:val="EncabezadoCar"/>
    <w:uiPriority w:val="99"/>
    <w:unhideWhenUsed/>
    <w:rsid w:val="000E26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683"/>
  </w:style>
  <w:style w:type="paragraph" w:styleId="Piedepgina">
    <w:name w:val="footer"/>
    <w:basedOn w:val="Normal"/>
    <w:link w:val="PiedepginaCar"/>
    <w:uiPriority w:val="99"/>
    <w:unhideWhenUsed/>
    <w:rsid w:val="000E26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683"/>
  </w:style>
  <w:style w:type="table" w:styleId="Tablaconcuadrcula">
    <w:name w:val="Table Grid"/>
    <w:basedOn w:val="Tablanormal"/>
    <w:uiPriority w:val="39"/>
    <w:rsid w:val="000E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27B95"/>
    <w:pPr>
      <w:spacing w:before="240" w:after="240" w:line="288" w:lineRule="auto"/>
      <w:jc w:val="both"/>
    </w:pPr>
    <w:rPr>
      <w:rFonts w:asciiTheme="majorHAnsi" w:hAnsiTheme="majorHAnsi" w:cstheme="majorHAnsi"/>
      <w:b/>
      <w:kern w:val="2"/>
      <w:sz w:val="24"/>
      <w:szCs w:val="24"/>
      <w14:ligatures w14:val="standardContextual"/>
    </w:rPr>
  </w:style>
  <w:style w:type="character" w:customStyle="1" w:styleId="TtuloCar">
    <w:name w:val="Título Car"/>
    <w:basedOn w:val="Fuentedeprrafopredeter"/>
    <w:link w:val="Ttulo"/>
    <w:uiPriority w:val="10"/>
    <w:rsid w:val="00E27B95"/>
    <w:rPr>
      <w:rFonts w:asciiTheme="majorHAnsi" w:hAnsiTheme="majorHAnsi" w:cstheme="majorHAnsi"/>
      <w:b/>
      <w:kern w:val="2"/>
      <w:sz w:val="24"/>
      <w:szCs w:val="24"/>
      <w14:ligatures w14:val="standardContextual"/>
    </w:rPr>
  </w:style>
  <w:style w:type="paragraph" w:styleId="Sinespaciado">
    <w:name w:val="No Spacing"/>
    <w:basedOn w:val="Normal"/>
    <w:uiPriority w:val="1"/>
    <w:qFormat/>
    <w:rsid w:val="00E95CCC"/>
    <w:pPr>
      <w:spacing w:before="240" w:after="240" w:line="288" w:lineRule="auto"/>
      <w:jc w:val="both"/>
    </w:pPr>
    <w:rPr>
      <w:rFonts w:ascii="Arial" w:hAnsi="Arial" w:cs="Arial"/>
      <w:sz w:val="23"/>
      <w:szCs w:val="23"/>
      <w:lang w:val="es-ES"/>
    </w:rPr>
  </w:style>
  <w:style w:type="paragraph" w:styleId="Textodeglobo">
    <w:name w:val="Balloon Text"/>
    <w:basedOn w:val="Normal"/>
    <w:link w:val="TextodegloboCar"/>
    <w:uiPriority w:val="99"/>
    <w:semiHidden/>
    <w:unhideWhenUsed/>
    <w:rsid w:val="004F21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2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2BF0-0A99-4E5F-B2B0-9568F691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Silverio Henández Hernández</cp:lastModifiedBy>
  <cp:revision>20</cp:revision>
  <cp:lastPrinted>2024-01-30T03:30:00Z</cp:lastPrinted>
  <dcterms:created xsi:type="dcterms:W3CDTF">2023-11-23T17:42:00Z</dcterms:created>
  <dcterms:modified xsi:type="dcterms:W3CDTF">2024-01-30T18:47:00Z</dcterms:modified>
</cp:coreProperties>
</file>