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6C5F" w:rsidRPr="009F0A7F" w:rsidRDefault="009F0A7F" w:rsidP="00082137">
      <w:pPr>
        <w:rPr>
          <w:rFonts w:ascii="Arial" w:hAnsi="Arial" w:cs="Arial"/>
          <w:b/>
        </w:rPr>
      </w:pPr>
      <w:r w:rsidRPr="009F0A7F">
        <w:rPr>
          <w:rFonts w:ascii="Arial" w:hAnsi="Arial" w:cs="Arial"/>
          <w:b/>
        </w:rPr>
        <w:t>ACUERDO QUE, A PROPUESTA DE LA COMISIÓN PERMANENTE DE SEGUIMIENTO AL SERVICIO PROFESIONAL ELECTORAL NACIONAL CON CARÁCTER ADMINISTRATIVA, EMITE EL CONSEJO ESTATAL DEL INSTITUTO ELECTORAL Y DE PARTICIPACIÓN CIUDADANA, MEDIANTE EL CUAL APRUEBA LOS DICTÁMENES PARA EL OTORGAMIENTO DE INCENTIVO POR RENDIMIENTO 2024, CORRESPONDIENTE AL EJERCICIO VALORADO 2023, A MIEMBROS DEL SERVICIO PROFESIONAL ELECTORAL NACIONAL DEL PROPIO INSTITUTO</w:t>
      </w:r>
    </w:p>
    <w:p w:rsidR="00082137" w:rsidRPr="009F0A7F" w:rsidRDefault="00082137" w:rsidP="00082137">
      <w:pPr>
        <w:rPr>
          <w:rFonts w:ascii="Arial" w:hAnsi="Arial" w:cs="Arial"/>
        </w:rPr>
      </w:pPr>
      <w:r w:rsidRPr="009F0A7F">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81"/>
        <w:gridCol w:w="4462"/>
      </w:tblGrid>
      <w:tr w:rsidR="00082137" w:rsidRPr="009F0A7F" w:rsidTr="0050736D">
        <w:trPr>
          <w:trHeight w:val="624"/>
          <w:jc w:val="center"/>
        </w:trPr>
        <w:tc>
          <w:tcPr>
            <w:tcW w:w="2042" w:type="pct"/>
            <w:shd w:val="clear" w:color="auto" w:fill="auto"/>
            <w:vAlign w:val="center"/>
          </w:tcPr>
          <w:p w:rsidR="00082137" w:rsidRPr="009F0A7F" w:rsidRDefault="00082137" w:rsidP="00082137">
            <w:pPr>
              <w:spacing w:before="40" w:after="40"/>
              <w:jc w:val="right"/>
              <w:rPr>
                <w:rFonts w:ascii="Arial" w:hAnsi="Arial" w:cs="Arial"/>
                <w:b/>
                <w:sz w:val="20"/>
                <w:szCs w:val="20"/>
              </w:rPr>
            </w:pPr>
            <w:r w:rsidRPr="009F0A7F">
              <w:rPr>
                <w:rFonts w:ascii="Arial" w:hAnsi="Arial" w:cs="Arial"/>
                <w:b/>
                <w:sz w:val="20"/>
                <w:szCs w:val="20"/>
              </w:rPr>
              <w:t>Comisión de Seguimiento:</w:t>
            </w:r>
          </w:p>
        </w:tc>
        <w:tc>
          <w:tcPr>
            <w:tcW w:w="2958" w:type="pct"/>
            <w:shd w:val="clear" w:color="auto" w:fill="auto"/>
            <w:vAlign w:val="center"/>
          </w:tcPr>
          <w:p w:rsidR="00082137" w:rsidRPr="009F0A7F" w:rsidRDefault="00082137" w:rsidP="00082137">
            <w:pPr>
              <w:spacing w:before="40" w:after="40"/>
              <w:rPr>
                <w:rFonts w:ascii="Arial" w:hAnsi="Arial" w:cs="Arial"/>
                <w:sz w:val="20"/>
                <w:szCs w:val="20"/>
              </w:rPr>
            </w:pPr>
            <w:r w:rsidRPr="009F0A7F">
              <w:rPr>
                <w:rFonts w:ascii="Arial" w:hAnsi="Arial" w:cs="Arial"/>
                <w:sz w:val="20"/>
                <w:szCs w:val="20"/>
              </w:rPr>
              <w:t>Comisión de Seguimiento al Servicio Profesional Electoral Nacional con carácter administrativa.</w:t>
            </w:r>
          </w:p>
        </w:tc>
      </w:tr>
      <w:tr w:rsidR="00082137" w:rsidRPr="009F0A7F" w:rsidTr="0050736D">
        <w:trPr>
          <w:trHeight w:val="624"/>
          <w:jc w:val="center"/>
        </w:trPr>
        <w:tc>
          <w:tcPr>
            <w:tcW w:w="2042" w:type="pct"/>
            <w:shd w:val="clear" w:color="auto" w:fill="auto"/>
            <w:vAlign w:val="center"/>
          </w:tcPr>
          <w:p w:rsidR="00082137" w:rsidRPr="009F0A7F" w:rsidRDefault="00082137" w:rsidP="00082137">
            <w:pPr>
              <w:spacing w:before="40" w:after="40"/>
              <w:jc w:val="right"/>
              <w:rPr>
                <w:rFonts w:ascii="Arial" w:hAnsi="Arial" w:cs="Arial"/>
                <w:b/>
                <w:sz w:val="20"/>
                <w:szCs w:val="20"/>
              </w:rPr>
            </w:pPr>
            <w:r w:rsidRPr="009F0A7F">
              <w:rPr>
                <w:rFonts w:ascii="Arial" w:hAnsi="Arial" w:cs="Arial"/>
                <w:b/>
                <w:sz w:val="20"/>
                <w:szCs w:val="20"/>
              </w:rPr>
              <w:t>Consejo Estatal:</w:t>
            </w:r>
          </w:p>
        </w:tc>
        <w:tc>
          <w:tcPr>
            <w:tcW w:w="2958" w:type="pct"/>
            <w:shd w:val="clear" w:color="auto" w:fill="auto"/>
            <w:vAlign w:val="center"/>
          </w:tcPr>
          <w:p w:rsidR="00082137" w:rsidRPr="009F0A7F" w:rsidRDefault="00082137" w:rsidP="00082137">
            <w:pPr>
              <w:spacing w:before="40" w:after="40"/>
              <w:rPr>
                <w:rFonts w:ascii="Arial" w:hAnsi="Arial" w:cs="Arial"/>
                <w:sz w:val="20"/>
                <w:szCs w:val="20"/>
              </w:rPr>
            </w:pPr>
            <w:r w:rsidRPr="009F0A7F">
              <w:rPr>
                <w:rFonts w:ascii="Arial" w:hAnsi="Arial" w:cs="Arial"/>
                <w:sz w:val="20"/>
                <w:szCs w:val="20"/>
              </w:rPr>
              <w:t>Consejo Estatal del Instituto Electoral y de Participación Ciudadana de Tabasco.</w:t>
            </w:r>
          </w:p>
        </w:tc>
      </w:tr>
      <w:tr w:rsidR="00082137" w:rsidRPr="009F0A7F" w:rsidTr="0050736D">
        <w:trPr>
          <w:trHeight w:val="624"/>
          <w:jc w:val="center"/>
        </w:trPr>
        <w:tc>
          <w:tcPr>
            <w:tcW w:w="2042" w:type="pct"/>
            <w:shd w:val="clear" w:color="auto" w:fill="auto"/>
            <w:vAlign w:val="center"/>
          </w:tcPr>
          <w:p w:rsidR="00082137" w:rsidRPr="009F0A7F" w:rsidRDefault="00082137" w:rsidP="00082137">
            <w:pPr>
              <w:spacing w:before="40" w:after="40"/>
              <w:jc w:val="right"/>
              <w:rPr>
                <w:rFonts w:ascii="Arial" w:hAnsi="Arial" w:cs="Arial"/>
                <w:b/>
                <w:sz w:val="20"/>
                <w:szCs w:val="20"/>
              </w:rPr>
            </w:pPr>
            <w:r w:rsidRPr="009F0A7F">
              <w:rPr>
                <w:rFonts w:ascii="Arial" w:hAnsi="Arial" w:cs="Arial"/>
                <w:b/>
                <w:sz w:val="20"/>
                <w:szCs w:val="20"/>
              </w:rPr>
              <w:t>Constitución Federal:</w:t>
            </w:r>
          </w:p>
        </w:tc>
        <w:tc>
          <w:tcPr>
            <w:tcW w:w="2958" w:type="pct"/>
            <w:shd w:val="clear" w:color="auto" w:fill="auto"/>
            <w:vAlign w:val="center"/>
          </w:tcPr>
          <w:p w:rsidR="00082137" w:rsidRPr="009F0A7F" w:rsidRDefault="00082137" w:rsidP="00082137">
            <w:pPr>
              <w:spacing w:before="40" w:after="40"/>
              <w:rPr>
                <w:rFonts w:ascii="Arial" w:hAnsi="Arial" w:cs="Arial"/>
                <w:sz w:val="20"/>
                <w:szCs w:val="20"/>
              </w:rPr>
            </w:pPr>
            <w:r w:rsidRPr="009F0A7F">
              <w:rPr>
                <w:rFonts w:ascii="Arial" w:hAnsi="Arial" w:cs="Arial"/>
                <w:sz w:val="20"/>
                <w:szCs w:val="20"/>
              </w:rPr>
              <w:t>Constitución Política de los Estados Unidos Mexicanos.</w:t>
            </w:r>
          </w:p>
        </w:tc>
      </w:tr>
      <w:tr w:rsidR="00082137" w:rsidRPr="009F0A7F" w:rsidTr="0050736D">
        <w:trPr>
          <w:trHeight w:val="624"/>
          <w:jc w:val="center"/>
        </w:trPr>
        <w:tc>
          <w:tcPr>
            <w:tcW w:w="2042" w:type="pct"/>
            <w:shd w:val="clear" w:color="auto" w:fill="auto"/>
            <w:vAlign w:val="center"/>
          </w:tcPr>
          <w:p w:rsidR="00082137" w:rsidRPr="009F0A7F" w:rsidRDefault="00082137" w:rsidP="00082137">
            <w:pPr>
              <w:spacing w:before="40" w:after="40"/>
              <w:jc w:val="right"/>
              <w:rPr>
                <w:rFonts w:ascii="Arial" w:hAnsi="Arial" w:cs="Arial"/>
                <w:b/>
                <w:sz w:val="20"/>
                <w:szCs w:val="20"/>
              </w:rPr>
            </w:pPr>
            <w:r w:rsidRPr="009F0A7F">
              <w:rPr>
                <w:rFonts w:ascii="Arial" w:hAnsi="Arial" w:cs="Arial"/>
                <w:b/>
                <w:sz w:val="20"/>
                <w:szCs w:val="20"/>
              </w:rPr>
              <w:t>Constitución Local:</w:t>
            </w:r>
          </w:p>
        </w:tc>
        <w:tc>
          <w:tcPr>
            <w:tcW w:w="2958" w:type="pct"/>
            <w:shd w:val="clear" w:color="auto" w:fill="auto"/>
            <w:vAlign w:val="center"/>
          </w:tcPr>
          <w:p w:rsidR="00082137" w:rsidRPr="009F0A7F" w:rsidRDefault="00082137" w:rsidP="00082137">
            <w:pPr>
              <w:spacing w:before="40" w:after="40"/>
              <w:rPr>
                <w:rFonts w:ascii="Arial" w:hAnsi="Arial" w:cs="Arial"/>
                <w:sz w:val="20"/>
                <w:szCs w:val="20"/>
              </w:rPr>
            </w:pPr>
            <w:r w:rsidRPr="009F0A7F">
              <w:rPr>
                <w:rFonts w:ascii="Arial" w:hAnsi="Arial" w:cs="Arial"/>
                <w:sz w:val="20"/>
                <w:szCs w:val="20"/>
              </w:rPr>
              <w:t>Constitución Política del Estado Libre y Soberano de Tabasco.</w:t>
            </w:r>
          </w:p>
        </w:tc>
      </w:tr>
      <w:tr w:rsidR="00082137" w:rsidRPr="009F0A7F" w:rsidTr="0050736D">
        <w:trPr>
          <w:trHeight w:val="624"/>
          <w:jc w:val="center"/>
        </w:trPr>
        <w:tc>
          <w:tcPr>
            <w:tcW w:w="2042" w:type="pct"/>
            <w:shd w:val="clear" w:color="auto" w:fill="auto"/>
            <w:vAlign w:val="center"/>
          </w:tcPr>
          <w:p w:rsidR="00082137" w:rsidRPr="009F0A7F" w:rsidRDefault="00082137" w:rsidP="00082137">
            <w:pPr>
              <w:spacing w:before="40" w:after="40"/>
              <w:jc w:val="right"/>
              <w:rPr>
                <w:rFonts w:ascii="Arial" w:hAnsi="Arial" w:cs="Arial"/>
                <w:b/>
                <w:sz w:val="20"/>
                <w:szCs w:val="20"/>
              </w:rPr>
            </w:pPr>
            <w:r w:rsidRPr="009F0A7F">
              <w:rPr>
                <w:rFonts w:ascii="Arial" w:hAnsi="Arial" w:cs="Arial"/>
                <w:b/>
                <w:sz w:val="20"/>
                <w:szCs w:val="20"/>
              </w:rPr>
              <w:t>Estatuto:</w:t>
            </w:r>
          </w:p>
        </w:tc>
        <w:tc>
          <w:tcPr>
            <w:tcW w:w="2958" w:type="pct"/>
            <w:shd w:val="clear" w:color="auto" w:fill="auto"/>
            <w:vAlign w:val="center"/>
          </w:tcPr>
          <w:p w:rsidR="00082137" w:rsidRPr="009F0A7F" w:rsidRDefault="00082137" w:rsidP="00082137">
            <w:pPr>
              <w:spacing w:before="40" w:after="40"/>
              <w:rPr>
                <w:rFonts w:ascii="Arial" w:hAnsi="Arial" w:cs="Arial"/>
                <w:sz w:val="20"/>
                <w:szCs w:val="20"/>
              </w:rPr>
            </w:pPr>
            <w:r w:rsidRPr="009F0A7F">
              <w:rPr>
                <w:rFonts w:ascii="Arial" w:hAnsi="Arial" w:cs="Arial"/>
                <w:sz w:val="20"/>
                <w:szCs w:val="20"/>
              </w:rPr>
              <w:t>Estatuto del Servicio Profesional Electoral Nacional y del Personal de la Rama Administrativa.</w:t>
            </w:r>
          </w:p>
        </w:tc>
      </w:tr>
      <w:tr w:rsidR="00082137" w:rsidRPr="009F0A7F" w:rsidTr="0050736D">
        <w:trPr>
          <w:trHeight w:val="624"/>
          <w:jc w:val="center"/>
        </w:trPr>
        <w:tc>
          <w:tcPr>
            <w:tcW w:w="2042" w:type="pct"/>
            <w:shd w:val="clear" w:color="auto" w:fill="auto"/>
            <w:vAlign w:val="center"/>
          </w:tcPr>
          <w:p w:rsidR="00082137" w:rsidRPr="009F0A7F" w:rsidRDefault="00082137" w:rsidP="00082137">
            <w:pPr>
              <w:spacing w:before="40" w:after="40"/>
              <w:jc w:val="right"/>
              <w:rPr>
                <w:rFonts w:ascii="Arial" w:hAnsi="Arial" w:cs="Arial"/>
                <w:b/>
                <w:sz w:val="20"/>
                <w:szCs w:val="20"/>
              </w:rPr>
            </w:pPr>
            <w:r w:rsidRPr="009F0A7F">
              <w:rPr>
                <w:rFonts w:ascii="Arial" w:hAnsi="Arial" w:cs="Arial"/>
                <w:b/>
                <w:sz w:val="20"/>
                <w:szCs w:val="20"/>
              </w:rPr>
              <w:t>INE:</w:t>
            </w:r>
          </w:p>
        </w:tc>
        <w:tc>
          <w:tcPr>
            <w:tcW w:w="2958" w:type="pct"/>
            <w:shd w:val="clear" w:color="auto" w:fill="auto"/>
            <w:vAlign w:val="center"/>
          </w:tcPr>
          <w:p w:rsidR="00082137" w:rsidRPr="009F0A7F" w:rsidRDefault="00082137" w:rsidP="00082137">
            <w:pPr>
              <w:spacing w:before="40" w:after="40"/>
              <w:rPr>
                <w:rFonts w:ascii="Arial" w:hAnsi="Arial" w:cs="Arial"/>
                <w:sz w:val="20"/>
                <w:szCs w:val="20"/>
              </w:rPr>
            </w:pPr>
            <w:r w:rsidRPr="009F0A7F">
              <w:rPr>
                <w:rFonts w:ascii="Arial" w:hAnsi="Arial" w:cs="Arial"/>
                <w:sz w:val="20"/>
                <w:szCs w:val="20"/>
              </w:rPr>
              <w:t>Instituto Nacional Electoral.</w:t>
            </w:r>
          </w:p>
        </w:tc>
      </w:tr>
      <w:tr w:rsidR="00082137" w:rsidRPr="009F0A7F" w:rsidTr="0050736D">
        <w:trPr>
          <w:trHeight w:val="624"/>
          <w:jc w:val="center"/>
        </w:trPr>
        <w:tc>
          <w:tcPr>
            <w:tcW w:w="2042" w:type="pct"/>
            <w:shd w:val="clear" w:color="auto" w:fill="auto"/>
            <w:vAlign w:val="center"/>
          </w:tcPr>
          <w:p w:rsidR="00082137" w:rsidRPr="009F0A7F" w:rsidRDefault="00082137" w:rsidP="00082137">
            <w:pPr>
              <w:spacing w:before="40" w:after="40"/>
              <w:jc w:val="right"/>
              <w:rPr>
                <w:rFonts w:ascii="Arial" w:hAnsi="Arial" w:cs="Arial"/>
                <w:b/>
                <w:sz w:val="20"/>
                <w:szCs w:val="20"/>
              </w:rPr>
            </w:pPr>
            <w:r w:rsidRPr="009F0A7F">
              <w:rPr>
                <w:rFonts w:ascii="Arial" w:hAnsi="Arial" w:cs="Arial"/>
                <w:b/>
                <w:sz w:val="20"/>
                <w:szCs w:val="20"/>
              </w:rPr>
              <w:t>Instituto:</w:t>
            </w:r>
          </w:p>
        </w:tc>
        <w:tc>
          <w:tcPr>
            <w:tcW w:w="2958" w:type="pct"/>
            <w:shd w:val="clear" w:color="auto" w:fill="auto"/>
          </w:tcPr>
          <w:p w:rsidR="00082137" w:rsidRPr="009F0A7F" w:rsidRDefault="00082137" w:rsidP="00082137">
            <w:pPr>
              <w:spacing w:before="40" w:after="40"/>
              <w:rPr>
                <w:rFonts w:ascii="Arial" w:hAnsi="Arial" w:cs="Arial"/>
                <w:sz w:val="20"/>
                <w:szCs w:val="20"/>
              </w:rPr>
            </w:pPr>
            <w:r w:rsidRPr="009F0A7F">
              <w:rPr>
                <w:rFonts w:ascii="Arial" w:hAnsi="Arial" w:cs="Arial"/>
                <w:sz w:val="20"/>
                <w:szCs w:val="20"/>
              </w:rPr>
              <w:t>Instituto Electoral y de Participación Ciudadana de Tabasco.</w:t>
            </w:r>
          </w:p>
        </w:tc>
      </w:tr>
      <w:tr w:rsidR="00082137" w:rsidRPr="009F0A7F" w:rsidTr="0050736D">
        <w:trPr>
          <w:trHeight w:val="624"/>
          <w:jc w:val="center"/>
        </w:trPr>
        <w:tc>
          <w:tcPr>
            <w:tcW w:w="2042" w:type="pct"/>
            <w:shd w:val="clear" w:color="auto" w:fill="auto"/>
            <w:vAlign w:val="center"/>
          </w:tcPr>
          <w:p w:rsidR="00082137" w:rsidRPr="009F0A7F" w:rsidRDefault="00082137" w:rsidP="00082137">
            <w:pPr>
              <w:spacing w:before="40" w:after="40"/>
              <w:jc w:val="right"/>
              <w:rPr>
                <w:rFonts w:ascii="Arial" w:hAnsi="Arial" w:cs="Arial"/>
                <w:b/>
                <w:sz w:val="20"/>
                <w:szCs w:val="20"/>
              </w:rPr>
            </w:pPr>
            <w:r w:rsidRPr="009F0A7F">
              <w:rPr>
                <w:rFonts w:ascii="Arial" w:hAnsi="Arial" w:cs="Arial"/>
                <w:b/>
                <w:sz w:val="20"/>
                <w:szCs w:val="20"/>
              </w:rPr>
              <w:t>Ley Electoral:</w:t>
            </w:r>
          </w:p>
        </w:tc>
        <w:tc>
          <w:tcPr>
            <w:tcW w:w="2958" w:type="pct"/>
            <w:shd w:val="clear" w:color="auto" w:fill="auto"/>
            <w:vAlign w:val="center"/>
          </w:tcPr>
          <w:p w:rsidR="00082137" w:rsidRPr="009F0A7F" w:rsidRDefault="00082137" w:rsidP="00082137">
            <w:pPr>
              <w:spacing w:before="40" w:after="40"/>
              <w:rPr>
                <w:rFonts w:ascii="Arial" w:hAnsi="Arial" w:cs="Arial"/>
                <w:sz w:val="20"/>
                <w:szCs w:val="20"/>
              </w:rPr>
            </w:pPr>
            <w:r w:rsidRPr="009F0A7F">
              <w:rPr>
                <w:rFonts w:ascii="Arial" w:hAnsi="Arial" w:cs="Arial"/>
                <w:sz w:val="20"/>
                <w:szCs w:val="20"/>
              </w:rPr>
              <w:t>Ley Electoral y de Partidos Políticos del Estado de Tabasco.</w:t>
            </w:r>
          </w:p>
        </w:tc>
      </w:tr>
      <w:tr w:rsidR="00082137" w:rsidRPr="009F0A7F" w:rsidTr="0050736D">
        <w:trPr>
          <w:trHeight w:val="624"/>
          <w:jc w:val="center"/>
        </w:trPr>
        <w:tc>
          <w:tcPr>
            <w:tcW w:w="2042" w:type="pct"/>
            <w:shd w:val="clear" w:color="auto" w:fill="auto"/>
            <w:vAlign w:val="center"/>
          </w:tcPr>
          <w:p w:rsidR="00082137" w:rsidRPr="009F0A7F" w:rsidRDefault="00082137" w:rsidP="00082137">
            <w:pPr>
              <w:spacing w:before="40" w:after="40"/>
              <w:jc w:val="right"/>
              <w:rPr>
                <w:rFonts w:ascii="Arial" w:hAnsi="Arial" w:cs="Arial"/>
                <w:b/>
                <w:sz w:val="20"/>
                <w:szCs w:val="20"/>
              </w:rPr>
            </w:pPr>
            <w:r w:rsidRPr="009F0A7F">
              <w:rPr>
                <w:rFonts w:ascii="Arial" w:hAnsi="Arial" w:cs="Arial"/>
                <w:b/>
                <w:sz w:val="20"/>
                <w:szCs w:val="20"/>
              </w:rPr>
              <w:t>Ley General:</w:t>
            </w:r>
          </w:p>
        </w:tc>
        <w:tc>
          <w:tcPr>
            <w:tcW w:w="2958" w:type="pct"/>
            <w:shd w:val="clear" w:color="auto" w:fill="auto"/>
            <w:vAlign w:val="center"/>
          </w:tcPr>
          <w:p w:rsidR="00082137" w:rsidRPr="009F0A7F" w:rsidRDefault="00082137" w:rsidP="00082137">
            <w:pPr>
              <w:spacing w:before="40" w:after="40"/>
              <w:rPr>
                <w:rFonts w:ascii="Arial" w:hAnsi="Arial" w:cs="Arial"/>
                <w:sz w:val="20"/>
                <w:szCs w:val="20"/>
              </w:rPr>
            </w:pPr>
            <w:r w:rsidRPr="009F0A7F">
              <w:rPr>
                <w:rFonts w:ascii="Arial" w:hAnsi="Arial" w:cs="Arial"/>
                <w:sz w:val="20"/>
                <w:szCs w:val="20"/>
              </w:rPr>
              <w:t>Ley General de Instituciones y Procedimientos Electorales.</w:t>
            </w:r>
          </w:p>
        </w:tc>
      </w:tr>
      <w:tr w:rsidR="00082137" w:rsidRPr="009F0A7F" w:rsidTr="0050736D">
        <w:trPr>
          <w:trHeight w:val="624"/>
          <w:jc w:val="center"/>
        </w:trPr>
        <w:tc>
          <w:tcPr>
            <w:tcW w:w="2042" w:type="pct"/>
            <w:shd w:val="clear" w:color="auto" w:fill="auto"/>
            <w:vAlign w:val="center"/>
          </w:tcPr>
          <w:p w:rsidR="00082137" w:rsidRPr="009F0A7F" w:rsidRDefault="00082137" w:rsidP="00082137">
            <w:pPr>
              <w:spacing w:before="40" w:after="40"/>
              <w:jc w:val="right"/>
              <w:rPr>
                <w:rFonts w:ascii="Arial" w:hAnsi="Arial" w:cs="Arial"/>
                <w:b/>
                <w:sz w:val="20"/>
                <w:szCs w:val="20"/>
              </w:rPr>
            </w:pPr>
            <w:r w:rsidRPr="009F0A7F">
              <w:rPr>
                <w:rFonts w:ascii="Arial" w:hAnsi="Arial" w:cs="Arial"/>
                <w:b/>
                <w:sz w:val="20"/>
                <w:szCs w:val="20"/>
              </w:rPr>
              <w:t>Lineamientos:</w:t>
            </w:r>
          </w:p>
        </w:tc>
        <w:tc>
          <w:tcPr>
            <w:tcW w:w="2958" w:type="pct"/>
            <w:shd w:val="clear" w:color="auto" w:fill="auto"/>
            <w:vAlign w:val="center"/>
          </w:tcPr>
          <w:p w:rsidR="00082137" w:rsidRPr="009F0A7F" w:rsidRDefault="00082137" w:rsidP="00082137">
            <w:pPr>
              <w:spacing w:before="40" w:after="40"/>
              <w:rPr>
                <w:rFonts w:ascii="Arial" w:hAnsi="Arial" w:cs="Arial"/>
                <w:sz w:val="20"/>
                <w:szCs w:val="20"/>
              </w:rPr>
            </w:pPr>
            <w:r w:rsidRPr="009F0A7F">
              <w:rPr>
                <w:rFonts w:ascii="Arial" w:hAnsi="Arial" w:cs="Arial"/>
                <w:sz w:val="20"/>
                <w:szCs w:val="20"/>
              </w:rPr>
              <w:t>Lineamientos para el otorgamiento de Incentivos al personal del Servicio Profesional Electoral Nacional en el Sistema de los Organismos Públicos Locales Electorales.</w:t>
            </w:r>
          </w:p>
        </w:tc>
      </w:tr>
      <w:tr w:rsidR="00082137" w:rsidRPr="009F0A7F" w:rsidTr="0050736D">
        <w:trPr>
          <w:trHeight w:val="624"/>
          <w:jc w:val="center"/>
        </w:trPr>
        <w:tc>
          <w:tcPr>
            <w:tcW w:w="2042" w:type="pct"/>
            <w:shd w:val="clear" w:color="auto" w:fill="auto"/>
            <w:vAlign w:val="center"/>
          </w:tcPr>
          <w:p w:rsidR="00082137" w:rsidRPr="009F0A7F" w:rsidRDefault="00082137" w:rsidP="00082137">
            <w:pPr>
              <w:spacing w:before="40" w:after="40"/>
              <w:jc w:val="right"/>
              <w:rPr>
                <w:rFonts w:ascii="Arial" w:hAnsi="Arial" w:cs="Arial"/>
                <w:b/>
                <w:sz w:val="20"/>
                <w:szCs w:val="20"/>
              </w:rPr>
            </w:pPr>
            <w:r w:rsidRPr="009F0A7F">
              <w:rPr>
                <w:rFonts w:ascii="Arial" w:hAnsi="Arial" w:cs="Arial"/>
                <w:b/>
                <w:sz w:val="20"/>
                <w:szCs w:val="20"/>
              </w:rPr>
              <w:lastRenderedPageBreak/>
              <w:t>Organismo(s) Electoral(es):</w:t>
            </w:r>
          </w:p>
        </w:tc>
        <w:tc>
          <w:tcPr>
            <w:tcW w:w="2958" w:type="pct"/>
            <w:shd w:val="clear" w:color="auto" w:fill="auto"/>
            <w:vAlign w:val="center"/>
          </w:tcPr>
          <w:p w:rsidR="00082137" w:rsidRPr="009F0A7F" w:rsidRDefault="00082137" w:rsidP="00082137">
            <w:pPr>
              <w:spacing w:before="40" w:after="40"/>
              <w:rPr>
                <w:rFonts w:ascii="Arial" w:hAnsi="Arial" w:cs="Arial"/>
                <w:sz w:val="20"/>
                <w:szCs w:val="20"/>
              </w:rPr>
            </w:pPr>
            <w:r w:rsidRPr="009F0A7F">
              <w:rPr>
                <w:rFonts w:ascii="Arial" w:hAnsi="Arial" w:cs="Arial"/>
                <w:sz w:val="20"/>
                <w:szCs w:val="20"/>
              </w:rPr>
              <w:t>Organismo(s) Público(s) Local(es) Electoral(es).</w:t>
            </w:r>
          </w:p>
        </w:tc>
      </w:tr>
      <w:tr w:rsidR="00082137" w:rsidRPr="009F0A7F" w:rsidTr="0050736D">
        <w:trPr>
          <w:trHeight w:val="624"/>
          <w:jc w:val="center"/>
        </w:trPr>
        <w:tc>
          <w:tcPr>
            <w:tcW w:w="2042" w:type="pct"/>
            <w:shd w:val="clear" w:color="auto" w:fill="auto"/>
            <w:vAlign w:val="center"/>
          </w:tcPr>
          <w:p w:rsidR="00082137" w:rsidRPr="009F0A7F" w:rsidRDefault="00082137" w:rsidP="00082137">
            <w:pPr>
              <w:spacing w:before="40" w:after="40"/>
              <w:jc w:val="right"/>
              <w:rPr>
                <w:rFonts w:ascii="Arial" w:hAnsi="Arial" w:cs="Arial"/>
                <w:b/>
                <w:sz w:val="20"/>
                <w:szCs w:val="20"/>
              </w:rPr>
            </w:pPr>
            <w:r w:rsidRPr="009F0A7F">
              <w:rPr>
                <w:rFonts w:ascii="Arial" w:hAnsi="Arial" w:cs="Arial"/>
                <w:b/>
                <w:sz w:val="20"/>
                <w:szCs w:val="20"/>
              </w:rPr>
              <w:t>Órgano de Enlace:</w:t>
            </w:r>
          </w:p>
        </w:tc>
        <w:tc>
          <w:tcPr>
            <w:tcW w:w="2958" w:type="pct"/>
            <w:shd w:val="clear" w:color="auto" w:fill="auto"/>
            <w:vAlign w:val="center"/>
          </w:tcPr>
          <w:p w:rsidR="00082137" w:rsidRPr="009F0A7F" w:rsidRDefault="00082137" w:rsidP="00082137">
            <w:pPr>
              <w:spacing w:before="40" w:after="40"/>
              <w:rPr>
                <w:rFonts w:ascii="Arial" w:hAnsi="Arial" w:cs="Arial"/>
                <w:sz w:val="20"/>
                <w:szCs w:val="20"/>
              </w:rPr>
            </w:pPr>
            <w:r w:rsidRPr="009F0A7F">
              <w:rPr>
                <w:rFonts w:ascii="Arial" w:hAnsi="Arial" w:cs="Arial"/>
                <w:sz w:val="20"/>
                <w:szCs w:val="20"/>
              </w:rPr>
              <w:t>Órgano de Enlace del Instituto Electoral y de Participación Ciudadana de Tabasco.</w:t>
            </w:r>
          </w:p>
        </w:tc>
      </w:tr>
      <w:tr w:rsidR="00082137" w:rsidRPr="009F0A7F" w:rsidTr="0050736D">
        <w:trPr>
          <w:trHeight w:val="624"/>
          <w:jc w:val="center"/>
        </w:trPr>
        <w:tc>
          <w:tcPr>
            <w:tcW w:w="2042" w:type="pct"/>
            <w:shd w:val="clear" w:color="auto" w:fill="auto"/>
            <w:vAlign w:val="center"/>
          </w:tcPr>
          <w:p w:rsidR="00082137" w:rsidRPr="009F0A7F" w:rsidRDefault="00082137" w:rsidP="00082137">
            <w:pPr>
              <w:spacing w:before="40" w:after="40"/>
              <w:jc w:val="right"/>
              <w:rPr>
                <w:rFonts w:ascii="Arial" w:hAnsi="Arial" w:cs="Arial"/>
                <w:b/>
                <w:sz w:val="20"/>
                <w:szCs w:val="20"/>
              </w:rPr>
            </w:pPr>
            <w:r w:rsidRPr="009F0A7F">
              <w:rPr>
                <w:rFonts w:ascii="Arial" w:hAnsi="Arial" w:cs="Arial"/>
                <w:b/>
                <w:sz w:val="20"/>
                <w:szCs w:val="20"/>
              </w:rPr>
              <w:t>Reglamento de Comisiones:</w:t>
            </w:r>
          </w:p>
        </w:tc>
        <w:tc>
          <w:tcPr>
            <w:tcW w:w="2958" w:type="pct"/>
            <w:shd w:val="clear" w:color="auto" w:fill="auto"/>
            <w:vAlign w:val="center"/>
          </w:tcPr>
          <w:p w:rsidR="00082137" w:rsidRPr="009F0A7F" w:rsidRDefault="00082137" w:rsidP="00082137">
            <w:pPr>
              <w:spacing w:before="40" w:after="40"/>
              <w:rPr>
                <w:rFonts w:ascii="Arial" w:hAnsi="Arial" w:cs="Arial"/>
                <w:sz w:val="20"/>
                <w:szCs w:val="20"/>
              </w:rPr>
            </w:pPr>
            <w:r w:rsidRPr="009F0A7F">
              <w:rPr>
                <w:rFonts w:ascii="Arial" w:hAnsi="Arial" w:cs="Arial"/>
                <w:sz w:val="20"/>
                <w:szCs w:val="20"/>
              </w:rPr>
              <w:t>Reglamento de Comisiones del Consejo Estatal del Instituto Electoral y de Participación Ciudadana de Tabasco.</w:t>
            </w:r>
          </w:p>
        </w:tc>
      </w:tr>
      <w:tr w:rsidR="00082137" w:rsidRPr="009F0A7F" w:rsidTr="0050736D">
        <w:trPr>
          <w:trHeight w:val="624"/>
          <w:jc w:val="center"/>
        </w:trPr>
        <w:tc>
          <w:tcPr>
            <w:tcW w:w="2042" w:type="pct"/>
            <w:shd w:val="clear" w:color="auto" w:fill="auto"/>
            <w:vAlign w:val="center"/>
          </w:tcPr>
          <w:p w:rsidR="00082137" w:rsidRPr="009F0A7F" w:rsidRDefault="00082137" w:rsidP="00082137">
            <w:pPr>
              <w:spacing w:before="40" w:after="40"/>
              <w:jc w:val="right"/>
              <w:rPr>
                <w:rFonts w:ascii="Arial" w:hAnsi="Arial" w:cs="Arial"/>
                <w:b/>
                <w:sz w:val="20"/>
                <w:szCs w:val="20"/>
              </w:rPr>
            </w:pPr>
            <w:r w:rsidRPr="009F0A7F">
              <w:rPr>
                <w:rFonts w:ascii="Arial" w:hAnsi="Arial" w:cs="Arial"/>
                <w:b/>
                <w:sz w:val="20"/>
                <w:szCs w:val="20"/>
              </w:rPr>
              <w:t>Reglamento de Elecciones:</w:t>
            </w:r>
          </w:p>
        </w:tc>
        <w:tc>
          <w:tcPr>
            <w:tcW w:w="2958" w:type="pct"/>
            <w:shd w:val="clear" w:color="auto" w:fill="auto"/>
            <w:vAlign w:val="center"/>
          </w:tcPr>
          <w:p w:rsidR="00082137" w:rsidRPr="009F0A7F" w:rsidRDefault="00082137" w:rsidP="00082137">
            <w:pPr>
              <w:spacing w:before="40" w:after="40"/>
              <w:rPr>
                <w:rFonts w:ascii="Arial" w:hAnsi="Arial" w:cs="Arial"/>
                <w:sz w:val="20"/>
                <w:szCs w:val="20"/>
              </w:rPr>
            </w:pPr>
            <w:r w:rsidRPr="009F0A7F">
              <w:rPr>
                <w:rFonts w:ascii="Arial" w:hAnsi="Arial" w:cs="Arial"/>
                <w:sz w:val="20"/>
                <w:szCs w:val="20"/>
              </w:rPr>
              <w:t>Reglamento de Elecciones del Instituto Nacional Electoral.</w:t>
            </w:r>
          </w:p>
        </w:tc>
      </w:tr>
      <w:tr w:rsidR="00082137" w:rsidRPr="009F0A7F" w:rsidTr="0050736D">
        <w:trPr>
          <w:trHeight w:val="624"/>
          <w:jc w:val="center"/>
        </w:trPr>
        <w:tc>
          <w:tcPr>
            <w:tcW w:w="2042" w:type="pct"/>
            <w:shd w:val="clear" w:color="auto" w:fill="auto"/>
            <w:vAlign w:val="center"/>
          </w:tcPr>
          <w:p w:rsidR="00082137" w:rsidRPr="009F0A7F" w:rsidRDefault="00082137" w:rsidP="00082137">
            <w:pPr>
              <w:spacing w:before="40" w:after="40"/>
              <w:jc w:val="right"/>
              <w:rPr>
                <w:rFonts w:ascii="Arial" w:hAnsi="Arial" w:cs="Arial"/>
                <w:b/>
                <w:sz w:val="20"/>
                <w:szCs w:val="20"/>
              </w:rPr>
            </w:pPr>
            <w:r w:rsidRPr="009F0A7F">
              <w:rPr>
                <w:rFonts w:ascii="Arial" w:hAnsi="Arial" w:cs="Arial"/>
                <w:b/>
                <w:sz w:val="20"/>
                <w:szCs w:val="20"/>
              </w:rPr>
              <w:t>Secretaría Ejecutiva:</w:t>
            </w:r>
          </w:p>
        </w:tc>
        <w:tc>
          <w:tcPr>
            <w:tcW w:w="2958" w:type="pct"/>
            <w:shd w:val="clear" w:color="auto" w:fill="auto"/>
            <w:vAlign w:val="center"/>
          </w:tcPr>
          <w:p w:rsidR="00082137" w:rsidRPr="009F0A7F" w:rsidRDefault="00082137" w:rsidP="00082137">
            <w:pPr>
              <w:spacing w:before="40" w:after="40"/>
              <w:rPr>
                <w:rFonts w:ascii="Arial" w:hAnsi="Arial" w:cs="Arial"/>
                <w:sz w:val="20"/>
                <w:szCs w:val="20"/>
              </w:rPr>
            </w:pPr>
            <w:r w:rsidRPr="009F0A7F">
              <w:rPr>
                <w:rFonts w:ascii="Arial" w:hAnsi="Arial" w:cs="Arial"/>
                <w:sz w:val="20"/>
                <w:szCs w:val="20"/>
              </w:rPr>
              <w:t>Secretaría Ejecutiva del Instituto Electoral y de Participación Ciudadana de Tabasco.</w:t>
            </w:r>
          </w:p>
        </w:tc>
      </w:tr>
      <w:tr w:rsidR="00082137" w:rsidRPr="009F0A7F" w:rsidTr="0050736D">
        <w:trPr>
          <w:trHeight w:val="624"/>
          <w:jc w:val="center"/>
        </w:trPr>
        <w:tc>
          <w:tcPr>
            <w:tcW w:w="2042" w:type="pct"/>
            <w:shd w:val="clear" w:color="auto" w:fill="auto"/>
            <w:vAlign w:val="center"/>
          </w:tcPr>
          <w:p w:rsidR="00082137" w:rsidRPr="009F0A7F" w:rsidRDefault="00082137" w:rsidP="00082137">
            <w:pPr>
              <w:spacing w:before="40" w:after="40"/>
              <w:jc w:val="right"/>
              <w:rPr>
                <w:rFonts w:ascii="Arial" w:hAnsi="Arial" w:cs="Arial"/>
                <w:b/>
                <w:sz w:val="20"/>
                <w:szCs w:val="20"/>
              </w:rPr>
            </w:pPr>
            <w:r w:rsidRPr="009F0A7F">
              <w:rPr>
                <w:rFonts w:ascii="Arial" w:hAnsi="Arial" w:cs="Arial"/>
                <w:b/>
                <w:sz w:val="20"/>
                <w:szCs w:val="20"/>
              </w:rPr>
              <w:t xml:space="preserve">Servicio Profesional: </w:t>
            </w:r>
          </w:p>
        </w:tc>
        <w:tc>
          <w:tcPr>
            <w:tcW w:w="2958" w:type="pct"/>
            <w:shd w:val="clear" w:color="auto" w:fill="auto"/>
            <w:vAlign w:val="center"/>
          </w:tcPr>
          <w:p w:rsidR="00082137" w:rsidRPr="009F0A7F" w:rsidRDefault="00082137" w:rsidP="00082137">
            <w:pPr>
              <w:spacing w:before="40" w:after="40"/>
              <w:rPr>
                <w:rFonts w:ascii="Arial" w:hAnsi="Arial" w:cs="Arial"/>
                <w:sz w:val="20"/>
                <w:szCs w:val="20"/>
              </w:rPr>
            </w:pPr>
            <w:r w:rsidRPr="009F0A7F">
              <w:rPr>
                <w:rFonts w:ascii="Arial" w:hAnsi="Arial" w:cs="Arial"/>
                <w:sz w:val="20"/>
                <w:szCs w:val="20"/>
              </w:rPr>
              <w:t>Servicio Profesional Electoral Nacional.</w:t>
            </w:r>
          </w:p>
        </w:tc>
      </w:tr>
    </w:tbl>
    <w:p w:rsidR="00082137" w:rsidRPr="009F0A7F" w:rsidRDefault="00082137" w:rsidP="009664AB">
      <w:pPr>
        <w:pStyle w:val="Ttulo1"/>
        <w:rPr>
          <w:rFonts w:ascii="Arial" w:hAnsi="Arial" w:cs="Arial"/>
          <w:sz w:val="24"/>
          <w:szCs w:val="24"/>
        </w:rPr>
      </w:pPr>
      <w:r w:rsidRPr="009F0A7F">
        <w:rPr>
          <w:rFonts w:ascii="Arial" w:hAnsi="Arial" w:cs="Arial"/>
          <w:sz w:val="24"/>
          <w:szCs w:val="24"/>
        </w:rPr>
        <w:t>Antecedentes</w:t>
      </w:r>
    </w:p>
    <w:p w:rsidR="00082137" w:rsidRPr="009F0A7F" w:rsidRDefault="00082137" w:rsidP="00082137">
      <w:pPr>
        <w:pStyle w:val="Ttulo2"/>
        <w:rPr>
          <w:rFonts w:ascii="Arial" w:hAnsi="Arial" w:cs="Arial"/>
          <w:sz w:val="23"/>
          <w:szCs w:val="23"/>
        </w:rPr>
      </w:pPr>
      <w:r w:rsidRPr="009F0A7F">
        <w:rPr>
          <w:rFonts w:ascii="Arial" w:hAnsi="Arial" w:cs="Arial"/>
          <w:sz w:val="23"/>
          <w:szCs w:val="23"/>
        </w:rPr>
        <w:t>Lineamientos</w:t>
      </w:r>
    </w:p>
    <w:p w:rsidR="00082137" w:rsidRPr="009F0A7F" w:rsidRDefault="00082137" w:rsidP="00082137">
      <w:pPr>
        <w:rPr>
          <w:rFonts w:ascii="Arial" w:hAnsi="Arial" w:cs="Arial"/>
          <w:sz w:val="23"/>
          <w:szCs w:val="23"/>
        </w:rPr>
      </w:pPr>
      <w:r w:rsidRPr="009F0A7F">
        <w:rPr>
          <w:rFonts w:ascii="Arial" w:hAnsi="Arial" w:cs="Arial"/>
          <w:sz w:val="23"/>
          <w:szCs w:val="23"/>
        </w:rPr>
        <w:t>El 19 de marzo de 2021, la Junta General del INE aprobó el acuerdo INE/JGE53/2021, emitiendo los Lineamientos para el otorgamiento de Incentivos al personal del Servicio Profesional Electoral Nacional en el Sistema de los Organismos Públicos Locales Electorales.</w:t>
      </w:r>
    </w:p>
    <w:p w:rsidR="00082137" w:rsidRPr="009F0A7F" w:rsidRDefault="00082137" w:rsidP="00082137">
      <w:pPr>
        <w:pStyle w:val="Ttulo2"/>
        <w:rPr>
          <w:rFonts w:ascii="Arial" w:hAnsi="Arial" w:cs="Arial"/>
          <w:sz w:val="23"/>
          <w:szCs w:val="23"/>
        </w:rPr>
      </w:pPr>
      <w:r w:rsidRPr="009F0A7F">
        <w:rPr>
          <w:rFonts w:ascii="Arial" w:hAnsi="Arial" w:cs="Arial"/>
          <w:sz w:val="23"/>
          <w:szCs w:val="23"/>
        </w:rPr>
        <w:t>Programa de incentivos</w:t>
      </w:r>
    </w:p>
    <w:p w:rsidR="00082137" w:rsidRPr="009F0A7F" w:rsidRDefault="00082137" w:rsidP="00082137">
      <w:pPr>
        <w:rPr>
          <w:rFonts w:ascii="Arial" w:hAnsi="Arial" w:cs="Arial"/>
          <w:sz w:val="23"/>
          <w:szCs w:val="23"/>
        </w:rPr>
      </w:pPr>
      <w:r w:rsidRPr="009F0A7F">
        <w:rPr>
          <w:rFonts w:ascii="Arial" w:hAnsi="Arial" w:cs="Arial"/>
          <w:sz w:val="23"/>
          <w:szCs w:val="23"/>
        </w:rPr>
        <w:t>El 26 de agosto de 2021, mediante acuerdo CE/2021/080, el Consejo Estatal aprobó el Programa de Incentivos a partir del 2022, para el ejercicio valorado 2021 y los subsecuentes, que corresponde al personal del Servicio Profesional de este Instituto Electoral.</w:t>
      </w:r>
    </w:p>
    <w:p w:rsidR="00082137" w:rsidRDefault="00082137" w:rsidP="00082137">
      <w:pPr>
        <w:rPr>
          <w:rFonts w:ascii="Arial" w:hAnsi="Arial" w:cs="Arial"/>
          <w:sz w:val="23"/>
          <w:szCs w:val="23"/>
        </w:rPr>
      </w:pPr>
      <w:r w:rsidRPr="009F0A7F">
        <w:rPr>
          <w:rFonts w:ascii="Arial" w:hAnsi="Arial" w:cs="Arial"/>
          <w:sz w:val="23"/>
          <w:szCs w:val="23"/>
        </w:rPr>
        <w:t>El Programa en cita, se ratificó para el periodo 202</w:t>
      </w:r>
      <w:r w:rsidR="009A2577" w:rsidRPr="009F0A7F">
        <w:rPr>
          <w:rFonts w:ascii="Arial" w:hAnsi="Arial" w:cs="Arial"/>
          <w:sz w:val="23"/>
          <w:szCs w:val="23"/>
        </w:rPr>
        <w:t>4</w:t>
      </w:r>
      <w:r w:rsidRPr="009F0A7F">
        <w:rPr>
          <w:rFonts w:ascii="Arial" w:hAnsi="Arial" w:cs="Arial"/>
          <w:sz w:val="23"/>
          <w:szCs w:val="23"/>
        </w:rPr>
        <w:t>, lo que se hizo del conocimiento de la Dirección Ejecutiva del Servicio Profesional Electoral Nacional, por parte del Órgano de Enlace, mediante oficio OESPEN/SE/</w:t>
      </w:r>
      <w:r w:rsidR="009A2577" w:rsidRPr="009F0A7F">
        <w:rPr>
          <w:rFonts w:ascii="Arial" w:hAnsi="Arial" w:cs="Arial"/>
          <w:sz w:val="23"/>
          <w:szCs w:val="23"/>
        </w:rPr>
        <w:t>046</w:t>
      </w:r>
      <w:r w:rsidRPr="009F0A7F">
        <w:rPr>
          <w:rFonts w:ascii="Arial" w:hAnsi="Arial" w:cs="Arial"/>
          <w:sz w:val="23"/>
          <w:szCs w:val="23"/>
        </w:rPr>
        <w:t>/2023, de fecha 2</w:t>
      </w:r>
      <w:r w:rsidR="009A2577" w:rsidRPr="009F0A7F">
        <w:rPr>
          <w:rFonts w:ascii="Arial" w:hAnsi="Arial" w:cs="Arial"/>
          <w:sz w:val="23"/>
          <w:szCs w:val="23"/>
        </w:rPr>
        <w:t>5</w:t>
      </w:r>
      <w:r w:rsidRPr="009F0A7F">
        <w:rPr>
          <w:rFonts w:ascii="Arial" w:hAnsi="Arial" w:cs="Arial"/>
          <w:sz w:val="23"/>
          <w:szCs w:val="23"/>
        </w:rPr>
        <w:t xml:space="preserve"> de </w:t>
      </w:r>
      <w:r w:rsidR="009A2577" w:rsidRPr="009F0A7F">
        <w:rPr>
          <w:rFonts w:ascii="Arial" w:hAnsi="Arial" w:cs="Arial"/>
          <w:sz w:val="23"/>
          <w:szCs w:val="23"/>
        </w:rPr>
        <w:t>marzo de 2024</w:t>
      </w:r>
      <w:r w:rsidRPr="009F0A7F">
        <w:rPr>
          <w:rFonts w:ascii="Arial" w:hAnsi="Arial" w:cs="Arial"/>
          <w:sz w:val="23"/>
          <w:szCs w:val="23"/>
        </w:rPr>
        <w:t>.</w:t>
      </w:r>
    </w:p>
    <w:p w:rsidR="009A2577" w:rsidRPr="009F0A7F" w:rsidRDefault="009A2577" w:rsidP="00015BEF">
      <w:pPr>
        <w:pStyle w:val="Ttulo2"/>
        <w:rPr>
          <w:rFonts w:ascii="Arial" w:hAnsi="Arial" w:cs="Arial"/>
          <w:sz w:val="23"/>
          <w:szCs w:val="23"/>
        </w:rPr>
      </w:pPr>
      <w:r w:rsidRPr="009F0A7F">
        <w:rPr>
          <w:rFonts w:ascii="Arial" w:hAnsi="Arial" w:cs="Arial"/>
          <w:sz w:val="23"/>
          <w:szCs w:val="23"/>
        </w:rPr>
        <w:lastRenderedPageBreak/>
        <w:t>Designación de Consejeras Electorales</w:t>
      </w:r>
    </w:p>
    <w:p w:rsidR="009A2577" w:rsidRPr="009F0A7F" w:rsidRDefault="009A2577" w:rsidP="009A2577">
      <w:pPr>
        <w:rPr>
          <w:rFonts w:ascii="Arial" w:hAnsi="Arial" w:cs="Arial"/>
          <w:sz w:val="23"/>
          <w:szCs w:val="23"/>
        </w:rPr>
      </w:pPr>
      <w:r w:rsidRPr="009F0A7F">
        <w:rPr>
          <w:rFonts w:ascii="Arial" w:hAnsi="Arial" w:cs="Arial"/>
          <w:sz w:val="23"/>
          <w:szCs w:val="23"/>
        </w:rPr>
        <w:t>El veintiséis de septiembre de dos mil veinticuatro, el Consejo General del INE, mediante acuerdo INE/CG2243/2024 designó a las Consejerías Electorales de los Organismos Públicos Locales de las entidades de Baja California Sur, Campeche, Ciudad de México, Colima, Estado de México, Guanajuato, Guerrero, Jalisco, Michoacán, Morelos, Nuevo León, Oaxaca, Querétaro, San Luis Potosí, Sonora, Tabasco, Tlaxcala, Veracruz, Yucatán y Zacatecas.</w:t>
      </w:r>
    </w:p>
    <w:p w:rsidR="009A2577" w:rsidRPr="009F0A7F" w:rsidRDefault="009A2577" w:rsidP="009A2577">
      <w:pPr>
        <w:rPr>
          <w:rFonts w:ascii="Arial" w:hAnsi="Arial" w:cs="Arial"/>
          <w:sz w:val="23"/>
          <w:szCs w:val="23"/>
        </w:rPr>
      </w:pPr>
      <w:r w:rsidRPr="009F0A7F">
        <w:rPr>
          <w:rFonts w:ascii="Arial" w:hAnsi="Arial" w:cs="Arial"/>
          <w:sz w:val="23"/>
          <w:szCs w:val="23"/>
        </w:rPr>
        <w:t xml:space="preserve">En el caso de la entidad, se designaron a las ciudadanas: Licda. Monserrat Martínez Beaurregard, Licda. Ángela Guadalupe Araujo Segura y Dra. Ruth </w:t>
      </w:r>
      <w:proofErr w:type="spellStart"/>
      <w:r w:rsidRPr="009F0A7F">
        <w:rPr>
          <w:rFonts w:ascii="Arial" w:hAnsi="Arial" w:cs="Arial"/>
          <w:sz w:val="23"/>
          <w:szCs w:val="23"/>
        </w:rPr>
        <w:t>Lizette</w:t>
      </w:r>
      <w:proofErr w:type="spellEnd"/>
      <w:r w:rsidRPr="009F0A7F">
        <w:rPr>
          <w:rFonts w:ascii="Arial" w:hAnsi="Arial" w:cs="Arial"/>
          <w:sz w:val="23"/>
          <w:szCs w:val="23"/>
        </w:rPr>
        <w:t xml:space="preserve"> Toledo Peral, Consejeras Electorales por un período de 7 años.</w:t>
      </w:r>
    </w:p>
    <w:p w:rsidR="009A2577" w:rsidRPr="009F0A7F" w:rsidRDefault="009A2577" w:rsidP="00015BEF">
      <w:pPr>
        <w:pStyle w:val="Ttulo2"/>
        <w:rPr>
          <w:rFonts w:ascii="Arial" w:hAnsi="Arial" w:cs="Arial"/>
          <w:sz w:val="23"/>
          <w:szCs w:val="23"/>
        </w:rPr>
      </w:pPr>
      <w:r w:rsidRPr="009F0A7F">
        <w:rPr>
          <w:rFonts w:ascii="Arial" w:hAnsi="Arial" w:cs="Arial"/>
          <w:sz w:val="23"/>
          <w:szCs w:val="23"/>
        </w:rPr>
        <w:t>Nueva integración de la Comisión de Seguimiento</w:t>
      </w:r>
    </w:p>
    <w:p w:rsidR="009A2577" w:rsidRPr="009F0A7F" w:rsidRDefault="009A2577" w:rsidP="009A2577">
      <w:pPr>
        <w:rPr>
          <w:rFonts w:ascii="Arial" w:hAnsi="Arial" w:cs="Arial"/>
          <w:sz w:val="23"/>
          <w:szCs w:val="23"/>
        </w:rPr>
      </w:pPr>
      <w:r w:rsidRPr="009F0A7F">
        <w:rPr>
          <w:rFonts w:ascii="Arial" w:hAnsi="Arial" w:cs="Arial"/>
          <w:sz w:val="23"/>
          <w:szCs w:val="23"/>
        </w:rPr>
        <w:t xml:space="preserve">Que, el </w:t>
      </w:r>
      <w:r w:rsidR="00015BEF" w:rsidRPr="009F0A7F">
        <w:rPr>
          <w:rFonts w:ascii="Arial" w:hAnsi="Arial" w:cs="Arial"/>
          <w:sz w:val="23"/>
          <w:szCs w:val="23"/>
        </w:rPr>
        <w:t>4</w:t>
      </w:r>
      <w:r w:rsidRPr="009F0A7F">
        <w:rPr>
          <w:rFonts w:ascii="Arial" w:hAnsi="Arial" w:cs="Arial"/>
          <w:sz w:val="23"/>
          <w:szCs w:val="23"/>
        </w:rPr>
        <w:t xml:space="preserve"> de octubre de </w:t>
      </w:r>
      <w:r w:rsidR="00015BEF" w:rsidRPr="009F0A7F">
        <w:rPr>
          <w:rFonts w:ascii="Arial" w:hAnsi="Arial" w:cs="Arial"/>
          <w:sz w:val="23"/>
          <w:szCs w:val="23"/>
        </w:rPr>
        <w:t xml:space="preserve">2024 </w:t>
      </w:r>
      <w:r w:rsidRPr="009F0A7F">
        <w:rPr>
          <w:rFonts w:ascii="Arial" w:hAnsi="Arial" w:cs="Arial"/>
          <w:sz w:val="23"/>
          <w:szCs w:val="23"/>
        </w:rPr>
        <w:t xml:space="preserve">mediante acuerdo CE/2024/090, el Consejo Estatal </w:t>
      </w:r>
      <w:r w:rsidR="00015BEF" w:rsidRPr="009F0A7F">
        <w:rPr>
          <w:rFonts w:ascii="Arial" w:hAnsi="Arial" w:cs="Arial"/>
          <w:sz w:val="23"/>
          <w:szCs w:val="23"/>
        </w:rPr>
        <w:t xml:space="preserve">con motivo </w:t>
      </w:r>
      <w:r w:rsidRPr="009F0A7F">
        <w:rPr>
          <w:rFonts w:ascii="Arial" w:hAnsi="Arial" w:cs="Arial"/>
          <w:sz w:val="23"/>
          <w:szCs w:val="23"/>
        </w:rPr>
        <w:t xml:space="preserve">de la designación de las Consejeras Electorales señaladas, modificó la conformación de las Comisiones Permanentes de Vinculación con el </w:t>
      </w:r>
      <w:r w:rsidR="002775E3" w:rsidRPr="009F0A7F">
        <w:rPr>
          <w:rFonts w:ascii="Arial" w:hAnsi="Arial" w:cs="Arial"/>
          <w:sz w:val="23"/>
          <w:szCs w:val="23"/>
        </w:rPr>
        <w:t>INE</w:t>
      </w:r>
      <w:r w:rsidRPr="009F0A7F">
        <w:rPr>
          <w:rFonts w:ascii="Arial" w:hAnsi="Arial" w:cs="Arial"/>
          <w:sz w:val="23"/>
          <w:szCs w:val="23"/>
        </w:rPr>
        <w:t>, de Organización Electoral y Educación Cívica, de Denuncias y Quejas, de Seguimiento al Servicio Profesional Electoral Nacional con carácter Administrativa, y de Igualdad de Género y No Discriminación del propio Instituto.</w:t>
      </w:r>
    </w:p>
    <w:p w:rsidR="009A2577" w:rsidRPr="009F0A7F" w:rsidRDefault="009A2577" w:rsidP="009A2577">
      <w:pPr>
        <w:rPr>
          <w:rFonts w:ascii="Arial" w:hAnsi="Arial" w:cs="Arial"/>
          <w:sz w:val="23"/>
          <w:szCs w:val="23"/>
        </w:rPr>
      </w:pPr>
      <w:r w:rsidRPr="009F0A7F">
        <w:rPr>
          <w:rFonts w:ascii="Arial" w:hAnsi="Arial" w:cs="Arial"/>
          <w:sz w:val="23"/>
          <w:szCs w:val="23"/>
        </w:rPr>
        <w:t>La Comisión de Seguimiento quedo integrada por las Consejeras Electorales, Licda. María Elvia Magaña Sandoval, Licda. Monserrat Martínez Beaurregard y Licda. Ángela Guadalupe Araujo Segura, quien funge como Presidenta de la Comisión.</w:t>
      </w:r>
    </w:p>
    <w:p w:rsidR="00082137" w:rsidRPr="009F0A7F" w:rsidRDefault="00082137" w:rsidP="008352CE">
      <w:pPr>
        <w:pStyle w:val="Ttulo2"/>
        <w:rPr>
          <w:rFonts w:ascii="Arial" w:hAnsi="Arial" w:cs="Arial"/>
          <w:sz w:val="23"/>
          <w:szCs w:val="23"/>
        </w:rPr>
      </w:pPr>
      <w:r w:rsidRPr="009F0A7F">
        <w:rPr>
          <w:rFonts w:ascii="Arial" w:hAnsi="Arial" w:cs="Arial"/>
          <w:sz w:val="23"/>
          <w:szCs w:val="23"/>
        </w:rPr>
        <w:t>Dictamen General de Resultados de la Evaluación Trianual del Desempeño</w:t>
      </w:r>
    </w:p>
    <w:p w:rsidR="00082137" w:rsidRDefault="00082137" w:rsidP="00082137">
      <w:pPr>
        <w:rPr>
          <w:rFonts w:ascii="Arial" w:hAnsi="Arial" w:cs="Arial"/>
          <w:sz w:val="23"/>
          <w:szCs w:val="23"/>
        </w:rPr>
      </w:pPr>
      <w:r w:rsidRPr="009F0A7F">
        <w:rPr>
          <w:rFonts w:ascii="Arial" w:hAnsi="Arial" w:cs="Arial"/>
          <w:sz w:val="23"/>
          <w:szCs w:val="23"/>
        </w:rPr>
        <w:t>El 4 de diciembre de 2023, el Encargado de Despacho de la Dirección de Profesionalización de la Dirección Ejecutiva del Servicio Profesional, remitió a la Presidencia del Instituto, el oficio INE/DESPEN/ED/DPR/1555/2023 por el cual informó que se concluyeron los trabajos para la integración del Dictamen General de Resultados de la Evaluación Trianual del Desempeño del personal del servicio adscrito al Instituto correspondiente al periodo septiembre 2020 a agosto de 2022, insumo principal para el otorgamiento del incentivo por excelencia en el desempeño.</w:t>
      </w:r>
    </w:p>
    <w:p w:rsidR="00082137" w:rsidRPr="009F0A7F" w:rsidRDefault="00082137" w:rsidP="008801DA">
      <w:pPr>
        <w:pStyle w:val="Ttulo2"/>
        <w:rPr>
          <w:rFonts w:ascii="Arial" w:hAnsi="Arial" w:cs="Arial"/>
          <w:sz w:val="23"/>
          <w:szCs w:val="23"/>
        </w:rPr>
      </w:pPr>
      <w:r w:rsidRPr="009F0A7F">
        <w:rPr>
          <w:rFonts w:ascii="Arial" w:hAnsi="Arial" w:cs="Arial"/>
          <w:sz w:val="23"/>
          <w:szCs w:val="23"/>
        </w:rPr>
        <w:lastRenderedPageBreak/>
        <w:t>Presentación del Dictamen</w:t>
      </w:r>
    </w:p>
    <w:p w:rsidR="008801DA" w:rsidRDefault="00082137" w:rsidP="008801DA">
      <w:pPr>
        <w:rPr>
          <w:rFonts w:ascii="Arial" w:hAnsi="Arial" w:cs="Arial"/>
          <w:sz w:val="23"/>
          <w:szCs w:val="23"/>
        </w:rPr>
      </w:pPr>
      <w:r w:rsidRPr="009F0A7F">
        <w:rPr>
          <w:rFonts w:ascii="Arial" w:hAnsi="Arial" w:cs="Arial"/>
          <w:sz w:val="23"/>
          <w:szCs w:val="23"/>
        </w:rPr>
        <w:t xml:space="preserve">El </w:t>
      </w:r>
      <w:r w:rsidR="008801DA" w:rsidRPr="009F0A7F">
        <w:rPr>
          <w:rFonts w:ascii="Arial" w:hAnsi="Arial" w:cs="Arial"/>
          <w:sz w:val="23"/>
          <w:szCs w:val="23"/>
        </w:rPr>
        <w:t>28 de diciembre de 2024</w:t>
      </w:r>
      <w:r w:rsidRPr="009F0A7F">
        <w:rPr>
          <w:rFonts w:ascii="Arial" w:hAnsi="Arial" w:cs="Arial"/>
          <w:sz w:val="23"/>
          <w:szCs w:val="23"/>
        </w:rPr>
        <w:t>, la Comisión de Seguimiento aprobó la presentación, para la deliberación y en su caso aprobación por parte del Consejo Estatal, del dictamen para el otorgamiento de incentivo por</w:t>
      </w:r>
      <w:r w:rsidR="008801DA" w:rsidRPr="009F0A7F">
        <w:rPr>
          <w:rFonts w:ascii="Arial" w:hAnsi="Arial" w:cs="Arial"/>
          <w:sz w:val="23"/>
          <w:szCs w:val="23"/>
        </w:rPr>
        <w:t xml:space="preserve"> </w:t>
      </w:r>
      <w:r w:rsidR="004A1D01" w:rsidRPr="009F0A7F">
        <w:rPr>
          <w:rFonts w:ascii="Arial" w:hAnsi="Arial" w:cs="Arial"/>
          <w:sz w:val="23"/>
          <w:szCs w:val="23"/>
        </w:rPr>
        <w:t xml:space="preserve">rendimiento </w:t>
      </w:r>
      <w:r w:rsidR="008801DA" w:rsidRPr="009F0A7F">
        <w:rPr>
          <w:rFonts w:ascii="Arial" w:hAnsi="Arial" w:cs="Arial"/>
          <w:sz w:val="23"/>
          <w:szCs w:val="23"/>
        </w:rPr>
        <w:t>2024</w:t>
      </w:r>
      <w:r w:rsidRPr="009F0A7F">
        <w:rPr>
          <w:rFonts w:ascii="Arial" w:hAnsi="Arial" w:cs="Arial"/>
          <w:sz w:val="23"/>
          <w:szCs w:val="23"/>
        </w:rPr>
        <w:t>, correspondiente a</w:t>
      </w:r>
      <w:r w:rsidR="008801DA" w:rsidRPr="009F0A7F">
        <w:rPr>
          <w:rFonts w:ascii="Arial" w:hAnsi="Arial" w:cs="Arial"/>
          <w:sz w:val="23"/>
          <w:szCs w:val="23"/>
        </w:rPr>
        <w:t>l ejercicio valorado 2023.</w:t>
      </w:r>
    </w:p>
    <w:p w:rsidR="008801DA" w:rsidRPr="009F0A7F" w:rsidRDefault="008801DA" w:rsidP="008801DA">
      <w:pPr>
        <w:pStyle w:val="Ttulo1"/>
        <w:rPr>
          <w:rFonts w:ascii="Arial" w:hAnsi="Arial" w:cs="Arial"/>
          <w:sz w:val="24"/>
          <w:szCs w:val="24"/>
        </w:rPr>
      </w:pPr>
      <w:r w:rsidRPr="009F0A7F">
        <w:rPr>
          <w:rFonts w:ascii="Arial" w:hAnsi="Arial" w:cs="Arial"/>
          <w:sz w:val="24"/>
          <w:szCs w:val="24"/>
        </w:rPr>
        <w:t>Considerando</w:t>
      </w:r>
    </w:p>
    <w:p w:rsidR="008801DA" w:rsidRPr="009F0A7F" w:rsidRDefault="008801DA" w:rsidP="008801DA">
      <w:pPr>
        <w:pStyle w:val="Ttulo2"/>
        <w:rPr>
          <w:rFonts w:ascii="Arial" w:hAnsi="Arial" w:cs="Arial"/>
          <w:sz w:val="23"/>
          <w:szCs w:val="23"/>
        </w:rPr>
      </w:pPr>
      <w:r w:rsidRPr="009F0A7F">
        <w:rPr>
          <w:rFonts w:ascii="Arial" w:hAnsi="Arial" w:cs="Arial"/>
          <w:sz w:val="23"/>
          <w:szCs w:val="23"/>
        </w:rPr>
        <w:t xml:space="preserve">Fines del Instituto </w:t>
      </w:r>
    </w:p>
    <w:p w:rsidR="008801DA" w:rsidRPr="009F0A7F" w:rsidRDefault="008801DA" w:rsidP="008801DA">
      <w:pPr>
        <w:rPr>
          <w:rFonts w:ascii="Arial" w:hAnsi="Arial" w:cs="Arial"/>
          <w:sz w:val="23"/>
          <w:szCs w:val="23"/>
        </w:rPr>
      </w:pPr>
      <w:r w:rsidRPr="009F0A7F">
        <w:rPr>
          <w:rFonts w:ascii="Arial" w:hAnsi="Arial" w:cs="Arial"/>
          <w:sz w:val="23"/>
          <w:szCs w:val="23"/>
        </w:rPr>
        <w:t>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rsidR="008801DA" w:rsidRDefault="008801DA" w:rsidP="008801DA">
      <w:pPr>
        <w:rPr>
          <w:rFonts w:ascii="Arial" w:hAnsi="Arial" w:cs="Arial"/>
          <w:sz w:val="23"/>
          <w:szCs w:val="23"/>
        </w:rPr>
      </w:pPr>
      <w:r w:rsidRPr="009F0A7F">
        <w:rPr>
          <w:rFonts w:ascii="Arial" w:hAnsi="Arial" w:cs="Arial"/>
          <w:sz w:val="23"/>
          <w:szCs w:val="23"/>
        </w:rPr>
        <w:t>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rsidR="009F0A7F" w:rsidRDefault="009F0A7F" w:rsidP="008801DA">
      <w:pPr>
        <w:rPr>
          <w:rFonts w:ascii="Arial" w:hAnsi="Arial" w:cs="Arial"/>
          <w:sz w:val="23"/>
          <w:szCs w:val="23"/>
        </w:rPr>
      </w:pPr>
    </w:p>
    <w:p w:rsidR="008801DA" w:rsidRPr="009F0A7F" w:rsidRDefault="008801DA" w:rsidP="008801DA">
      <w:pPr>
        <w:pStyle w:val="Ttulo2"/>
        <w:rPr>
          <w:rFonts w:ascii="Arial" w:hAnsi="Arial" w:cs="Arial"/>
          <w:sz w:val="23"/>
          <w:szCs w:val="23"/>
        </w:rPr>
      </w:pPr>
      <w:r w:rsidRPr="009F0A7F">
        <w:rPr>
          <w:rFonts w:ascii="Arial" w:hAnsi="Arial" w:cs="Arial"/>
          <w:sz w:val="23"/>
          <w:szCs w:val="23"/>
        </w:rPr>
        <w:lastRenderedPageBreak/>
        <w:t xml:space="preserve">Órgano Superior de Dirección del Instituto </w:t>
      </w:r>
    </w:p>
    <w:p w:rsidR="008801DA" w:rsidRPr="009F0A7F" w:rsidRDefault="008801DA" w:rsidP="008801DA">
      <w:pPr>
        <w:rPr>
          <w:rFonts w:ascii="Arial" w:hAnsi="Arial" w:cs="Arial"/>
          <w:sz w:val="23"/>
          <w:szCs w:val="23"/>
        </w:rPr>
      </w:pPr>
      <w:r w:rsidRPr="009F0A7F">
        <w:rPr>
          <w:rFonts w:ascii="Arial" w:hAnsi="Arial" w:cs="Arial"/>
          <w:sz w:val="23"/>
          <w:szCs w:val="23"/>
        </w:rPr>
        <w:t>Que, de acuerdo con el artículo 106 de la Ley Electoral, el Consejo Estatal es el órgano superior de dirección, responsable de vigilar el cumplimiento de las disposiciones constitucionales y legales en materia electoral, así como de velar que los principios de certeza, legalidad, independencia, máxima publicidad, imparcialidad, objetividad y paridad de género, guíen todas las actividades del Instituto.</w:t>
      </w:r>
    </w:p>
    <w:p w:rsidR="008801DA" w:rsidRPr="009F0A7F" w:rsidRDefault="008801DA" w:rsidP="008801DA">
      <w:pPr>
        <w:pStyle w:val="Ttulo2"/>
        <w:rPr>
          <w:rFonts w:ascii="Arial" w:hAnsi="Arial" w:cs="Arial"/>
          <w:sz w:val="23"/>
          <w:szCs w:val="23"/>
        </w:rPr>
      </w:pPr>
      <w:r w:rsidRPr="009F0A7F">
        <w:rPr>
          <w:rFonts w:ascii="Arial" w:hAnsi="Arial" w:cs="Arial"/>
          <w:sz w:val="23"/>
          <w:szCs w:val="23"/>
        </w:rPr>
        <w:t>Integración del Órgano de Dirección Superior</w:t>
      </w:r>
    </w:p>
    <w:p w:rsidR="008801DA" w:rsidRPr="009F0A7F" w:rsidRDefault="008801DA" w:rsidP="008801DA">
      <w:pPr>
        <w:rPr>
          <w:rFonts w:ascii="Arial" w:hAnsi="Arial" w:cs="Arial"/>
          <w:sz w:val="23"/>
          <w:szCs w:val="23"/>
        </w:rPr>
      </w:pPr>
      <w:r w:rsidRPr="009F0A7F">
        <w:rPr>
          <w:rFonts w:ascii="Arial" w:hAnsi="Arial" w:cs="Arial"/>
          <w:sz w:val="23"/>
          <w:szCs w:val="23"/>
        </w:rPr>
        <w:t>Que, los artículos 99 de la Ley General y 107, numeral 1 de la Ley Electoral, disponen que el Consejo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rsidR="008801DA" w:rsidRPr="009F0A7F" w:rsidRDefault="008801DA" w:rsidP="008801DA">
      <w:pPr>
        <w:pStyle w:val="Ttulo2"/>
        <w:rPr>
          <w:rFonts w:ascii="Arial" w:hAnsi="Arial" w:cs="Arial"/>
          <w:sz w:val="23"/>
          <w:szCs w:val="23"/>
        </w:rPr>
      </w:pPr>
      <w:r w:rsidRPr="009F0A7F">
        <w:rPr>
          <w:rFonts w:ascii="Arial" w:hAnsi="Arial" w:cs="Arial"/>
          <w:sz w:val="23"/>
          <w:szCs w:val="23"/>
        </w:rPr>
        <w:t>Distribución de competencias entre el INE y los organismos electorales</w:t>
      </w:r>
    </w:p>
    <w:p w:rsidR="008801DA" w:rsidRPr="009F0A7F" w:rsidRDefault="008801DA" w:rsidP="008801DA">
      <w:pPr>
        <w:rPr>
          <w:rFonts w:ascii="Arial" w:hAnsi="Arial" w:cs="Arial"/>
          <w:sz w:val="23"/>
          <w:szCs w:val="23"/>
        </w:rPr>
      </w:pPr>
      <w:r w:rsidRPr="009F0A7F">
        <w:rPr>
          <w:rFonts w:ascii="Arial" w:hAnsi="Arial" w:cs="Arial"/>
          <w:sz w:val="23"/>
          <w:szCs w:val="23"/>
        </w:rPr>
        <w:t>Que, los artículos 1 y 4 de la Ley General prevén que dicho ordenamiento es de orden público y de observancia general en el territorio nacional; además, tiene por objeto, entre otros, establecer la distribución de competencias entre la Federación y las entidades federativas, así como la relación entre el INE y los organismos electorales.</w:t>
      </w:r>
    </w:p>
    <w:p w:rsidR="008801DA" w:rsidRPr="009F0A7F" w:rsidRDefault="008801DA" w:rsidP="008801DA">
      <w:pPr>
        <w:pStyle w:val="Ttulo2"/>
        <w:rPr>
          <w:rFonts w:ascii="Arial" w:hAnsi="Arial" w:cs="Arial"/>
          <w:sz w:val="23"/>
          <w:szCs w:val="23"/>
        </w:rPr>
      </w:pPr>
      <w:r w:rsidRPr="009F0A7F">
        <w:rPr>
          <w:rFonts w:ascii="Arial" w:hAnsi="Arial" w:cs="Arial"/>
          <w:sz w:val="23"/>
          <w:szCs w:val="23"/>
        </w:rPr>
        <w:t xml:space="preserve">Competencia del Consejo Estatal </w:t>
      </w:r>
    </w:p>
    <w:p w:rsidR="008801DA" w:rsidRPr="009F0A7F" w:rsidRDefault="008801DA" w:rsidP="008801DA">
      <w:pPr>
        <w:rPr>
          <w:rFonts w:ascii="Arial" w:hAnsi="Arial" w:cs="Arial"/>
          <w:sz w:val="23"/>
          <w:szCs w:val="23"/>
        </w:rPr>
      </w:pPr>
      <w:r w:rsidRPr="009F0A7F">
        <w:rPr>
          <w:rFonts w:ascii="Arial" w:hAnsi="Arial" w:cs="Arial"/>
          <w:sz w:val="23"/>
          <w:szCs w:val="23"/>
        </w:rPr>
        <w:t>Que, de conformidad con el artículo 115 numeral 1 fracción I en relación con el artículo 160 numeral 2 de la Ley Electoral, el Consejo Estatal es competente para aplicar las disposiciones generales, reglas, lineamientos, criterios y formatos que, en ejercicio de las facultades que le confieren la Constitución Federal y la Ley General, establezca el INE; entre ellas lo relativo al Servicio Profesional.</w:t>
      </w:r>
    </w:p>
    <w:p w:rsidR="008801DA" w:rsidRPr="009F0A7F" w:rsidRDefault="008801DA" w:rsidP="008801DA">
      <w:pPr>
        <w:rPr>
          <w:rFonts w:ascii="Arial" w:hAnsi="Arial" w:cs="Arial"/>
          <w:sz w:val="23"/>
          <w:szCs w:val="23"/>
        </w:rPr>
      </w:pPr>
      <w:r w:rsidRPr="009F0A7F">
        <w:rPr>
          <w:rFonts w:ascii="Arial" w:hAnsi="Arial" w:cs="Arial"/>
          <w:sz w:val="23"/>
          <w:szCs w:val="23"/>
        </w:rPr>
        <w:t xml:space="preserve">Acorde a lo anterior, el artículo 115 numeral 2 de la Ley Electoral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w:t>
      </w:r>
      <w:r w:rsidRPr="009F0A7F">
        <w:rPr>
          <w:rFonts w:ascii="Arial" w:hAnsi="Arial" w:cs="Arial"/>
          <w:sz w:val="23"/>
          <w:szCs w:val="23"/>
        </w:rPr>
        <w:lastRenderedPageBreak/>
        <w:t>corresponda, siempre en apego a sus facultades y a los principios rectores de la función electoral.</w:t>
      </w:r>
    </w:p>
    <w:p w:rsidR="008801DA" w:rsidRPr="009F0A7F" w:rsidRDefault="008801DA" w:rsidP="008801DA">
      <w:pPr>
        <w:pStyle w:val="Ttulo2"/>
        <w:rPr>
          <w:rFonts w:ascii="Arial" w:hAnsi="Arial" w:cs="Arial"/>
          <w:sz w:val="23"/>
          <w:szCs w:val="23"/>
        </w:rPr>
      </w:pPr>
      <w:r w:rsidRPr="009F0A7F">
        <w:rPr>
          <w:rFonts w:ascii="Arial" w:hAnsi="Arial" w:cs="Arial"/>
          <w:sz w:val="23"/>
          <w:szCs w:val="23"/>
        </w:rPr>
        <w:t>Comisiones del Instituto</w:t>
      </w:r>
    </w:p>
    <w:p w:rsidR="008801DA" w:rsidRPr="009F0A7F" w:rsidRDefault="008801DA" w:rsidP="008801DA">
      <w:pPr>
        <w:rPr>
          <w:rFonts w:ascii="Arial" w:hAnsi="Arial" w:cs="Arial"/>
          <w:sz w:val="23"/>
          <w:szCs w:val="23"/>
        </w:rPr>
      </w:pPr>
      <w:r w:rsidRPr="009F0A7F">
        <w:rPr>
          <w:rFonts w:ascii="Arial" w:hAnsi="Arial" w:cs="Arial"/>
          <w:sz w:val="23"/>
          <w:szCs w:val="23"/>
        </w:rPr>
        <w:t xml:space="preserve">Que, el artículo 113 numeral 1 de la Ley Electoral dispone que, el Consejo Estatal constituirá las comisiones permanentes de Vinculación con el INE, de Organización Electoral y Educación Cívica, de Denuncias y Quejas, y de Igualdad de Género y no Discriminación; así como las comisiones temporales que considere pertinentes para el desempeño de sus atribuciones, las que siempre serán presididas por una Consejera o un Consejero Electoral, salvo la de Vinculación con el </w:t>
      </w:r>
      <w:r w:rsidR="002775E3" w:rsidRPr="009F0A7F">
        <w:rPr>
          <w:rFonts w:ascii="Arial" w:hAnsi="Arial" w:cs="Arial"/>
          <w:sz w:val="23"/>
          <w:szCs w:val="23"/>
        </w:rPr>
        <w:t>INE</w:t>
      </w:r>
      <w:r w:rsidRPr="009F0A7F">
        <w:rPr>
          <w:rFonts w:ascii="Arial" w:hAnsi="Arial" w:cs="Arial"/>
          <w:sz w:val="23"/>
          <w:szCs w:val="23"/>
        </w:rPr>
        <w:t>, que será presidida por la Consejera o el Consejero Presidente.</w:t>
      </w:r>
    </w:p>
    <w:p w:rsidR="008801DA" w:rsidRPr="009F0A7F" w:rsidRDefault="008801DA" w:rsidP="008801DA">
      <w:pPr>
        <w:rPr>
          <w:rFonts w:ascii="Arial" w:hAnsi="Arial" w:cs="Arial"/>
          <w:sz w:val="23"/>
          <w:szCs w:val="23"/>
        </w:rPr>
      </w:pPr>
      <w:r w:rsidRPr="009F0A7F">
        <w:rPr>
          <w:rFonts w:ascii="Arial" w:hAnsi="Arial" w:cs="Arial"/>
          <w:sz w:val="23"/>
          <w:szCs w:val="23"/>
        </w:rPr>
        <w:t>Asimismo, de conformidad con el artículo 376 fracción II del Estatuto corresponde al Consejo Estatal determinar la integración de la Comisión de Seguimiento, que será responsable de garantizar la correcta implementación y funcionamiento de los mecanismos del Servicio Profesional, bajo la rectoría del Instituto y conforme las disposiciones de la Constitución y demás ordenamientos aplicables.</w:t>
      </w:r>
    </w:p>
    <w:p w:rsidR="008801DA" w:rsidRPr="009F0A7F" w:rsidRDefault="008801DA" w:rsidP="008801DA">
      <w:pPr>
        <w:pStyle w:val="Ttulo2"/>
        <w:rPr>
          <w:rFonts w:ascii="Arial" w:hAnsi="Arial" w:cs="Arial"/>
          <w:sz w:val="23"/>
          <w:szCs w:val="23"/>
        </w:rPr>
      </w:pPr>
      <w:r w:rsidRPr="009F0A7F">
        <w:rPr>
          <w:rFonts w:ascii="Arial" w:hAnsi="Arial" w:cs="Arial"/>
          <w:sz w:val="23"/>
          <w:szCs w:val="23"/>
        </w:rPr>
        <w:t>Comisión de Seguimiento</w:t>
      </w:r>
    </w:p>
    <w:p w:rsidR="008801DA" w:rsidRPr="009F0A7F" w:rsidRDefault="008801DA" w:rsidP="008801DA">
      <w:pPr>
        <w:rPr>
          <w:rFonts w:ascii="Arial" w:hAnsi="Arial" w:cs="Arial"/>
          <w:sz w:val="23"/>
          <w:szCs w:val="23"/>
        </w:rPr>
      </w:pPr>
      <w:r w:rsidRPr="009F0A7F">
        <w:rPr>
          <w:rFonts w:ascii="Arial" w:hAnsi="Arial" w:cs="Arial"/>
          <w:sz w:val="23"/>
          <w:szCs w:val="23"/>
        </w:rPr>
        <w:t xml:space="preserve">Que, de conformidad con los artículos 376 fracción II del Estatuto y 16 del Reglamento de Comisiones, la función principal de la Comisión de Seguimiento es garantizar la correcta implementación y funcionamiento de los mecanismos del propio Servicio Profesional, bajo la rectoría del INE y conforme a las disposiciones de la Constitución Federal, la Ley General y el propio Estatuto mencionado. </w:t>
      </w:r>
    </w:p>
    <w:p w:rsidR="008801DA" w:rsidRPr="009F0A7F" w:rsidRDefault="008801DA" w:rsidP="008801DA">
      <w:pPr>
        <w:rPr>
          <w:rFonts w:ascii="Arial" w:hAnsi="Arial" w:cs="Arial"/>
          <w:sz w:val="23"/>
          <w:szCs w:val="23"/>
        </w:rPr>
      </w:pPr>
      <w:r w:rsidRPr="009F0A7F">
        <w:rPr>
          <w:rFonts w:ascii="Arial" w:hAnsi="Arial" w:cs="Arial"/>
          <w:sz w:val="23"/>
          <w:szCs w:val="23"/>
        </w:rPr>
        <w:t>Para ello, cuenta con la facultad de proponer la participación de instituciones de educación superior y profesionales, en la ejecución de los programas de ingreso, formación, desarrollo y actualización profesional; promover la coordinación de actividades y, en su caso, la celebración de convenios de cooperación técnica con instituciones, con la finalidad de apoyar los programas institucionales, someter la propuesta de modificación a la estructura organizacional del Servicio Profesional en los términos del Estatuto y, entre otras, la de proponer al Consejo Estatal los incentivos y promociones que habrán de otorgarse al personal perteneciente al Servicio Profesional.</w:t>
      </w:r>
    </w:p>
    <w:p w:rsidR="008801DA" w:rsidRPr="009F0A7F" w:rsidRDefault="008801DA" w:rsidP="008801DA">
      <w:pPr>
        <w:pStyle w:val="Ttulo2"/>
        <w:rPr>
          <w:rFonts w:ascii="Arial" w:hAnsi="Arial" w:cs="Arial"/>
          <w:sz w:val="23"/>
          <w:szCs w:val="23"/>
        </w:rPr>
      </w:pPr>
      <w:r w:rsidRPr="009F0A7F">
        <w:rPr>
          <w:rFonts w:ascii="Arial" w:hAnsi="Arial" w:cs="Arial"/>
          <w:sz w:val="23"/>
          <w:szCs w:val="23"/>
        </w:rPr>
        <w:lastRenderedPageBreak/>
        <w:t xml:space="preserve">Servicio Profesional </w:t>
      </w:r>
    </w:p>
    <w:p w:rsidR="008801DA" w:rsidRPr="009F0A7F" w:rsidRDefault="008801DA" w:rsidP="008801DA">
      <w:pPr>
        <w:rPr>
          <w:rFonts w:ascii="Arial" w:hAnsi="Arial" w:cs="Arial"/>
          <w:sz w:val="23"/>
          <w:szCs w:val="23"/>
        </w:rPr>
      </w:pPr>
      <w:r w:rsidRPr="009F0A7F">
        <w:rPr>
          <w:rFonts w:ascii="Arial" w:hAnsi="Arial" w:cs="Arial"/>
          <w:sz w:val="23"/>
          <w:szCs w:val="23"/>
        </w:rPr>
        <w:t xml:space="preserve">Que, como lo dispone el artículo 41 Base V, apartado “D” de la Constitución Federal, el Servicio Profesional comprende la selección, ingreso, capacitación, profesionalización, promoción, evaluación, rotación, permanencia y disciplina, de los servidores públicos de los órganos ejecutivos y técnicos del INE y de los organismos electorales de las entidades federativas. </w:t>
      </w:r>
    </w:p>
    <w:p w:rsidR="008801DA" w:rsidRPr="009F0A7F" w:rsidRDefault="008801DA" w:rsidP="008801DA">
      <w:pPr>
        <w:rPr>
          <w:rFonts w:ascii="Arial" w:hAnsi="Arial" w:cs="Arial"/>
          <w:sz w:val="23"/>
          <w:szCs w:val="23"/>
        </w:rPr>
      </w:pPr>
      <w:r w:rsidRPr="009F0A7F">
        <w:rPr>
          <w:rFonts w:ascii="Arial" w:hAnsi="Arial" w:cs="Arial"/>
          <w:sz w:val="23"/>
          <w:szCs w:val="23"/>
        </w:rPr>
        <w:t>En el caso de la entidad, los artículos 160 y 161 de la Ley Electoral establecen que, para asegurar el desempeño profesional de las actividades del Instituto Electoral, el INE regulará la organización y funcionamiento del Servicio Profesional, de conformidad con lo establecido por el numeral 41 de la Constitución Federal;  además, la organización del Servicio Profesional será regulada por las normas establecidas por la Ley General y por las del Estatuto que apruebe el Consejo General, en lo relativo al sistema correspondiente a los organismos electorales.</w:t>
      </w:r>
    </w:p>
    <w:p w:rsidR="008801DA" w:rsidRPr="009F0A7F" w:rsidRDefault="008801DA" w:rsidP="008801DA">
      <w:pPr>
        <w:pStyle w:val="Ttulo2"/>
        <w:rPr>
          <w:rFonts w:ascii="Arial" w:hAnsi="Arial" w:cs="Arial"/>
          <w:sz w:val="23"/>
          <w:szCs w:val="23"/>
        </w:rPr>
      </w:pPr>
      <w:r w:rsidRPr="009F0A7F">
        <w:rPr>
          <w:rFonts w:ascii="Arial" w:hAnsi="Arial" w:cs="Arial"/>
          <w:sz w:val="23"/>
          <w:szCs w:val="23"/>
        </w:rPr>
        <w:t>Integración, organización y funcionamiento del Servicio Profesional</w:t>
      </w:r>
    </w:p>
    <w:p w:rsidR="008801DA" w:rsidRDefault="008801DA" w:rsidP="008801DA">
      <w:pPr>
        <w:rPr>
          <w:rFonts w:ascii="Arial" w:hAnsi="Arial" w:cs="Arial"/>
          <w:sz w:val="23"/>
          <w:szCs w:val="23"/>
        </w:rPr>
      </w:pPr>
      <w:r w:rsidRPr="009F0A7F">
        <w:rPr>
          <w:rFonts w:ascii="Arial" w:hAnsi="Arial" w:cs="Arial"/>
          <w:sz w:val="23"/>
          <w:szCs w:val="23"/>
        </w:rPr>
        <w:t>Que, conforme a lo dispuesto por el artículo 202, numerales 1 y 2 de la Ley General, el Servicio Profesional se integra por las y los servidores públicos de los órganos ejecutivos y técnicos del INE y de los organismos electorales, mismo que contará con dos sistemas: uno para el INE y otro para los organismos electorales; y para su adecuado funcionamiento, el INE regulará la organización y aplicará los distintos mecanismos del Servicio de conformidad con lo dispuesto en el apartado D de la Base V, del artículo 41 de la Constitución Federal.</w:t>
      </w:r>
    </w:p>
    <w:p w:rsidR="008801DA" w:rsidRPr="009F0A7F" w:rsidRDefault="008801DA" w:rsidP="008801DA">
      <w:pPr>
        <w:pStyle w:val="Ttulo2"/>
        <w:rPr>
          <w:rFonts w:ascii="Arial" w:hAnsi="Arial" w:cs="Arial"/>
          <w:sz w:val="23"/>
          <w:szCs w:val="23"/>
        </w:rPr>
      </w:pPr>
      <w:r w:rsidRPr="009F0A7F">
        <w:rPr>
          <w:rFonts w:ascii="Arial" w:hAnsi="Arial" w:cs="Arial"/>
          <w:sz w:val="23"/>
          <w:szCs w:val="23"/>
        </w:rPr>
        <w:t>Funcionamiento del Servicio Profesional del Sistema de Organismos Electorales</w:t>
      </w:r>
    </w:p>
    <w:p w:rsidR="008801DA" w:rsidRDefault="008801DA" w:rsidP="008801DA">
      <w:pPr>
        <w:rPr>
          <w:rFonts w:ascii="Arial" w:hAnsi="Arial" w:cs="Arial"/>
          <w:sz w:val="23"/>
          <w:szCs w:val="23"/>
        </w:rPr>
      </w:pPr>
      <w:r w:rsidRPr="009F0A7F">
        <w:rPr>
          <w:rFonts w:ascii="Arial" w:hAnsi="Arial" w:cs="Arial"/>
          <w:sz w:val="23"/>
          <w:szCs w:val="23"/>
        </w:rPr>
        <w:t xml:space="preserve">Que, el artículo 30, numeral 3 de la Ley General, prevé entre otras cosas que, para el desempeño de sus actividades, los organismos electorales contarán con un cuerpo de servidores públicos en sus órganos ejecutivos y técnicos, integrados en un Servicio Profesional que se regirá por el Estatuto que al efecto apruebe el Consejo General. Asimismo, a través del Servicio Profesional, los organismos electorales, contendrán los respectivos mecanismos de selección, ingreso, capacitación, profesionalización, promoción, evaluación, rotación, permanencia y disciplina, así como el catálogo general </w:t>
      </w:r>
      <w:r w:rsidRPr="009F0A7F">
        <w:rPr>
          <w:rFonts w:ascii="Arial" w:hAnsi="Arial" w:cs="Arial"/>
          <w:sz w:val="23"/>
          <w:szCs w:val="23"/>
        </w:rPr>
        <w:lastRenderedPageBreak/>
        <w:t>de los cargos y puestos del personal ejecutivo y técnico, correspondiendo su regulación, organización, funcionamiento y rectoría al INE.</w:t>
      </w:r>
    </w:p>
    <w:p w:rsidR="008801DA" w:rsidRPr="009F0A7F" w:rsidRDefault="008801DA" w:rsidP="008801DA">
      <w:pPr>
        <w:pStyle w:val="Ttulo2"/>
        <w:rPr>
          <w:rFonts w:ascii="Arial" w:hAnsi="Arial" w:cs="Arial"/>
          <w:sz w:val="23"/>
          <w:szCs w:val="23"/>
        </w:rPr>
      </w:pPr>
      <w:r w:rsidRPr="009F0A7F">
        <w:rPr>
          <w:rFonts w:ascii="Arial" w:hAnsi="Arial" w:cs="Arial"/>
          <w:sz w:val="23"/>
          <w:szCs w:val="23"/>
        </w:rPr>
        <w:t xml:space="preserve">Incentivos para el personal del Servicio Profesional </w:t>
      </w:r>
    </w:p>
    <w:p w:rsidR="008801DA" w:rsidRPr="009F0A7F" w:rsidRDefault="008801DA" w:rsidP="008801DA">
      <w:pPr>
        <w:rPr>
          <w:rFonts w:ascii="Arial" w:hAnsi="Arial" w:cs="Arial"/>
          <w:sz w:val="23"/>
          <w:szCs w:val="23"/>
        </w:rPr>
      </w:pPr>
      <w:r w:rsidRPr="009F0A7F">
        <w:rPr>
          <w:rFonts w:ascii="Arial" w:hAnsi="Arial" w:cs="Arial"/>
          <w:sz w:val="23"/>
          <w:szCs w:val="23"/>
        </w:rPr>
        <w:t>Que, los artículos 438 del Estatuto y 16 de los Lineamientos refieren que los incentivos son los reconocimientos, beneficios o remuneraciones, individuales o colectivos, que el organismo electoral podrá otorgar al personal del Servicio Profesional que cumpla los méritos y requisitos establecidos.</w:t>
      </w:r>
    </w:p>
    <w:p w:rsidR="008801DA" w:rsidRPr="009F0A7F" w:rsidRDefault="008801DA" w:rsidP="008801DA">
      <w:pPr>
        <w:rPr>
          <w:rFonts w:ascii="Arial" w:hAnsi="Arial" w:cs="Arial"/>
          <w:sz w:val="23"/>
          <w:szCs w:val="23"/>
        </w:rPr>
      </w:pPr>
      <w:r w:rsidRPr="009F0A7F">
        <w:rPr>
          <w:rFonts w:ascii="Arial" w:hAnsi="Arial" w:cs="Arial"/>
          <w:sz w:val="23"/>
          <w:szCs w:val="23"/>
        </w:rPr>
        <w:t>El otorgamiento de incentivos estará supeditado al presupuesto disponible y se basará en los principios de méritos y de igualdad de oportunidades. Además, serán independientes de la promoción en rangos, así como de las remuneraciones correspondientes al cargo o puesto que se ocupe, de conformidad con el artículo 439 del Estatuto.</w:t>
      </w:r>
    </w:p>
    <w:p w:rsidR="008801DA" w:rsidRPr="009F0A7F" w:rsidRDefault="008801DA" w:rsidP="008801DA">
      <w:pPr>
        <w:rPr>
          <w:rFonts w:ascii="Arial" w:hAnsi="Arial" w:cs="Arial"/>
          <w:sz w:val="23"/>
          <w:szCs w:val="23"/>
        </w:rPr>
      </w:pPr>
      <w:r w:rsidRPr="009F0A7F">
        <w:rPr>
          <w:rFonts w:ascii="Arial" w:hAnsi="Arial" w:cs="Arial"/>
          <w:sz w:val="23"/>
          <w:szCs w:val="23"/>
        </w:rPr>
        <w:t>Asimismo, de acuerdo con el artículo 440 del Estatuto, el órgano superior de dirección en cada organismo electoral aprobará los tipos de incentivos, sus características, los méritos y requisitos para su obtención, el tipo de reconocimientos, beneficios, remuneraciones, criterios de desempate con perspectiva de igualdad de género, así como los procedimientos correspondientes.</w:t>
      </w:r>
    </w:p>
    <w:p w:rsidR="008801DA" w:rsidRDefault="008801DA" w:rsidP="008801DA">
      <w:pPr>
        <w:rPr>
          <w:rFonts w:ascii="Arial" w:hAnsi="Arial" w:cs="Arial"/>
          <w:sz w:val="23"/>
          <w:szCs w:val="23"/>
        </w:rPr>
      </w:pPr>
      <w:r w:rsidRPr="009F0A7F">
        <w:rPr>
          <w:rFonts w:ascii="Arial" w:hAnsi="Arial" w:cs="Arial"/>
          <w:sz w:val="23"/>
          <w:szCs w:val="23"/>
        </w:rPr>
        <w:t>La entrega de incentivos está condicionada a que el personal del Servicio Profesional se mantenga en el organismo electoral al momento de su otorgamiento.</w:t>
      </w:r>
    </w:p>
    <w:p w:rsidR="008801DA" w:rsidRPr="009F0A7F" w:rsidRDefault="008801DA" w:rsidP="008801DA">
      <w:pPr>
        <w:pStyle w:val="Ttulo2"/>
        <w:rPr>
          <w:rFonts w:ascii="Arial" w:hAnsi="Arial" w:cs="Arial"/>
          <w:sz w:val="23"/>
          <w:szCs w:val="23"/>
        </w:rPr>
      </w:pPr>
      <w:r w:rsidRPr="009F0A7F">
        <w:rPr>
          <w:rFonts w:ascii="Arial" w:hAnsi="Arial" w:cs="Arial"/>
          <w:sz w:val="23"/>
          <w:szCs w:val="23"/>
        </w:rPr>
        <w:t>Tipos de incentivos</w:t>
      </w:r>
    </w:p>
    <w:p w:rsidR="008801DA" w:rsidRPr="009F0A7F" w:rsidRDefault="008801DA" w:rsidP="008801DA">
      <w:pPr>
        <w:rPr>
          <w:rFonts w:ascii="Arial" w:hAnsi="Arial" w:cs="Arial"/>
          <w:sz w:val="23"/>
          <w:szCs w:val="23"/>
        </w:rPr>
      </w:pPr>
      <w:r w:rsidRPr="009F0A7F">
        <w:rPr>
          <w:rFonts w:ascii="Arial" w:hAnsi="Arial" w:cs="Arial"/>
          <w:sz w:val="23"/>
          <w:szCs w:val="23"/>
        </w:rPr>
        <w:t xml:space="preserve">Que, en términos del Programa de Incentivos para el personal del Servicio Profesional de este Instituto, los tipos de incentivos que se otorgarán a las y los miembros que reúnan los requisitos que señalen los Lineamientos y el propio programa, serán: </w:t>
      </w:r>
    </w:p>
    <w:p w:rsidR="008801DA" w:rsidRPr="009F0A7F" w:rsidRDefault="008801DA" w:rsidP="008801DA">
      <w:pPr>
        <w:pStyle w:val="Prrafodelista"/>
        <w:numPr>
          <w:ilvl w:val="0"/>
          <w:numId w:val="2"/>
        </w:numPr>
        <w:rPr>
          <w:rFonts w:ascii="Arial" w:hAnsi="Arial" w:cs="Arial"/>
          <w:sz w:val="23"/>
          <w:szCs w:val="23"/>
        </w:rPr>
      </w:pPr>
      <w:r w:rsidRPr="009F0A7F">
        <w:rPr>
          <w:rFonts w:ascii="Arial" w:hAnsi="Arial" w:cs="Arial"/>
          <w:sz w:val="23"/>
          <w:szCs w:val="23"/>
        </w:rPr>
        <w:t xml:space="preserve">Por rendimiento, con periodicidad anual y con carácter obligatorio; </w:t>
      </w:r>
    </w:p>
    <w:p w:rsidR="008801DA" w:rsidRPr="009F0A7F" w:rsidRDefault="008801DA" w:rsidP="008801DA">
      <w:pPr>
        <w:pStyle w:val="Prrafodelista"/>
        <w:numPr>
          <w:ilvl w:val="0"/>
          <w:numId w:val="2"/>
        </w:numPr>
        <w:rPr>
          <w:rFonts w:ascii="Arial" w:hAnsi="Arial" w:cs="Arial"/>
          <w:sz w:val="23"/>
          <w:szCs w:val="23"/>
        </w:rPr>
      </w:pPr>
      <w:r w:rsidRPr="009F0A7F">
        <w:rPr>
          <w:rFonts w:ascii="Arial" w:hAnsi="Arial" w:cs="Arial"/>
          <w:sz w:val="23"/>
          <w:szCs w:val="23"/>
        </w:rPr>
        <w:t xml:space="preserve">Por la obtención de grados académicos, con periodicidad anual; y </w:t>
      </w:r>
    </w:p>
    <w:p w:rsidR="008801DA" w:rsidRPr="009F0A7F" w:rsidRDefault="008801DA" w:rsidP="008801DA">
      <w:pPr>
        <w:pStyle w:val="Prrafodelista"/>
        <w:numPr>
          <w:ilvl w:val="0"/>
          <w:numId w:val="2"/>
        </w:numPr>
        <w:rPr>
          <w:rFonts w:ascii="Arial" w:hAnsi="Arial" w:cs="Arial"/>
          <w:sz w:val="23"/>
          <w:szCs w:val="23"/>
        </w:rPr>
      </w:pPr>
      <w:r w:rsidRPr="009F0A7F">
        <w:rPr>
          <w:rFonts w:ascii="Arial" w:hAnsi="Arial" w:cs="Arial"/>
          <w:sz w:val="23"/>
          <w:szCs w:val="23"/>
        </w:rPr>
        <w:t>Por excelencia en el desempeño, con periodicidad trianual.</w:t>
      </w:r>
    </w:p>
    <w:p w:rsidR="008801DA" w:rsidRPr="009F0A7F" w:rsidRDefault="008801DA" w:rsidP="008801DA">
      <w:pPr>
        <w:rPr>
          <w:rFonts w:ascii="Arial" w:hAnsi="Arial" w:cs="Arial"/>
          <w:sz w:val="23"/>
          <w:szCs w:val="23"/>
        </w:rPr>
      </w:pPr>
      <w:r w:rsidRPr="009F0A7F">
        <w:rPr>
          <w:rFonts w:ascii="Arial" w:hAnsi="Arial" w:cs="Arial"/>
          <w:sz w:val="23"/>
          <w:szCs w:val="23"/>
        </w:rPr>
        <w:t>El incentivo por rendimiento es el estímulo que tiene como propósito reconocer los méritos en el desempeño de las y los miembros del Servicio Profesional en sus funciones durante el ejercicio valorado.</w:t>
      </w:r>
    </w:p>
    <w:p w:rsidR="008801DA" w:rsidRPr="009F0A7F" w:rsidRDefault="008801DA" w:rsidP="008801DA">
      <w:pPr>
        <w:rPr>
          <w:rFonts w:ascii="Arial" w:hAnsi="Arial" w:cs="Arial"/>
          <w:sz w:val="23"/>
          <w:szCs w:val="23"/>
        </w:rPr>
      </w:pPr>
      <w:r w:rsidRPr="009F0A7F">
        <w:rPr>
          <w:rFonts w:ascii="Arial" w:hAnsi="Arial" w:cs="Arial"/>
          <w:sz w:val="23"/>
          <w:szCs w:val="23"/>
        </w:rPr>
        <w:lastRenderedPageBreak/>
        <w:t>Para efectos de este incentivo se seleccionará, como máximo, hasta el 20% tomando como base la totalidad del personal del Servicio Profesional que haya sido evaluado y obtenido las mejores calificaciones, de conformidad con la evaluación integral establecida en el artículo 27 de los Lineamientos, y consistirá en una retribución de $25,000.00 (veinticinco mil pesos 00/100 m. n.) menos impuestos para los miembros del Servicio Profesional con categoría de Coordinador y $20,000.00 (veinte mil pesos 00/100 m. n.) menos impuestos, para aquellas o aquellos con cargo de Asistencia Técnica.</w:t>
      </w:r>
    </w:p>
    <w:p w:rsidR="008801DA" w:rsidRPr="009F0A7F" w:rsidRDefault="008801DA" w:rsidP="008801DA">
      <w:pPr>
        <w:rPr>
          <w:rFonts w:ascii="Arial" w:hAnsi="Arial" w:cs="Arial"/>
          <w:sz w:val="23"/>
          <w:szCs w:val="23"/>
        </w:rPr>
      </w:pPr>
      <w:r w:rsidRPr="009F0A7F">
        <w:rPr>
          <w:rFonts w:ascii="Arial" w:hAnsi="Arial" w:cs="Arial"/>
          <w:sz w:val="23"/>
          <w:szCs w:val="23"/>
        </w:rPr>
        <w:t>Por otra parte, el personal del Servicio Profesional que obtenga un grado académico, definido como la conclusión de algún programa de estudios de nivel licenciatura, especialidad, maestría o doctorado, podrá recibir el beneficio de 5 días de descanso.</w:t>
      </w:r>
    </w:p>
    <w:p w:rsidR="008801DA" w:rsidRPr="009F0A7F" w:rsidRDefault="008801DA" w:rsidP="008801DA">
      <w:pPr>
        <w:rPr>
          <w:rFonts w:ascii="Arial" w:hAnsi="Arial" w:cs="Arial"/>
          <w:sz w:val="23"/>
          <w:szCs w:val="23"/>
        </w:rPr>
      </w:pPr>
      <w:r w:rsidRPr="009F0A7F">
        <w:rPr>
          <w:rFonts w:ascii="Arial" w:hAnsi="Arial" w:cs="Arial"/>
          <w:sz w:val="23"/>
          <w:szCs w:val="23"/>
        </w:rPr>
        <w:t>Para efectos de este incentivo, cada grado académico que obtenga el personal del Servicio Profesional sólo será considerado en una única ocasión. En caso de que se realice una segunda licenciatura, especialidad, maestría o doctorado, se considerará como un nuevo grado y se podrá hacer la valoración correspondiente.</w:t>
      </w:r>
    </w:p>
    <w:p w:rsidR="008801DA" w:rsidRDefault="008801DA" w:rsidP="008801DA">
      <w:pPr>
        <w:rPr>
          <w:rFonts w:ascii="Arial" w:hAnsi="Arial" w:cs="Arial"/>
          <w:sz w:val="23"/>
          <w:szCs w:val="23"/>
        </w:rPr>
      </w:pPr>
      <w:r w:rsidRPr="009F0A7F">
        <w:rPr>
          <w:rFonts w:ascii="Arial" w:hAnsi="Arial" w:cs="Arial"/>
          <w:sz w:val="23"/>
          <w:szCs w:val="23"/>
        </w:rPr>
        <w:t>Finalmente, el personal del Servicio Profesional que obtenga la mayor calificación trianual en la evaluación del desempeño será acreedor al incentivo por excelencia en el desempeño, mismo que consistirá en una retribución de $10,000.00 (diez mil pesos 00/100 m. n.) menos impuestos.</w:t>
      </w:r>
    </w:p>
    <w:p w:rsidR="008801DA" w:rsidRPr="009F0A7F" w:rsidRDefault="008801DA" w:rsidP="008801DA">
      <w:pPr>
        <w:pStyle w:val="Ttulo2"/>
        <w:rPr>
          <w:rFonts w:ascii="Arial" w:hAnsi="Arial" w:cs="Arial"/>
          <w:sz w:val="23"/>
          <w:szCs w:val="23"/>
        </w:rPr>
      </w:pPr>
      <w:r w:rsidRPr="009F0A7F">
        <w:rPr>
          <w:rFonts w:ascii="Arial" w:hAnsi="Arial" w:cs="Arial"/>
          <w:sz w:val="23"/>
          <w:szCs w:val="23"/>
        </w:rPr>
        <w:t>Incentivo por excelencia en el desempeño</w:t>
      </w:r>
    </w:p>
    <w:p w:rsidR="008801DA" w:rsidRPr="009F0A7F" w:rsidRDefault="008801DA" w:rsidP="008801DA">
      <w:pPr>
        <w:rPr>
          <w:rFonts w:ascii="Arial" w:hAnsi="Arial" w:cs="Arial"/>
          <w:sz w:val="23"/>
          <w:szCs w:val="23"/>
        </w:rPr>
      </w:pPr>
      <w:r w:rsidRPr="009F0A7F">
        <w:rPr>
          <w:rFonts w:ascii="Arial" w:hAnsi="Arial" w:cs="Arial"/>
          <w:sz w:val="23"/>
          <w:szCs w:val="23"/>
        </w:rPr>
        <w:t>Que, de conformidad con el artículo 44 de los Lineamientos, el personal del Servicio Profesional que obtenga la mayor calificación trianual en la evaluación del desempeño ya sea tomando como referencia la totalidad del personal del Servicio de cada organismo electoral o bien, por nivel de cargo o puesto, según sea el caso, será acreedor o acreedora al incentivo por excelencia en el desempeño.</w:t>
      </w:r>
    </w:p>
    <w:p w:rsidR="008801DA" w:rsidRPr="009F0A7F" w:rsidRDefault="008801DA" w:rsidP="008801DA">
      <w:pPr>
        <w:rPr>
          <w:rFonts w:ascii="Arial" w:hAnsi="Arial" w:cs="Arial"/>
          <w:sz w:val="23"/>
          <w:szCs w:val="23"/>
        </w:rPr>
      </w:pPr>
      <w:r w:rsidRPr="009F0A7F">
        <w:rPr>
          <w:rFonts w:ascii="Arial" w:hAnsi="Arial" w:cs="Arial"/>
          <w:sz w:val="23"/>
          <w:szCs w:val="23"/>
        </w:rPr>
        <w:t>En ese tenor, de acuerdo con el artículo 45 de dicho ordenamiento, para efectos de este incentivo, únicamente será acreedor, el personal del Servicio Profesional que obtenga la mayor calificación en la evaluación trianual del desempeño, que cumpla con las políticas y criterios establecidos en los Lineamientos.</w:t>
      </w:r>
    </w:p>
    <w:p w:rsidR="008801DA" w:rsidRPr="009F0A7F" w:rsidRDefault="008801DA" w:rsidP="008801DA">
      <w:pPr>
        <w:rPr>
          <w:rFonts w:ascii="Arial" w:hAnsi="Arial" w:cs="Arial"/>
          <w:sz w:val="23"/>
          <w:szCs w:val="23"/>
        </w:rPr>
      </w:pPr>
      <w:r w:rsidRPr="009F0A7F">
        <w:rPr>
          <w:rFonts w:ascii="Arial" w:hAnsi="Arial" w:cs="Arial"/>
          <w:sz w:val="23"/>
          <w:szCs w:val="23"/>
        </w:rPr>
        <w:lastRenderedPageBreak/>
        <w:t>Asimismo, en términos del artículo 46 de los Lineamientos, en caso de existir empate, el organismo electoral podrá elegir los criterios que le parezcan convenientes del siguiente listado:</w:t>
      </w:r>
    </w:p>
    <w:p w:rsidR="008801DA" w:rsidRPr="009F0A7F" w:rsidRDefault="008801DA" w:rsidP="0099108D">
      <w:pPr>
        <w:pStyle w:val="Prrafodelista"/>
        <w:numPr>
          <w:ilvl w:val="0"/>
          <w:numId w:val="4"/>
        </w:numPr>
        <w:rPr>
          <w:rFonts w:ascii="Arial" w:hAnsi="Arial" w:cs="Arial"/>
          <w:sz w:val="23"/>
          <w:szCs w:val="23"/>
        </w:rPr>
      </w:pPr>
      <w:r w:rsidRPr="009F0A7F">
        <w:rPr>
          <w:rFonts w:ascii="Arial" w:hAnsi="Arial" w:cs="Arial"/>
          <w:sz w:val="23"/>
          <w:szCs w:val="23"/>
        </w:rPr>
        <w:t>Mayor promedio general del programa de formación;</w:t>
      </w:r>
    </w:p>
    <w:p w:rsidR="008801DA" w:rsidRPr="009F0A7F" w:rsidRDefault="008801DA" w:rsidP="0099108D">
      <w:pPr>
        <w:pStyle w:val="Prrafodelista"/>
        <w:numPr>
          <w:ilvl w:val="0"/>
          <w:numId w:val="4"/>
        </w:numPr>
        <w:rPr>
          <w:rFonts w:ascii="Arial" w:hAnsi="Arial" w:cs="Arial"/>
          <w:sz w:val="23"/>
          <w:szCs w:val="23"/>
        </w:rPr>
      </w:pPr>
      <w:r w:rsidRPr="009F0A7F">
        <w:rPr>
          <w:rFonts w:ascii="Arial" w:hAnsi="Arial" w:cs="Arial"/>
          <w:sz w:val="23"/>
          <w:szCs w:val="23"/>
        </w:rPr>
        <w:t>Contar con la titularidad;</w:t>
      </w:r>
    </w:p>
    <w:p w:rsidR="008801DA" w:rsidRPr="009F0A7F" w:rsidRDefault="008801DA" w:rsidP="0099108D">
      <w:pPr>
        <w:pStyle w:val="Prrafodelista"/>
        <w:numPr>
          <w:ilvl w:val="0"/>
          <w:numId w:val="4"/>
        </w:numPr>
        <w:rPr>
          <w:rFonts w:ascii="Arial" w:hAnsi="Arial" w:cs="Arial"/>
          <w:sz w:val="23"/>
          <w:szCs w:val="23"/>
        </w:rPr>
      </w:pPr>
      <w:r w:rsidRPr="009F0A7F">
        <w:rPr>
          <w:rFonts w:ascii="Arial" w:hAnsi="Arial" w:cs="Arial"/>
          <w:sz w:val="23"/>
          <w:szCs w:val="23"/>
        </w:rPr>
        <w:t>Contar con el mayor rango;</w:t>
      </w:r>
    </w:p>
    <w:p w:rsidR="008801DA" w:rsidRPr="009F0A7F" w:rsidRDefault="008801DA" w:rsidP="0099108D">
      <w:pPr>
        <w:pStyle w:val="Prrafodelista"/>
        <w:numPr>
          <w:ilvl w:val="0"/>
          <w:numId w:val="4"/>
        </w:numPr>
        <w:rPr>
          <w:rFonts w:ascii="Arial" w:hAnsi="Arial" w:cs="Arial"/>
          <w:sz w:val="23"/>
          <w:szCs w:val="23"/>
        </w:rPr>
      </w:pPr>
      <w:r w:rsidRPr="009F0A7F">
        <w:rPr>
          <w:rFonts w:ascii="Arial" w:hAnsi="Arial" w:cs="Arial"/>
          <w:sz w:val="23"/>
          <w:szCs w:val="23"/>
        </w:rPr>
        <w:t>Mayor antigüedad en el Servicio del sistema de organismos electorales, y</w:t>
      </w:r>
    </w:p>
    <w:p w:rsidR="00082137" w:rsidRPr="009F0A7F" w:rsidRDefault="008801DA" w:rsidP="0099108D">
      <w:pPr>
        <w:pStyle w:val="Prrafodelista"/>
        <w:numPr>
          <w:ilvl w:val="0"/>
          <w:numId w:val="4"/>
        </w:numPr>
        <w:rPr>
          <w:rFonts w:ascii="Arial" w:hAnsi="Arial" w:cs="Arial"/>
          <w:sz w:val="23"/>
          <w:szCs w:val="23"/>
        </w:rPr>
      </w:pPr>
      <w:r w:rsidRPr="009F0A7F">
        <w:rPr>
          <w:rFonts w:ascii="Arial" w:hAnsi="Arial" w:cs="Arial"/>
          <w:sz w:val="23"/>
          <w:szCs w:val="23"/>
        </w:rPr>
        <w:t>Otro, sugerido por el organismo electoral previo visto bueno de la Dirección Ejecutiva del Servicio Profesional</w:t>
      </w:r>
      <w:r w:rsidR="00082137" w:rsidRPr="009F0A7F">
        <w:rPr>
          <w:rFonts w:ascii="Arial" w:hAnsi="Arial" w:cs="Arial"/>
          <w:sz w:val="23"/>
          <w:szCs w:val="23"/>
        </w:rPr>
        <w:t>, a miembros del servicio profesional de este Instituto.</w:t>
      </w:r>
    </w:p>
    <w:p w:rsidR="00E13B76" w:rsidRPr="009F0A7F" w:rsidRDefault="00E13B76" w:rsidP="00E13B76">
      <w:pPr>
        <w:pStyle w:val="Ttulo2"/>
        <w:rPr>
          <w:rFonts w:ascii="Arial" w:hAnsi="Arial" w:cs="Arial"/>
          <w:sz w:val="23"/>
          <w:szCs w:val="23"/>
        </w:rPr>
      </w:pPr>
      <w:r w:rsidRPr="009F0A7F">
        <w:rPr>
          <w:rFonts w:ascii="Arial" w:hAnsi="Arial" w:cs="Arial"/>
          <w:sz w:val="23"/>
          <w:szCs w:val="23"/>
        </w:rPr>
        <w:t>Presentación de la propuesta de dictámenes</w:t>
      </w:r>
    </w:p>
    <w:p w:rsidR="00E13B76" w:rsidRPr="009F0A7F" w:rsidRDefault="00E13B76" w:rsidP="00E13B76">
      <w:pPr>
        <w:rPr>
          <w:rFonts w:ascii="Arial" w:hAnsi="Arial" w:cs="Arial"/>
          <w:sz w:val="23"/>
          <w:szCs w:val="23"/>
        </w:rPr>
      </w:pPr>
      <w:r w:rsidRPr="009F0A7F">
        <w:rPr>
          <w:rFonts w:ascii="Arial" w:hAnsi="Arial" w:cs="Arial"/>
          <w:sz w:val="23"/>
          <w:szCs w:val="23"/>
        </w:rPr>
        <w:t>Que, el 28 de agosto de 2024, el titular del Órgano de Enlace, mediante correo electrónico institucional, remitió a la Subdirección de Titularidad, Promociones e Incentivos de la DESPEN, los dictámenes preliminares de Incentivos 2024, correspondientes al ejercicio valorado 2023 y la evidencia documental correspondiente, para su análisis y validación.</w:t>
      </w:r>
    </w:p>
    <w:p w:rsidR="00E13B76" w:rsidRPr="009F0A7F" w:rsidRDefault="00E13B76" w:rsidP="00E13B76">
      <w:pPr>
        <w:rPr>
          <w:rFonts w:ascii="Arial" w:hAnsi="Arial" w:cs="Arial"/>
          <w:sz w:val="23"/>
          <w:szCs w:val="23"/>
        </w:rPr>
      </w:pPr>
      <w:r w:rsidRPr="009F0A7F">
        <w:rPr>
          <w:rFonts w:ascii="Arial" w:hAnsi="Arial" w:cs="Arial"/>
          <w:sz w:val="23"/>
          <w:szCs w:val="23"/>
        </w:rPr>
        <w:t>De lo anterior, el 30 de agosto de 2024, el titular del Órgano de Enlace, mediante correo electrónico institucional, recibió de la Subdirección de Titularidad, Promociones e Incentivos SPEN de la DESPEN, la validación de los dictámenes preliminares de Incentivos 2024 correspondientes al ejercicio valorado 2023 así como de la evidencia documental correspondiente.</w:t>
      </w:r>
    </w:p>
    <w:p w:rsidR="00E13B76" w:rsidRPr="009F0A7F" w:rsidRDefault="00E13B76" w:rsidP="00E13B76">
      <w:pPr>
        <w:rPr>
          <w:rFonts w:ascii="Arial" w:hAnsi="Arial" w:cs="Arial"/>
          <w:sz w:val="23"/>
          <w:szCs w:val="23"/>
        </w:rPr>
      </w:pPr>
      <w:r w:rsidRPr="009F0A7F">
        <w:rPr>
          <w:rFonts w:ascii="Arial" w:hAnsi="Arial" w:cs="Arial"/>
          <w:sz w:val="23"/>
          <w:szCs w:val="23"/>
        </w:rPr>
        <w:t>Por lo que, el 11 de octubre de 2024, con fundamento en el artículo 15, inciso g) y 54 de los Lineamientos, el titular del Órgano de Enlace mediante oficio OESPEN/SE/074/2024, remitió a la DESPEN del INE, la versión final de los dictámenes para el otorgamiento de Incentivos 2024, correspondientes al ejercicio valorado 2023 y la evidencia documental correspondiente, para su visto bueno.</w:t>
      </w:r>
    </w:p>
    <w:p w:rsidR="00E13B76" w:rsidRPr="009F0A7F" w:rsidRDefault="00E13B76" w:rsidP="00E13B76">
      <w:pPr>
        <w:pStyle w:val="Ttulo2"/>
        <w:rPr>
          <w:rFonts w:ascii="Arial" w:hAnsi="Arial" w:cs="Arial"/>
          <w:sz w:val="23"/>
          <w:szCs w:val="23"/>
        </w:rPr>
      </w:pPr>
      <w:r w:rsidRPr="009F0A7F">
        <w:rPr>
          <w:rFonts w:ascii="Arial" w:hAnsi="Arial" w:cs="Arial"/>
          <w:sz w:val="23"/>
          <w:szCs w:val="23"/>
        </w:rPr>
        <w:t>Visto bueno a los dictámenes</w:t>
      </w:r>
    </w:p>
    <w:p w:rsidR="00E13B76" w:rsidRPr="009F0A7F" w:rsidRDefault="00E13B76" w:rsidP="00E13B76">
      <w:pPr>
        <w:rPr>
          <w:rFonts w:ascii="Arial" w:hAnsi="Arial" w:cs="Arial"/>
          <w:sz w:val="23"/>
          <w:szCs w:val="23"/>
        </w:rPr>
      </w:pPr>
      <w:r w:rsidRPr="009F0A7F">
        <w:rPr>
          <w:rFonts w:ascii="Arial" w:hAnsi="Arial" w:cs="Arial"/>
          <w:sz w:val="23"/>
          <w:szCs w:val="23"/>
        </w:rPr>
        <w:t xml:space="preserve">Que, el 25 de octubre de 2024, el encargado de despacho de la DESPEN del INE mediante oficio INE/ED/DESPEN/1573/2024, comunicó al titular del Órgano de Enlace que procedió a hacer la revisión de la información relativa a los dictámenes preliminares </w:t>
      </w:r>
      <w:r w:rsidRPr="009F0A7F">
        <w:rPr>
          <w:rFonts w:ascii="Arial" w:hAnsi="Arial" w:cs="Arial"/>
          <w:sz w:val="23"/>
          <w:szCs w:val="23"/>
        </w:rPr>
        <w:lastRenderedPageBreak/>
        <w:t>para el otorgamiento de Incentivos 2024, correspondiente al ejercicio valorado 2023 y evidencias documentales, teniendo como resultado que, en ejercicio de la atribución que le confiere el artículo 12, inciso e) de los Lineamientos, otorgó el visto bueno a la versión final de los dictámenes para el otorgamiento de Incentivos por rendimiento a efectuar en 2024, correspondiente al ejercicio valorado 2023, del personal del Servicio Profesional de este Instituto que a continuación se enlista:</w:t>
      </w:r>
    </w:p>
    <w:tbl>
      <w:tblPr>
        <w:tblStyle w:val="Tablaconcuadrcula1"/>
        <w:tblW w:w="0" w:type="auto"/>
        <w:tblInd w:w="-5" w:type="dxa"/>
        <w:tblLook w:val="04A0" w:firstRow="1" w:lastRow="0" w:firstColumn="1" w:lastColumn="0" w:noHBand="0" w:noVBand="1"/>
      </w:tblPr>
      <w:tblGrid>
        <w:gridCol w:w="3119"/>
        <w:gridCol w:w="1982"/>
        <w:gridCol w:w="1562"/>
        <w:gridCol w:w="2170"/>
      </w:tblGrid>
      <w:tr w:rsidR="00FF16AE" w:rsidRPr="009F0A7F" w:rsidTr="0050736D">
        <w:trPr>
          <w:trHeight w:val="430"/>
        </w:trPr>
        <w:tc>
          <w:tcPr>
            <w:tcW w:w="3119" w:type="dxa"/>
            <w:tcBorders>
              <w:left w:val="single" w:sz="4" w:space="0" w:color="auto"/>
            </w:tcBorders>
            <w:shd w:val="clear" w:color="auto" w:fill="993366"/>
            <w:vAlign w:val="center"/>
          </w:tcPr>
          <w:p w:rsidR="00FF16AE" w:rsidRPr="009F0A7F" w:rsidRDefault="00FF16AE" w:rsidP="0050736D">
            <w:pPr>
              <w:widowControl w:val="0"/>
              <w:spacing w:before="60" w:after="60" w:line="240" w:lineRule="auto"/>
              <w:jc w:val="center"/>
              <w:rPr>
                <w:rFonts w:ascii="Arial" w:hAnsi="Arial" w:cs="Arial"/>
                <w:b/>
                <w:color w:val="FFFFFF" w:themeColor="background1"/>
                <w:kern w:val="2"/>
                <w:sz w:val="16"/>
                <w:szCs w:val="20"/>
                <w14:ligatures w14:val="standardContextual"/>
              </w:rPr>
            </w:pPr>
            <w:r w:rsidRPr="009F0A7F">
              <w:rPr>
                <w:rFonts w:ascii="Arial" w:hAnsi="Arial" w:cs="Arial"/>
                <w:b/>
                <w:color w:val="FFFFFF" w:themeColor="background1"/>
                <w:kern w:val="2"/>
                <w:sz w:val="16"/>
                <w:szCs w:val="20"/>
                <w14:ligatures w14:val="standardContextual"/>
              </w:rPr>
              <w:t>Nombre</w:t>
            </w:r>
          </w:p>
        </w:tc>
        <w:tc>
          <w:tcPr>
            <w:tcW w:w="1982" w:type="dxa"/>
            <w:shd w:val="clear" w:color="auto" w:fill="993366"/>
            <w:vAlign w:val="center"/>
          </w:tcPr>
          <w:p w:rsidR="00FF16AE" w:rsidRPr="009F0A7F" w:rsidRDefault="00FF16AE" w:rsidP="0050736D">
            <w:pPr>
              <w:widowControl w:val="0"/>
              <w:spacing w:before="60" w:after="60" w:line="240" w:lineRule="auto"/>
              <w:jc w:val="center"/>
              <w:rPr>
                <w:rFonts w:ascii="Arial" w:hAnsi="Arial" w:cs="Arial"/>
                <w:b/>
                <w:color w:val="FFFFFF" w:themeColor="background1"/>
                <w:kern w:val="2"/>
                <w:sz w:val="16"/>
                <w:szCs w:val="20"/>
                <w14:ligatures w14:val="standardContextual"/>
              </w:rPr>
            </w:pPr>
            <w:r w:rsidRPr="009F0A7F">
              <w:rPr>
                <w:rFonts w:ascii="Arial" w:hAnsi="Arial" w:cs="Arial"/>
                <w:b/>
                <w:color w:val="FFFFFF" w:themeColor="background1"/>
                <w:kern w:val="2"/>
                <w:sz w:val="16"/>
                <w:szCs w:val="20"/>
                <w14:ligatures w14:val="standardContextual"/>
              </w:rPr>
              <w:t>Tipo de incentivo a otorgar</w:t>
            </w:r>
          </w:p>
        </w:tc>
        <w:tc>
          <w:tcPr>
            <w:tcW w:w="1562" w:type="dxa"/>
            <w:shd w:val="clear" w:color="auto" w:fill="993366"/>
            <w:vAlign w:val="center"/>
          </w:tcPr>
          <w:p w:rsidR="00FF16AE" w:rsidRPr="009F0A7F" w:rsidRDefault="00FF16AE" w:rsidP="0050736D">
            <w:pPr>
              <w:widowControl w:val="0"/>
              <w:spacing w:before="60" w:after="60" w:line="240" w:lineRule="auto"/>
              <w:jc w:val="center"/>
              <w:rPr>
                <w:rFonts w:ascii="Arial" w:hAnsi="Arial" w:cs="Arial"/>
                <w:b/>
                <w:color w:val="FFFFFF" w:themeColor="background1"/>
                <w:kern w:val="2"/>
                <w:sz w:val="16"/>
                <w:szCs w:val="20"/>
                <w14:ligatures w14:val="standardContextual"/>
              </w:rPr>
            </w:pPr>
            <w:r w:rsidRPr="009F0A7F">
              <w:rPr>
                <w:rFonts w:ascii="Arial" w:hAnsi="Arial" w:cs="Arial"/>
                <w:b/>
                <w:color w:val="FFFFFF" w:themeColor="background1"/>
                <w:kern w:val="2"/>
                <w:sz w:val="16"/>
                <w:szCs w:val="20"/>
                <w14:ligatures w14:val="standardContextual"/>
              </w:rPr>
              <w:t>Cargo</w:t>
            </w:r>
          </w:p>
        </w:tc>
        <w:tc>
          <w:tcPr>
            <w:tcW w:w="2170" w:type="dxa"/>
            <w:shd w:val="clear" w:color="auto" w:fill="993366"/>
            <w:vAlign w:val="center"/>
          </w:tcPr>
          <w:p w:rsidR="00FF16AE" w:rsidRPr="009F0A7F" w:rsidRDefault="00FF16AE" w:rsidP="0050736D">
            <w:pPr>
              <w:widowControl w:val="0"/>
              <w:spacing w:before="60" w:after="60" w:line="240" w:lineRule="auto"/>
              <w:jc w:val="center"/>
              <w:rPr>
                <w:rFonts w:ascii="Arial" w:hAnsi="Arial" w:cs="Arial"/>
                <w:b/>
                <w:color w:val="FFFFFF" w:themeColor="background1"/>
                <w:kern w:val="2"/>
                <w:sz w:val="16"/>
                <w:szCs w:val="20"/>
                <w14:ligatures w14:val="standardContextual"/>
              </w:rPr>
            </w:pPr>
            <w:r w:rsidRPr="009F0A7F">
              <w:rPr>
                <w:rFonts w:ascii="Arial" w:hAnsi="Arial" w:cs="Arial"/>
                <w:b/>
                <w:color w:val="FFFFFF" w:themeColor="background1"/>
                <w:kern w:val="2"/>
                <w:sz w:val="16"/>
                <w:szCs w:val="20"/>
                <w14:ligatures w14:val="standardContextual"/>
              </w:rPr>
              <w:t>Retribución y/o beneficio (monto bruto)</w:t>
            </w:r>
          </w:p>
        </w:tc>
      </w:tr>
      <w:tr w:rsidR="00FF16AE" w:rsidRPr="009F0A7F" w:rsidTr="0050736D">
        <w:trPr>
          <w:trHeight w:val="326"/>
        </w:trPr>
        <w:tc>
          <w:tcPr>
            <w:tcW w:w="3119" w:type="dxa"/>
            <w:vAlign w:val="center"/>
          </w:tcPr>
          <w:p w:rsidR="00FF16AE" w:rsidRPr="009F0A7F" w:rsidRDefault="00FF16AE" w:rsidP="0050736D">
            <w:pPr>
              <w:widowControl w:val="0"/>
              <w:spacing w:before="60" w:after="60" w:line="240" w:lineRule="auto"/>
              <w:rPr>
                <w:rFonts w:ascii="Arial" w:hAnsi="Arial" w:cs="Arial"/>
                <w:kern w:val="2"/>
                <w:sz w:val="20"/>
                <w:szCs w:val="20"/>
                <w14:ligatures w14:val="standardContextual"/>
              </w:rPr>
            </w:pPr>
            <w:r w:rsidRPr="009F0A7F">
              <w:rPr>
                <w:rFonts w:ascii="Arial" w:hAnsi="Arial" w:cs="Arial"/>
                <w:kern w:val="2"/>
                <w:sz w:val="20"/>
                <w:szCs w:val="20"/>
                <w14:ligatures w14:val="standardContextual"/>
              </w:rPr>
              <w:t xml:space="preserve">Ricardo Alfredo Rosique Román </w:t>
            </w:r>
          </w:p>
        </w:tc>
        <w:tc>
          <w:tcPr>
            <w:tcW w:w="1982" w:type="dxa"/>
            <w:vAlign w:val="center"/>
          </w:tcPr>
          <w:p w:rsidR="00FF16AE" w:rsidRPr="009F0A7F" w:rsidRDefault="00FF16AE" w:rsidP="0050736D">
            <w:pPr>
              <w:widowControl w:val="0"/>
              <w:spacing w:before="60" w:after="60" w:line="240" w:lineRule="auto"/>
              <w:jc w:val="center"/>
              <w:rPr>
                <w:rFonts w:ascii="Arial" w:hAnsi="Arial" w:cs="Arial"/>
                <w:kern w:val="2"/>
                <w:sz w:val="20"/>
                <w:szCs w:val="20"/>
                <w14:ligatures w14:val="standardContextual"/>
              </w:rPr>
            </w:pPr>
            <w:r w:rsidRPr="009F0A7F">
              <w:rPr>
                <w:rFonts w:ascii="Arial" w:hAnsi="Arial" w:cs="Arial"/>
                <w:kern w:val="2"/>
                <w:sz w:val="20"/>
                <w:szCs w:val="20"/>
                <w14:ligatures w14:val="standardContextual"/>
              </w:rPr>
              <w:t>Rendimiento</w:t>
            </w:r>
          </w:p>
        </w:tc>
        <w:tc>
          <w:tcPr>
            <w:tcW w:w="1562" w:type="dxa"/>
            <w:vAlign w:val="center"/>
          </w:tcPr>
          <w:p w:rsidR="00FF16AE" w:rsidRPr="009F0A7F" w:rsidRDefault="00FF16AE" w:rsidP="0050736D">
            <w:pPr>
              <w:widowControl w:val="0"/>
              <w:spacing w:before="60" w:after="60" w:line="240" w:lineRule="auto"/>
              <w:jc w:val="center"/>
              <w:rPr>
                <w:rFonts w:ascii="Arial" w:hAnsi="Arial" w:cs="Arial"/>
                <w:kern w:val="2"/>
                <w:sz w:val="20"/>
                <w:szCs w:val="20"/>
                <w14:ligatures w14:val="standardContextual"/>
              </w:rPr>
            </w:pPr>
            <w:r w:rsidRPr="009F0A7F">
              <w:rPr>
                <w:rFonts w:ascii="Arial" w:hAnsi="Arial" w:cs="Arial"/>
                <w:kern w:val="2"/>
                <w:sz w:val="20"/>
                <w:szCs w:val="20"/>
                <w14:ligatures w14:val="standardContextual"/>
              </w:rPr>
              <w:t>Coordinación</w:t>
            </w:r>
          </w:p>
        </w:tc>
        <w:tc>
          <w:tcPr>
            <w:tcW w:w="2170" w:type="dxa"/>
            <w:vAlign w:val="center"/>
          </w:tcPr>
          <w:p w:rsidR="00FF16AE" w:rsidRPr="009F0A7F" w:rsidRDefault="00FF16AE" w:rsidP="0050736D">
            <w:pPr>
              <w:widowControl w:val="0"/>
              <w:spacing w:before="60" w:after="60" w:line="240" w:lineRule="auto"/>
              <w:jc w:val="center"/>
              <w:rPr>
                <w:rFonts w:ascii="Arial" w:hAnsi="Arial" w:cs="Arial"/>
                <w:kern w:val="2"/>
                <w:sz w:val="20"/>
                <w:szCs w:val="20"/>
                <w14:ligatures w14:val="standardContextual"/>
              </w:rPr>
            </w:pPr>
            <w:r w:rsidRPr="009F0A7F">
              <w:rPr>
                <w:rFonts w:ascii="Arial" w:hAnsi="Arial" w:cs="Arial"/>
                <w:kern w:val="2"/>
                <w:sz w:val="20"/>
                <w:szCs w:val="20"/>
                <w14:ligatures w14:val="standardContextual"/>
              </w:rPr>
              <w:t>$25,000.00</w:t>
            </w:r>
          </w:p>
        </w:tc>
        <w:bookmarkStart w:id="0" w:name="_GoBack"/>
        <w:bookmarkEnd w:id="0"/>
      </w:tr>
      <w:tr w:rsidR="00FF16AE" w:rsidRPr="009F0A7F" w:rsidTr="0050736D">
        <w:trPr>
          <w:trHeight w:val="351"/>
        </w:trPr>
        <w:tc>
          <w:tcPr>
            <w:tcW w:w="3119" w:type="dxa"/>
            <w:vAlign w:val="center"/>
          </w:tcPr>
          <w:p w:rsidR="00FF16AE" w:rsidRPr="009F0A7F" w:rsidRDefault="00FF16AE" w:rsidP="0050736D">
            <w:pPr>
              <w:widowControl w:val="0"/>
              <w:spacing w:before="60" w:after="60" w:line="240" w:lineRule="auto"/>
              <w:rPr>
                <w:rFonts w:ascii="Arial" w:hAnsi="Arial" w:cs="Arial"/>
                <w:kern w:val="2"/>
                <w:sz w:val="20"/>
                <w:szCs w:val="20"/>
                <w14:ligatures w14:val="standardContextual"/>
              </w:rPr>
            </w:pPr>
            <w:proofErr w:type="spellStart"/>
            <w:r w:rsidRPr="009F0A7F">
              <w:rPr>
                <w:rFonts w:ascii="Arial" w:hAnsi="Arial" w:cs="Arial"/>
                <w:kern w:val="2"/>
                <w:sz w:val="20"/>
                <w:szCs w:val="20"/>
                <w14:ligatures w14:val="standardContextual"/>
              </w:rPr>
              <w:t>Hiber</w:t>
            </w:r>
            <w:proofErr w:type="spellEnd"/>
            <w:r w:rsidRPr="009F0A7F">
              <w:rPr>
                <w:rFonts w:ascii="Arial" w:hAnsi="Arial" w:cs="Arial"/>
                <w:kern w:val="2"/>
                <w:sz w:val="20"/>
                <w:szCs w:val="20"/>
                <w14:ligatures w14:val="standardContextual"/>
              </w:rPr>
              <w:t xml:space="preserve"> Antonio Pérez Pablo</w:t>
            </w:r>
          </w:p>
        </w:tc>
        <w:tc>
          <w:tcPr>
            <w:tcW w:w="1982" w:type="dxa"/>
            <w:vAlign w:val="center"/>
          </w:tcPr>
          <w:p w:rsidR="00FF16AE" w:rsidRPr="009F0A7F" w:rsidRDefault="00FF16AE" w:rsidP="0050736D">
            <w:pPr>
              <w:widowControl w:val="0"/>
              <w:spacing w:before="60" w:after="60" w:line="240" w:lineRule="auto"/>
              <w:jc w:val="center"/>
              <w:rPr>
                <w:rFonts w:ascii="Arial" w:hAnsi="Arial" w:cs="Arial"/>
                <w:kern w:val="2"/>
                <w:sz w:val="20"/>
                <w:szCs w:val="20"/>
                <w14:ligatures w14:val="standardContextual"/>
              </w:rPr>
            </w:pPr>
            <w:r w:rsidRPr="009F0A7F">
              <w:rPr>
                <w:rFonts w:ascii="Arial" w:hAnsi="Arial" w:cs="Arial"/>
                <w:kern w:val="2"/>
                <w:sz w:val="20"/>
                <w:szCs w:val="20"/>
                <w14:ligatures w14:val="standardContextual"/>
              </w:rPr>
              <w:t>Rendimiento</w:t>
            </w:r>
          </w:p>
        </w:tc>
        <w:tc>
          <w:tcPr>
            <w:tcW w:w="1562" w:type="dxa"/>
            <w:vAlign w:val="center"/>
          </w:tcPr>
          <w:p w:rsidR="00FF16AE" w:rsidRPr="009F0A7F" w:rsidRDefault="00FF16AE" w:rsidP="0050736D">
            <w:pPr>
              <w:widowControl w:val="0"/>
              <w:spacing w:before="60" w:after="60" w:line="240" w:lineRule="auto"/>
              <w:jc w:val="center"/>
              <w:rPr>
                <w:rFonts w:ascii="Arial" w:hAnsi="Arial" w:cs="Arial"/>
                <w:kern w:val="2"/>
                <w:sz w:val="20"/>
                <w:szCs w:val="20"/>
                <w14:ligatures w14:val="standardContextual"/>
              </w:rPr>
            </w:pPr>
            <w:r w:rsidRPr="009F0A7F">
              <w:rPr>
                <w:rFonts w:ascii="Arial" w:hAnsi="Arial" w:cs="Arial"/>
                <w:kern w:val="2"/>
                <w:sz w:val="20"/>
                <w:szCs w:val="20"/>
                <w14:ligatures w14:val="standardContextual"/>
              </w:rPr>
              <w:t>Coordinación</w:t>
            </w:r>
          </w:p>
        </w:tc>
        <w:tc>
          <w:tcPr>
            <w:tcW w:w="2170" w:type="dxa"/>
            <w:vAlign w:val="center"/>
          </w:tcPr>
          <w:p w:rsidR="00FF16AE" w:rsidRPr="009F0A7F" w:rsidRDefault="00FF16AE" w:rsidP="0050736D">
            <w:pPr>
              <w:widowControl w:val="0"/>
              <w:spacing w:before="60" w:after="60" w:line="240" w:lineRule="auto"/>
              <w:jc w:val="center"/>
              <w:rPr>
                <w:rFonts w:ascii="Arial" w:hAnsi="Arial" w:cs="Arial"/>
                <w:kern w:val="2"/>
                <w:sz w:val="20"/>
                <w:szCs w:val="20"/>
                <w14:ligatures w14:val="standardContextual"/>
              </w:rPr>
            </w:pPr>
            <w:r w:rsidRPr="009F0A7F">
              <w:rPr>
                <w:rFonts w:ascii="Arial" w:hAnsi="Arial" w:cs="Arial"/>
                <w:kern w:val="2"/>
                <w:sz w:val="20"/>
                <w:szCs w:val="20"/>
                <w14:ligatures w14:val="standardContextual"/>
              </w:rPr>
              <w:t>$25,000.00</w:t>
            </w:r>
          </w:p>
        </w:tc>
      </w:tr>
    </w:tbl>
    <w:p w:rsidR="0099108D" w:rsidRPr="009F0A7F" w:rsidRDefault="00E13B76" w:rsidP="00E13B76">
      <w:pPr>
        <w:rPr>
          <w:rFonts w:ascii="Arial" w:hAnsi="Arial" w:cs="Arial"/>
          <w:sz w:val="23"/>
          <w:szCs w:val="23"/>
        </w:rPr>
      </w:pPr>
      <w:r w:rsidRPr="009F0A7F">
        <w:rPr>
          <w:rFonts w:ascii="Arial" w:hAnsi="Arial" w:cs="Arial"/>
          <w:sz w:val="23"/>
          <w:szCs w:val="23"/>
        </w:rPr>
        <w:t>Con lo anterior, los dictámenes para el otorgamiento de Incentivos 2024 correspondiente al ejercicio valorado 2023, quedaron en posibilidad de presentarse al Consejo Estatal, para su aprobación, previa autorización de la Comisión de Seguimiento.</w:t>
      </w:r>
    </w:p>
    <w:p w:rsidR="00772AE4" w:rsidRDefault="00772AE4" w:rsidP="00772AE4">
      <w:pPr>
        <w:rPr>
          <w:rFonts w:ascii="Arial" w:hAnsi="Arial" w:cs="Arial"/>
          <w:sz w:val="23"/>
          <w:szCs w:val="23"/>
        </w:rPr>
      </w:pPr>
      <w:r w:rsidRPr="009F0A7F">
        <w:rPr>
          <w:rFonts w:ascii="Arial" w:hAnsi="Arial" w:cs="Arial"/>
          <w:sz w:val="23"/>
          <w:szCs w:val="23"/>
        </w:rPr>
        <w:t>Sobre la base de las consideraciones señaladas, este Consejo Estatal emite el siguiente:</w:t>
      </w:r>
    </w:p>
    <w:p w:rsidR="009F0A7F" w:rsidRPr="009F0A7F" w:rsidRDefault="009F0A7F" w:rsidP="00772AE4">
      <w:pPr>
        <w:rPr>
          <w:rFonts w:ascii="Arial" w:hAnsi="Arial" w:cs="Arial"/>
          <w:sz w:val="23"/>
          <w:szCs w:val="23"/>
        </w:rPr>
      </w:pPr>
    </w:p>
    <w:p w:rsidR="00772AE4" w:rsidRDefault="00772AE4" w:rsidP="009F0A7F">
      <w:pPr>
        <w:pStyle w:val="Ttulo1"/>
        <w:spacing w:before="0" w:after="0"/>
        <w:rPr>
          <w:rFonts w:ascii="Arial" w:hAnsi="Arial" w:cs="Arial"/>
          <w:sz w:val="24"/>
          <w:szCs w:val="24"/>
        </w:rPr>
      </w:pPr>
      <w:r w:rsidRPr="009F0A7F">
        <w:rPr>
          <w:rFonts w:ascii="Arial" w:hAnsi="Arial" w:cs="Arial"/>
          <w:sz w:val="24"/>
          <w:szCs w:val="24"/>
        </w:rPr>
        <w:t>Acuerdo</w:t>
      </w:r>
    </w:p>
    <w:p w:rsidR="009F0A7F" w:rsidRPr="009F0A7F" w:rsidRDefault="009F0A7F" w:rsidP="009F0A7F"/>
    <w:p w:rsidR="00772AE4" w:rsidRDefault="00772AE4" w:rsidP="009F0A7F">
      <w:pPr>
        <w:spacing w:before="0" w:after="0"/>
        <w:rPr>
          <w:rFonts w:ascii="Arial" w:hAnsi="Arial" w:cs="Arial"/>
          <w:sz w:val="23"/>
          <w:szCs w:val="23"/>
        </w:rPr>
      </w:pPr>
      <w:r w:rsidRPr="009F0A7F">
        <w:rPr>
          <w:rFonts w:ascii="Arial" w:hAnsi="Arial" w:cs="Arial"/>
          <w:b/>
          <w:sz w:val="23"/>
          <w:szCs w:val="23"/>
        </w:rPr>
        <w:t>Primero.</w:t>
      </w:r>
      <w:r w:rsidRPr="009F0A7F">
        <w:rPr>
          <w:rFonts w:ascii="Arial" w:hAnsi="Arial" w:cs="Arial"/>
          <w:sz w:val="23"/>
          <w:szCs w:val="23"/>
        </w:rPr>
        <w:t xml:space="preserve"> Se aprueba</w:t>
      </w:r>
      <w:r w:rsidR="00D55D14" w:rsidRPr="009F0A7F">
        <w:rPr>
          <w:rFonts w:ascii="Arial" w:hAnsi="Arial" w:cs="Arial"/>
          <w:sz w:val="23"/>
          <w:szCs w:val="23"/>
        </w:rPr>
        <w:t>n</w:t>
      </w:r>
      <w:r w:rsidRPr="009F0A7F">
        <w:rPr>
          <w:rFonts w:ascii="Arial" w:hAnsi="Arial" w:cs="Arial"/>
          <w:sz w:val="23"/>
          <w:szCs w:val="23"/>
        </w:rPr>
        <w:t xml:space="preserve"> </w:t>
      </w:r>
      <w:r w:rsidR="00D55D14" w:rsidRPr="009F0A7F">
        <w:rPr>
          <w:rFonts w:ascii="Arial" w:hAnsi="Arial" w:cs="Arial"/>
          <w:sz w:val="23"/>
          <w:szCs w:val="23"/>
        </w:rPr>
        <w:t xml:space="preserve">los dictámenes </w:t>
      </w:r>
      <w:r w:rsidRPr="009F0A7F">
        <w:rPr>
          <w:rFonts w:ascii="Arial" w:hAnsi="Arial" w:cs="Arial"/>
          <w:sz w:val="23"/>
          <w:szCs w:val="23"/>
        </w:rPr>
        <w:t>para el otorgamiento de</w:t>
      </w:r>
      <w:r w:rsidR="00A859D2" w:rsidRPr="009F0A7F">
        <w:rPr>
          <w:rFonts w:ascii="Arial" w:hAnsi="Arial" w:cs="Arial"/>
          <w:sz w:val="23"/>
          <w:szCs w:val="23"/>
        </w:rPr>
        <w:t>l</w:t>
      </w:r>
      <w:r w:rsidRPr="009F0A7F">
        <w:rPr>
          <w:rFonts w:ascii="Arial" w:hAnsi="Arial" w:cs="Arial"/>
          <w:sz w:val="23"/>
          <w:szCs w:val="23"/>
        </w:rPr>
        <w:t xml:space="preserve"> incentivo </w:t>
      </w:r>
      <w:r w:rsidR="00A859D2" w:rsidRPr="009F0A7F">
        <w:rPr>
          <w:rFonts w:ascii="Arial" w:hAnsi="Arial" w:cs="Arial"/>
          <w:sz w:val="23"/>
          <w:szCs w:val="23"/>
        </w:rPr>
        <w:t xml:space="preserve">por rendimiento 2024, correspondiente al ejercicio valorado 2023 </w:t>
      </w:r>
      <w:r w:rsidRPr="009F0A7F">
        <w:rPr>
          <w:rFonts w:ascii="Arial" w:hAnsi="Arial" w:cs="Arial"/>
          <w:sz w:val="23"/>
          <w:szCs w:val="23"/>
        </w:rPr>
        <w:t>a miembros del Servicio Profesional Electoral Nacional, mismo</w:t>
      </w:r>
      <w:r w:rsidR="00D55D14" w:rsidRPr="009F0A7F">
        <w:rPr>
          <w:rFonts w:ascii="Arial" w:hAnsi="Arial" w:cs="Arial"/>
          <w:sz w:val="23"/>
          <w:szCs w:val="23"/>
        </w:rPr>
        <w:t>s</w:t>
      </w:r>
      <w:r w:rsidRPr="009F0A7F">
        <w:rPr>
          <w:rFonts w:ascii="Arial" w:hAnsi="Arial" w:cs="Arial"/>
          <w:sz w:val="23"/>
          <w:szCs w:val="23"/>
        </w:rPr>
        <w:t xml:space="preserve"> que se anexa</w:t>
      </w:r>
      <w:r w:rsidR="00D55D14" w:rsidRPr="009F0A7F">
        <w:rPr>
          <w:rFonts w:ascii="Arial" w:hAnsi="Arial" w:cs="Arial"/>
          <w:sz w:val="23"/>
          <w:szCs w:val="23"/>
        </w:rPr>
        <w:t>n</w:t>
      </w:r>
      <w:r w:rsidRPr="009F0A7F">
        <w:rPr>
          <w:rFonts w:ascii="Arial" w:hAnsi="Arial" w:cs="Arial"/>
          <w:sz w:val="23"/>
          <w:szCs w:val="23"/>
        </w:rPr>
        <w:t xml:space="preserve"> al presente acuerdo y que corresponde</w:t>
      </w:r>
      <w:r w:rsidR="00DB54F0" w:rsidRPr="009F0A7F">
        <w:rPr>
          <w:rFonts w:ascii="Arial" w:hAnsi="Arial" w:cs="Arial"/>
          <w:sz w:val="23"/>
          <w:szCs w:val="23"/>
        </w:rPr>
        <w:t>n</w:t>
      </w:r>
      <w:r w:rsidRPr="009F0A7F">
        <w:rPr>
          <w:rFonts w:ascii="Arial" w:hAnsi="Arial" w:cs="Arial"/>
          <w:sz w:val="23"/>
          <w:szCs w:val="23"/>
        </w:rPr>
        <w:t xml:space="preserve"> a las siguientes personas:</w:t>
      </w:r>
    </w:p>
    <w:p w:rsidR="009F0A7F" w:rsidRPr="009F0A7F" w:rsidRDefault="009F0A7F" w:rsidP="009F0A7F">
      <w:pPr>
        <w:spacing w:before="0" w:after="0"/>
        <w:rPr>
          <w:rFonts w:ascii="Arial" w:hAnsi="Arial" w:cs="Arial"/>
          <w:sz w:val="23"/>
          <w:szCs w:val="23"/>
        </w:rPr>
      </w:pPr>
    </w:p>
    <w:tbl>
      <w:tblPr>
        <w:tblStyle w:val="Tablaconcuadrcula1"/>
        <w:tblW w:w="0" w:type="auto"/>
        <w:tblInd w:w="-5" w:type="dxa"/>
        <w:tblLook w:val="04A0" w:firstRow="1" w:lastRow="0" w:firstColumn="1" w:lastColumn="0" w:noHBand="0" w:noVBand="1"/>
      </w:tblPr>
      <w:tblGrid>
        <w:gridCol w:w="3119"/>
        <w:gridCol w:w="1982"/>
        <w:gridCol w:w="1562"/>
        <w:gridCol w:w="2170"/>
      </w:tblGrid>
      <w:tr w:rsidR="00FF16AE" w:rsidRPr="009F0A7F" w:rsidTr="0050736D">
        <w:trPr>
          <w:trHeight w:val="430"/>
        </w:trPr>
        <w:tc>
          <w:tcPr>
            <w:tcW w:w="3119" w:type="dxa"/>
            <w:tcBorders>
              <w:left w:val="single" w:sz="4" w:space="0" w:color="auto"/>
            </w:tcBorders>
            <w:shd w:val="clear" w:color="auto" w:fill="993366"/>
            <w:vAlign w:val="center"/>
          </w:tcPr>
          <w:p w:rsidR="00FF16AE" w:rsidRPr="009F0A7F" w:rsidRDefault="00FF16AE" w:rsidP="0050736D">
            <w:pPr>
              <w:widowControl w:val="0"/>
              <w:spacing w:before="60" w:after="60" w:line="240" w:lineRule="auto"/>
              <w:jc w:val="center"/>
              <w:rPr>
                <w:rFonts w:ascii="Arial" w:hAnsi="Arial" w:cs="Arial"/>
                <w:b/>
                <w:color w:val="FFFFFF" w:themeColor="background1"/>
                <w:kern w:val="2"/>
                <w:sz w:val="16"/>
                <w:szCs w:val="20"/>
                <w14:ligatures w14:val="standardContextual"/>
              </w:rPr>
            </w:pPr>
            <w:r w:rsidRPr="009F0A7F">
              <w:rPr>
                <w:rFonts w:ascii="Arial" w:hAnsi="Arial" w:cs="Arial"/>
                <w:b/>
                <w:color w:val="FFFFFF" w:themeColor="background1"/>
                <w:kern w:val="2"/>
                <w:sz w:val="16"/>
                <w:szCs w:val="20"/>
                <w14:ligatures w14:val="standardContextual"/>
              </w:rPr>
              <w:t>Nombre</w:t>
            </w:r>
          </w:p>
        </w:tc>
        <w:tc>
          <w:tcPr>
            <w:tcW w:w="1982" w:type="dxa"/>
            <w:shd w:val="clear" w:color="auto" w:fill="993366"/>
            <w:vAlign w:val="center"/>
          </w:tcPr>
          <w:p w:rsidR="00FF16AE" w:rsidRPr="009F0A7F" w:rsidRDefault="00FF16AE" w:rsidP="0050736D">
            <w:pPr>
              <w:widowControl w:val="0"/>
              <w:spacing w:before="60" w:after="60" w:line="240" w:lineRule="auto"/>
              <w:jc w:val="center"/>
              <w:rPr>
                <w:rFonts w:ascii="Arial" w:hAnsi="Arial" w:cs="Arial"/>
                <w:b/>
                <w:color w:val="FFFFFF" w:themeColor="background1"/>
                <w:kern w:val="2"/>
                <w:sz w:val="16"/>
                <w:szCs w:val="20"/>
                <w14:ligatures w14:val="standardContextual"/>
              </w:rPr>
            </w:pPr>
            <w:r w:rsidRPr="009F0A7F">
              <w:rPr>
                <w:rFonts w:ascii="Arial" w:hAnsi="Arial" w:cs="Arial"/>
                <w:b/>
                <w:color w:val="FFFFFF" w:themeColor="background1"/>
                <w:kern w:val="2"/>
                <w:sz w:val="16"/>
                <w:szCs w:val="20"/>
                <w14:ligatures w14:val="standardContextual"/>
              </w:rPr>
              <w:t>Tipo de incentivo a otorgar</w:t>
            </w:r>
          </w:p>
        </w:tc>
        <w:tc>
          <w:tcPr>
            <w:tcW w:w="1562" w:type="dxa"/>
            <w:shd w:val="clear" w:color="auto" w:fill="993366"/>
            <w:vAlign w:val="center"/>
          </w:tcPr>
          <w:p w:rsidR="00FF16AE" w:rsidRPr="009F0A7F" w:rsidRDefault="00FF16AE" w:rsidP="0050736D">
            <w:pPr>
              <w:widowControl w:val="0"/>
              <w:spacing w:before="60" w:after="60" w:line="240" w:lineRule="auto"/>
              <w:jc w:val="center"/>
              <w:rPr>
                <w:rFonts w:ascii="Arial" w:hAnsi="Arial" w:cs="Arial"/>
                <w:b/>
                <w:color w:val="FFFFFF" w:themeColor="background1"/>
                <w:kern w:val="2"/>
                <w:sz w:val="16"/>
                <w:szCs w:val="20"/>
                <w14:ligatures w14:val="standardContextual"/>
              </w:rPr>
            </w:pPr>
            <w:r w:rsidRPr="009F0A7F">
              <w:rPr>
                <w:rFonts w:ascii="Arial" w:hAnsi="Arial" w:cs="Arial"/>
                <w:b/>
                <w:color w:val="FFFFFF" w:themeColor="background1"/>
                <w:kern w:val="2"/>
                <w:sz w:val="16"/>
                <w:szCs w:val="20"/>
                <w14:ligatures w14:val="standardContextual"/>
              </w:rPr>
              <w:t>Cargo</w:t>
            </w:r>
          </w:p>
        </w:tc>
        <w:tc>
          <w:tcPr>
            <w:tcW w:w="2170" w:type="dxa"/>
            <w:shd w:val="clear" w:color="auto" w:fill="993366"/>
            <w:vAlign w:val="center"/>
          </w:tcPr>
          <w:p w:rsidR="00FF16AE" w:rsidRPr="009F0A7F" w:rsidRDefault="00FF16AE" w:rsidP="0050736D">
            <w:pPr>
              <w:widowControl w:val="0"/>
              <w:spacing w:before="60" w:after="60" w:line="240" w:lineRule="auto"/>
              <w:jc w:val="center"/>
              <w:rPr>
                <w:rFonts w:ascii="Arial" w:hAnsi="Arial" w:cs="Arial"/>
                <w:b/>
                <w:color w:val="FFFFFF" w:themeColor="background1"/>
                <w:kern w:val="2"/>
                <w:sz w:val="16"/>
                <w:szCs w:val="20"/>
                <w14:ligatures w14:val="standardContextual"/>
              </w:rPr>
            </w:pPr>
            <w:r w:rsidRPr="009F0A7F">
              <w:rPr>
                <w:rFonts w:ascii="Arial" w:hAnsi="Arial" w:cs="Arial"/>
                <w:b/>
                <w:color w:val="FFFFFF" w:themeColor="background1"/>
                <w:kern w:val="2"/>
                <w:sz w:val="16"/>
                <w:szCs w:val="20"/>
                <w14:ligatures w14:val="standardContextual"/>
              </w:rPr>
              <w:t>Retribución y/o beneficio (monto bruto)</w:t>
            </w:r>
          </w:p>
        </w:tc>
      </w:tr>
      <w:tr w:rsidR="00FF16AE" w:rsidRPr="009F0A7F" w:rsidTr="0050736D">
        <w:trPr>
          <w:trHeight w:val="326"/>
        </w:trPr>
        <w:tc>
          <w:tcPr>
            <w:tcW w:w="3119" w:type="dxa"/>
            <w:vAlign w:val="center"/>
          </w:tcPr>
          <w:p w:rsidR="00FF16AE" w:rsidRPr="009F0A7F" w:rsidRDefault="00FF16AE" w:rsidP="0050736D">
            <w:pPr>
              <w:widowControl w:val="0"/>
              <w:spacing w:before="60" w:after="60" w:line="240" w:lineRule="auto"/>
              <w:rPr>
                <w:rFonts w:ascii="Arial" w:hAnsi="Arial" w:cs="Arial"/>
                <w:kern w:val="2"/>
                <w:sz w:val="20"/>
                <w:szCs w:val="20"/>
                <w14:ligatures w14:val="standardContextual"/>
              </w:rPr>
            </w:pPr>
            <w:r w:rsidRPr="009F0A7F">
              <w:rPr>
                <w:rFonts w:ascii="Arial" w:hAnsi="Arial" w:cs="Arial"/>
                <w:kern w:val="2"/>
                <w:sz w:val="20"/>
                <w:szCs w:val="20"/>
                <w14:ligatures w14:val="standardContextual"/>
              </w:rPr>
              <w:t xml:space="preserve">Ricardo Alfredo Rosique Román </w:t>
            </w:r>
          </w:p>
        </w:tc>
        <w:tc>
          <w:tcPr>
            <w:tcW w:w="1982" w:type="dxa"/>
            <w:vAlign w:val="center"/>
          </w:tcPr>
          <w:p w:rsidR="00FF16AE" w:rsidRPr="009F0A7F" w:rsidRDefault="00FF16AE" w:rsidP="0050736D">
            <w:pPr>
              <w:widowControl w:val="0"/>
              <w:spacing w:before="60" w:after="60" w:line="240" w:lineRule="auto"/>
              <w:jc w:val="center"/>
              <w:rPr>
                <w:rFonts w:ascii="Arial" w:hAnsi="Arial" w:cs="Arial"/>
                <w:kern w:val="2"/>
                <w:sz w:val="20"/>
                <w:szCs w:val="20"/>
                <w14:ligatures w14:val="standardContextual"/>
              </w:rPr>
            </w:pPr>
            <w:r w:rsidRPr="009F0A7F">
              <w:rPr>
                <w:rFonts w:ascii="Arial" w:hAnsi="Arial" w:cs="Arial"/>
                <w:kern w:val="2"/>
                <w:sz w:val="20"/>
                <w:szCs w:val="20"/>
                <w14:ligatures w14:val="standardContextual"/>
              </w:rPr>
              <w:t>Rendimiento</w:t>
            </w:r>
          </w:p>
        </w:tc>
        <w:tc>
          <w:tcPr>
            <w:tcW w:w="1562" w:type="dxa"/>
            <w:vAlign w:val="center"/>
          </w:tcPr>
          <w:p w:rsidR="00FF16AE" w:rsidRPr="009F0A7F" w:rsidRDefault="00FF16AE" w:rsidP="0050736D">
            <w:pPr>
              <w:widowControl w:val="0"/>
              <w:spacing w:before="60" w:after="60" w:line="240" w:lineRule="auto"/>
              <w:jc w:val="center"/>
              <w:rPr>
                <w:rFonts w:ascii="Arial" w:hAnsi="Arial" w:cs="Arial"/>
                <w:kern w:val="2"/>
                <w:sz w:val="20"/>
                <w:szCs w:val="20"/>
                <w14:ligatures w14:val="standardContextual"/>
              </w:rPr>
            </w:pPr>
            <w:r w:rsidRPr="009F0A7F">
              <w:rPr>
                <w:rFonts w:ascii="Arial" w:hAnsi="Arial" w:cs="Arial"/>
                <w:kern w:val="2"/>
                <w:sz w:val="20"/>
                <w:szCs w:val="20"/>
                <w14:ligatures w14:val="standardContextual"/>
              </w:rPr>
              <w:t>Coordinación</w:t>
            </w:r>
          </w:p>
        </w:tc>
        <w:tc>
          <w:tcPr>
            <w:tcW w:w="2170" w:type="dxa"/>
            <w:vAlign w:val="center"/>
          </w:tcPr>
          <w:p w:rsidR="00FF16AE" w:rsidRPr="009F0A7F" w:rsidRDefault="00FF16AE" w:rsidP="00FF16AE">
            <w:pPr>
              <w:widowControl w:val="0"/>
              <w:spacing w:before="60" w:after="60" w:line="240" w:lineRule="auto"/>
              <w:jc w:val="center"/>
              <w:rPr>
                <w:rFonts w:ascii="Arial" w:hAnsi="Arial" w:cs="Arial"/>
                <w:kern w:val="2"/>
                <w:sz w:val="20"/>
                <w:szCs w:val="20"/>
                <w14:ligatures w14:val="standardContextual"/>
              </w:rPr>
            </w:pPr>
            <w:r w:rsidRPr="009F0A7F">
              <w:rPr>
                <w:rFonts w:ascii="Arial" w:hAnsi="Arial" w:cs="Arial"/>
                <w:kern w:val="2"/>
                <w:sz w:val="20"/>
                <w:szCs w:val="20"/>
                <w14:ligatures w14:val="standardContextual"/>
              </w:rPr>
              <w:t>$25,000.00</w:t>
            </w:r>
          </w:p>
        </w:tc>
      </w:tr>
      <w:tr w:rsidR="00FF16AE" w:rsidRPr="009F0A7F" w:rsidTr="0050736D">
        <w:trPr>
          <w:trHeight w:val="351"/>
        </w:trPr>
        <w:tc>
          <w:tcPr>
            <w:tcW w:w="3119" w:type="dxa"/>
            <w:vAlign w:val="center"/>
          </w:tcPr>
          <w:p w:rsidR="00FF16AE" w:rsidRPr="009F0A7F" w:rsidRDefault="00FF16AE" w:rsidP="0050736D">
            <w:pPr>
              <w:widowControl w:val="0"/>
              <w:spacing w:before="60" w:after="60" w:line="240" w:lineRule="auto"/>
              <w:rPr>
                <w:rFonts w:ascii="Arial" w:hAnsi="Arial" w:cs="Arial"/>
                <w:kern w:val="2"/>
                <w:sz w:val="20"/>
                <w:szCs w:val="20"/>
                <w14:ligatures w14:val="standardContextual"/>
              </w:rPr>
            </w:pPr>
            <w:proofErr w:type="spellStart"/>
            <w:r w:rsidRPr="009F0A7F">
              <w:rPr>
                <w:rFonts w:ascii="Arial" w:hAnsi="Arial" w:cs="Arial"/>
                <w:kern w:val="2"/>
                <w:sz w:val="20"/>
                <w:szCs w:val="20"/>
                <w14:ligatures w14:val="standardContextual"/>
              </w:rPr>
              <w:t>Hiber</w:t>
            </w:r>
            <w:proofErr w:type="spellEnd"/>
            <w:r w:rsidRPr="009F0A7F">
              <w:rPr>
                <w:rFonts w:ascii="Arial" w:hAnsi="Arial" w:cs="Arial"/>
                <w:kern w:val="2"/>
                <w:sz w:val="20"/>
                <w:szCs w:val="20"/>
                <w14:ligatures w14:val="standardContextual"/>
              </w:rPr>
              <w:t xml:space="preserve"> Antonio Pérez Pablo</w:t>
            </w:r>
          </w:p>
        </w:tc>
        <w:tc>
          <w:tcPr>
            <w:tcW w:w="1982" w:type="dxa"/>
            <w:vAlign w:val="center"/>
          </w:tcPr>
          <w:p w:rsidR="00FF16AE" w:rsidRPr="009F0A7F" w:rsidRDefault="00FF16AE" w:rsidP="0050736D">
            <w:pPr>
              <w:widowControl w:val="0"/>
              <w:spacing w:before="60" w:after="60" w:line="240" w:lineRule="auto"/>
              <w:jc w:val="center"/>
              <w:rPr>
                <w:rFonts w:ascii="Arial" w:hAnsi="Arial" w:cs="Arial"/>
                <w:kern w:val="2"/>
                <w:sz w:val="20"/>
                <w:szCs w:val="20"/>
                <w14:ligatures w14:val="standardContextual"/>
              </w:rPr>
            </w:pPr>
            <w:r w:rsidRPr="009F0A7F">
              <w:rPr>
                <w:rFonts w:ascii="Arial" w:hAnsi="Arial" w:cs="Arial"/>
                <w:kern w:val="2"/>
                <w:sz w:val="20"/>
                <w:szCs w:val="20"/>
                <w14:ligatures w14:val="standardContextual"/>
              </w:rPr>
              <w:t>Rendimiento</w:t>
            </w:r>
          </w:p>
        </w:tc>
        <w:tc>
          <w:tcPr>
            <w:tcW w:w="1562" w:type="dxa"/>
            <w:vAlign w:val="center"/>
          </w:tcPr>
          <w:p w:rsidR="00FF16AE" w:rsidRPr="009F0A7F" w:rsidRDefault="00FF16AE" w:rsidP="0050736D">
            <w:pPr>
              <w:widowControl w:val="0"/>
              <w:spacing w:before="60" w:after="60" w:line="240" w:lineRule="auto"/>
              <w:jc w:val="center"/>
              <w:rPr>
                <w:rFonts w:ascii="Arial" w:hAnsi="Arial" w:cs="Arial"/>
                <w:kern w:val="2"/>
                <w:sz w:val="20"/>
                <w:szCs w:val="20"/>
                <w14:ligatures w14:val="standardContextual"/>
              </w:rPr>
            </w:pPr>
            <w:r w:rsidRPr="009F0A7F">
              <w:rPr>
                <w:rFonts w:ascii="Arial" w:hAnsi="Arial" w:cs="Arial"/>
                <w:kern w:val="2"/>
                <w:sz w:val="20"/>
                <w:szCs w:val="20"/>
                <w14:ligatures w14:val="standardContextual"/>
              </w:rPr>
              <w:t>Coordinación</w:t>
            </w:r>
          </w:p>
        </w:tc>
        <w:tc>
          <w:tcPr>
            <w:tcW w:w="2170" w:type="dxa"/>
            <w:vAlign w:val="center"/>
          </w:tcPr>
          <w:p w:rsidR="00FF16AE" w:rsidRPr="009F0A7F" w:rsidRDefault="00FF16AE" w:rsidP="00FF16AE">
            <w:pPr>
              <w:widowControl w:val="0"/>
              <w:spacing w:before="60" w:after="60" w:line="240" w:lineRule="auto"/>
              <w:jc w:val="center"/>
              <w:rPr>
                <w:rFonts w:ascii="Arial" w:hAnsi="Arial" w:cs="Arial"/>
                <w:kern w:val="2"/>
                <w:sz w:val="20"/>
                <w:szCs w:val="20"/>
                <w14:ligatures w14:val="standardContextual"/>
              </w:rPr>
            </w:pPr>
            <w:r w:rsidRPr="009F0A7F">
              <w:rPr>
                <w:rFonts w:ascii="Arial" w:hAnsi="Arial" w:cs="Arial"/>
                <w:kern w:val="2"/>
                <w:sz w:val="20"/>
                <w:szCs w:val="20"/>
                <w14:ligatures w14:val="standardContextual"/>
              </w:rPr>
              <w:t>$25,000.00</w:t>
            </w:r>
          </w:p>
        </w:tc>
      </w:tr>
    </w:tbl>
    <w:p w:rsidR="00FF16AE" w:rsidRPr="009F0A7F" w:rsidRDefault="00FF16AE" w:rsidP="00FF16AE">
      <w:pPr>
        <w:rPr>
          <w:rFonts w:ascii="Arial" w:hAnsi="Arial" w:cs="Arial"/>
          <w:sz w:val="23"/>
          <w:szCs w:val="23"/>
        </w:rPr>
      </w:pPr>
      <w:r w:rsidRPr="009F0A7F">
        <w:rPr>
          <w:rFonts w:ascii="Arial" w:hAnsi="Arial" w:cs="Arial"/>
          <w:b/>
          <w:sz w:val="23"/>
          <w:szCs w:val="23"/>
        </w:rPr>
        <w:t>Segundo.</w:t>
      </w:r>
      <w:r w:rsidRPr="009F0A7F">
        <w:rPr>
          <w:rFonts w:ascii="Arial" w:hAnsi="Arial" w:cs="Arial"/>
          <w:sz w:val="23"/>
          <w:szCs w:val="23"/>
        </w:rPr>
        <w:t xml:space="preserve"> En consecuencia, se instruye a la Dirección de Administración que, de forma inmediata, cubra a </w:t>
      </w:r>
      <w:r w:rsidR="00094B1D" w:rsidRPr="009F0A7F">
        <w:rPr>
          <w:rFonts w:ascii="Arial" w:hAnsi="Arial" w:cs="Arial"/>
          <w:sz w:val="23"/>
          <w:szCs w:val="23"/>
        </w:rPr>
        <w:t xml:space="preserve">los </w:t>
      </w:r>
      <w:r w:rsidRPr="009F0A7F">
        <w:rPr>
          <w:rFonts w:ascii="Arial" w:hAnsi="Arial" w:cs="Arial"/>
          <w:sz w:val="23"/>
          <w:szCs w:val="23"/>
        </w:rPr>
        <w:t>servidor</w:t>
      </w:r>
      <w:r w:rsidR="00094B1D" w:rsidRPr="009F0A7F">
        <w:rPr>
          <w:rFonts w:ascii="Arial" w:hAnsi="Arial" w:cs="Arial"/>
          <w:sz w:val="23"/>
          <w:szCs w:val="23"/>
        </w:rPr>
        <w:t>es</w:t>
      </w:r>
      <w:r w:rsidRPr="009F0A7F">
        <w:rPr>
          <w:rFonts w:ascii="Arial" w:hAnsi="Arial" w:cs="Arial"/>
          <w:sz w:val="23"/>
          <w:szCs w:val="23"/>
        </w:rPr>
        <w:t xml:space="preserve"> públic</w:t>
      </w:r>
      <w:r w:rsidR="00094B1D" w:rsidRPr="009F0A7F">
        <w:rPr>
          <w:rFonts w:ascii="Arial" w:hAnsi="Arial" w:cs="Arial"/>
          <w:sz w:val="23"/>
          <w:szCs w:val="23"/>
        </w:rPr>
        <w:t>os</w:t>
      </w:r>
      <w:r w:rsidRPr="009F0A7F">
        <w:rPr>
          <w:rFonts w:ascii="Arial" w:hAnsi="Arial" w:cs="Arial"/>
          <w:sz w:val="23"/>
          <w:szCs w:val="23"/>
        </w:rPr>
        <w:t xml:space="preserve"> del Servicio Profesional Electoral Nacional de este Instituto que result</w:t>
      </w:r>
      <w:r w:rsidR="00222DB4" w:rsidRPr="009F0A7F">
        <w:rPr>
          <w:rFonts w:ascii="Arial" w:hAnsi="Arial" w:cs="Arial"/>
          <w:sz w:val="23"/>
          <w:szCs w:val="23"/>
        </w:rPr>
        <w:t>aron</w:t>
      </w:r>
      <w:r w:rsidRPr="009F0A7F">
        <w:rPr>
          <w:rFonts w:ascii="Arial" w:hAnsi="Arial" w:cs="Arial"/>
          <w:sz w:val="23"/>
          <w:szCs w:val="23"/>
        </w:rPr>
        <w:t xml:space="preserve"> selecciona</w:t>
      </w:r>
      <w:r w:rsidR="00222DB4" w:rsidRPr="009F0A7F">
        <w:rPr>
          <w:rFonts w:ascii="Arial" w:hAnsi="Arial" w:cs="Arial"/>
          <w:sz w:val="23"/>
          <w:szCs w:val="23"/>
        </w:rPr>
        <w:t>dos</w:t>
      </w:r>
      <w:r w:rsidRPr="009F0A7F">
        <w:rPr>
          <w:rFonts w:ascii="Arial" w:hAnsi="Arial" w:cs="Arial"/>
          <w:sz w:val="23"/>
          <w:szCs w:val="23"/>
        </w:rPr>
        <w:t xml:space="preserve">, el pago por concepto de incentivo por </w:t>
      </w:r>
      <w:r w:rsidR="00FC7C97" w:rsidRPr="009F0A7F">
        <w:rPr>
          <w:rFonts w:ascii="Arial" w:hAnsi="Arial" w:cs="Arial"/>
          <w:sz w:val="23"/>
          <w:szCs w:val="23"/>
        </w:rPr>
        <w:lastRenderedPageBreak/>
        <w:t xml:space="preserve">rendimiento </w:t>
      </w:r>
      <w:r w:rsidRPr="009F0A7F">
        <w:rPr>
          <w:rFonts w:ascii="Arial" w:hAnsi="Arial" w:cs="Arial"/>
          <w:sz w:val="23"/>
          <w:szCs w:val="23"/>
        </w:rPr>
        <w:t>de acuerdo con su categoría y en términos del Programa de Incentivos y el dictamen aprobado.</w:t>
      </w:r>
    </w:p>
    <w:p w:rsidR="00FF16AE" w:rsidRPr="009F0A7F" w:rsidRDefault="00FF16AE" w:rsidP="00FF16AE">
      <w:pPr>
        <w:rPr>
          <w:rFonts w:ascii="Arial" w:hAnsi="Arial" w:cs="Arial"/>
          <w:sz w:val="23"/>
          <w:szCs w:val="23"/>
        </w:rPr>
      </w:pPr>
      <w:r w:rsidRPr="009F0A7F">
        <w:rPr>
          <w:rFonts w:ascii="Arial" w:hAnsi="Arial" w:cs="Arial"/>
          <w:b/>
          <w:sz w:val="23"/>
          <w:szCs w:val="23"/>
        </w:rPr>
        <w:t>Tercero.</w:t>
      </w:r>
      <w:r w:rsidRPr="009F0A7F">
        <w:rPr>
          <w:rFonts w:ascii="Arial" w:hAnsi="Arial" w:cs="Arial"/>
          <w:sz w:val="23"/>
          <w:szCs w:val="23"/>
        </w:rPr>
        <w:t xml:space="preserve">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rsidR="00772AE4" w:rsidRPr="009F0A7F" w:rsidRDefault="00FF16AE" w:rsidP="00FF16AE">
      <w:pPr>
        <w:rPr>
          <w:rFonts w:ascii="Arial" w:hAnsi="Arial" w:cs="Arial"/>
          <w:sz w:val="23"/>
          <w:szCs w:val="23"/>
        </w:rPr>
      </w:pPr>
      <w:r w:rsidRPr="009F0A7F">
        <w:rPr>
          <w:rFonts w:ascii="Arial" w:hAnsi="Arial" w:cs="Arial"/>
          <w:b/>
          <w:sz w:val="23"/>
          <w:szCs w:val="23"/>
        </w:rPr>
        <w:t>Cuarto.</w:t>
      </w:r>
      <w:r w:rsidRPr="009F0A7F">
        <w:rPr>
          <w:rFonts w:ascii="Arial" w:hAnsi="Arial" w:cs="Arial"/>
          <w:sz w:val="23"/>
          <w:szCs w:val="23"/>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rsidR="00227620" w:rsidRDefault="00227620" w:rsidP="00227620">
      <w:pPr>
        <w:rPr>
          <w:rFonts w:ascii="Arial" w:hAnsi="Arial" w:cs="Arial"/>
          <w:sz w:val="23"/>
          <w:szCs w:val="23"/>
        </w:rPr>
      </w:pPr>
      <w:r w:rsidRPr="009F0A7F">
        <w:rPr>
          <w:rFonts w:ascii="Arial" w:hAnsi="Arial" w:cs="Arial"/>
          <w:sz w:val="23"/>
          <w:szCs w:val="23"/>
        </w:rPr>
        <w:t xml:space="preserve">El presente acuerdo fue </w:t>
      </w:r>
      <w:r w:rsidR="009F0A7F">
        <w:rPr>
          <w:rFonts w:ascii="Arial" w:hAnsi="Arial" w:cs="Arial"/>
          <w:sz w:val="23"/>
          <w:szCs w:val="23"/>
        </w:rPr>
        <w:t>aprobado</w:t>
      </w:r>
      <w:r w:rsidRPr="009F0A7F">
        <w:rPr>
          <w:rFonts w:ascii="Arial" w:hAnsi="Arial" w:cs="Arial"/>
          <w:sz w:val="23"/>
          <w:szCs w:val="23"/>
        </w:rPr>
        <w:t xml:space="preserve"> en sesión </w:t>
      </w:r>
      <w:r w:rsidR="009F0A7F">
        <w:rPr>
          <w:rFonts w:ascii="Arial" w:hAnsi="Arial" w:cs="Arial"/>
          <w:sz w:val="23"/>
          <w:szCs w:val="23"/>
        </w:rPr>
        <w:t>ordinaria</w:t>
      </w:r>
      <w:r w:rsidRPr="009F0A7F">
        <w:rPr>
          <w:rFonts w:ascii="Arial" w:hAnsi="Arial" w:cs="Arial"/>
          <w:sz w:val="23"/>
          <w:szCs w:val="23"/>
        </w:rPr>
        <w:t xml:space="preserve"> efectuada el </w:t>
      </w:r>
      <w:r w:rsidR="009F0A7F">
        <w:rPr>
          <w:rFonts w:ascii="Arial" w:hAnsi="Arial" w:cs="Arial"/>
          <w:sz w:val="23"/>
          <w:szCs w:val="23"/>
        </w:rPr>
        <w:t>día</w:t>
      </w:r>
      <w:r w:rsidR="00B01EAC">
        <w:rPr>
          <w:rFonts w:ascii="Arial" w:hAnsi="Arial" w:cs="Arial"/>
          <w:sz w:val="23"/>
          <w:szCs w:val="23"/>
        </w:rPr>
        <w:t xml:space="preserve"> </w:t>
      </w:r>
      <w:r w:rsidR="009F0A7F">
        <w:rPr>
          <w:rFonts w:ascii="Arial" w:hAnsi="Arial" w:cs="Arial"/>
          <w:sz w:val="23"/>
          <w:szCs w:val="23"/>
        </w:rPr>
        <w:t>treinta de octubre</w:t>
      </w:r>
      <w:r w:rsidRPr="009F0A7F">
        <w:rPr>
          <w:rFonts w:ascii="Arial" w:hAnsi="Arial" w:cs="Arial"/>
          <w:sz w:val="23"/>
          <w:szCs w:val="23"/>
        </w:rPr>
        <w:t xml:space="preserve"> del año dos mil veinticuatro, por votación</w:t>
      </w:r>
      <w:r w:rsidR="009F0A7F">
        <w:rPr>
          <w:rFonts w:ascii="Arial" w:hAnsi="Arial" w:cs="Arial"/>
          <w:sz w:val="23"/>
          <w:szCs w:val="23"/>
        </w:rPr>
        <w:t xml:space="preserve"> unánime</w:t>
      </w:r>
      <w:r w:rsidRPr="009F0A7F">
        <w:rPr>
          <w:rFonts w:ascii="Arial" w:hAnsi="Arial" w:cs="Arial"/>
          <w:sz w:val="23"/>
          <w:szCs w:val="23"/>
        </w:rPr>
        <w:t xml:space="preserve"> de las y los Consejeros Electorales del Consejo Estatal del Instituto Electoral y de Participación Ciudadana de Tabasco: Licda. María Elvia Magaña Sandoval, </w:t>
      </w:r>
      <w:r w:rsidR="00502297" w:rsidRPr="00FB4C7F">
        <w:rPr>
          <w:rFonts w:ascii="Arial" w:hAnsi="Arial" w:cs="Arial"/>
          <w:sz w:val="23"/>
          <w:szCs w:val="23"/>
        </w:rPr>
        <w:t xml:space="preserve">Lic. </w:t>
      </w:r>
      <w:r w:rsidRPr="009F0A7F">
        <w:rPr>
          <w:rFonts w:ascii="Arial" w:hAnsi="Arial" w:cs="Arial"/>
          <w:sz w:val="23"/>
          <w:szCs w:val="23"/>
        </w:rPr>
        <w:t xml:space="preserve">Hernán González Sala, Lic. Vladimir Hernández Venegas, Licda. Ángela Guadalupe Araujo Segura, </w:t>
      </w:r>
      <w:r w:rsidR="009F0A7F" w:rsidRPr="009F0A7F">
        <w:rPr>
          <w:rFonts w:ascii="Arial" w:hAnsi="Arial" w:cs="Arial"/>
          <w:sz w:val="23"/>
          <w:szCs w:val="23"/>
        </w:rPr>
        <w:t>Licda.</w:t>
      </w:r>
      <w:r w:rsidR="009F0A7F">
        <w:rPr>
          <w:rFonts w:ascii="Arial" w:hAnsi="Arial" w:cs="Arial"/>
          <w:sz w:val="23"/>
          <w:szCs w:val="23"/>
        </w:rPr>
        <w:t xml:space="preserve"> </w:t>
      </w:r>
      <w:r w:rsidRPr="009F0A7F">
        <w:rPr>
          <w:rFonts w:ascii="Arial" w:hAnsi="Arial" w:cs="Arial"/>
          <w:sz w:val="23"/>
          <w:szCs w:val="23"/>
        </w:rPr>
        <w:t xml:space="preserve">Monserrat Martínez </w:t>
      </w:r>
      <w:proofErr w:type="spellStart"/>
      <w:r w:rsidRPr="009F0A7F">
        <w:rPr>
          <w:rFonts w:ascii="Arial" w:hAnsi="Arial" w:cs="Arial"/>
          <w:sz w:val="23"/>
          <w:szCs w:val="23"/>
        </w:rPr>
        <w:t>Beaurregard</w:t>
      </w:r>
      <w:proofErr w:type="spellEnd"/>
      <w:r w:rsidRPr="009F0A7F">
        <w:rPr>
          <w:rFonts w:ascii="Arial" w:hAnsi="Arial" w:cs="Arial"/>
          <w:sz w:val="23"/>
          <w:szCs w:val="23"/>
        </w:rPr>
        <w:t xml:space="preserve">, Mtra. Ruth </w:t>
      </w:r>
      <w:proofErr w:type="spellStart"/>
      <w:r w:rsidRPr="009F0A7F">
        <w:rPr>
          <w:rFonts w:ascii="Arial" w:hAnsi="Arial" w:cs="Arial"/>
          <w:sz w:val="23"/>
          <w:szCs w:val="23"/>
        </w:rPr>
        <w:t>Lizette</w:t>
      </w:r>
      <w:proofErr w:type="spellEnd"/>
      <w:r w:rsidRPr="009F0A7F">
        <w:rPr>
          <w:rFonts w:ascii="Arial" w:hAnsi="Arial" w:cs="Arial"/>
          <w:sz w:val="23"/>
          <w:szCs w:val="23"/>
        </w:rPr>
        <w:t xml:space="preserve"> Toledo Peral y la Consejera Presidenta, Mtra. Elizabeth Nava Gutiérrez.</w:t>
      </w:r>
    </w:p>
    <w:p w:rsidR="009F0A7F" w:rsidRDefault="009F0A7F" w:rsidP="00227620">
      <w:pPr>
        <w:rPr>
          <w:rFonts w:ascii="Arial" w:hAnsi="Arial" w:cs="Arial"/>
          <w:sz w:val="23"/>
          <w:szCs w:val="23"/>
        </w:rPr>
      </w:pPr>
    </w:p>
    <w:p w:rsidR="009F0A7F" w:rsidRDefault="009F0A7F" w:rsidP="00227620">
      <w:pPr>
        <w:rPr>
          <w:rFonts w:ascii="Arial" w:hAnsi="Arial" w:cs="Arial"/>
          <w:sz w:val="23"/>
          <w:szCs w:val="23"/>
        </w:rPr>
      </w:pPr>
    </w:p>
    <w:p w:rsidR="009F0A7F" w:rsidRPr="009F0A7F" w:rsidRDefault="009F0A7F" w:rsidP="00227620">
      <w:pPr>
        <w:rPr>
          <w:rFonts w:ascii="Arial" w:hAnsi="Arial" w:cs="Arial"/>
          <w:sz w:val="23"/>
          <w:szCs w:val="23"/>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227620" w:rsidRPr="009F0A7F" w:rsidTr="0050736D">
        <w:tc>
          <w:tcPr>
            <w:tcW w:w="4395" w:type="dxa"/>
          </w:tcPr>
          <w:p w:rsidR="00227620" w:rsidRPr="009F0A7F" w:rsidRDefault="00227620" w:rsidP="0050736D">
            <w:pPr>
              <w:widowControl w:val="0"/>
              <w:spacing w:before="0" w:after="0"/>
              <w:jc w:val="center"/>
              <w:rPr>
                <w:rFonts w:ascii="Arial" w:hAnsi="Arial" w:cs="Arial"/>
                <w:b/>
                <w:spacing w:val="-10"/>
                <w:sz w:val="23"/>
                <w:szCs w:val="23"/>
              </w:rPr>
            </w:pPr>
            <w:r w:rsidRPr="009F0A7F">
              <w:rPr>
                <w:rFonts w:ascii="Arial" w:hAnsi="Arial" w:cs="Arial"/>
                <w:b/>
                <w:spacing w:val="-10"/>
                <w:sz w:val="23"/>
                <w:szCs w:val="23"/>
              </w:rPr>
              <w:t>MTRA. ELIZABETH NAVA GUTIÉRREZ</w:t>
            </w:r>
          </w:p>
          <w:p w:rsidR="00227620" w:rsidRPr="009F0A7F" w:rsidRDefault="00227620" w:rsidP="0050736D">
            <w:pPr>
              <w:widowControl w:val="0"/>
              <w:spacing w:before="0" w:after="0"/>
              <w:jc w:val="center"/>
              <w:rPr>
                <w:rFonts w:ascii="Arial" w:hAnsi="Arial" w:cs="Arial"/>
                <w:b/>
                <w:sz w:val="23"/>
                <w:szCs w:val="23"/>
              </w:rPr>
            </w:pPr>
            <w:r w:rsidRPr="009F0A7F">
              <w:rPr>
                <w:rFonts w:ascii="Arial" w:hAnsi="Arial" w:cs="Arial"/>
                <w:b/>
                <w:spacing w:val="-10"/>
                <w:sz w:val="23"/>
                <w:szCs w:val="23"/>
              </w:rPr>
              <w:t>CONSEJERA PRESIDENTA</w:t>
            </w:r>
          </w:p>
        </w:tc>
        <w:tc>
          <w:tcPr>
            <w:tcW w:w="278" w:type="dxa"/>
          </w:tcPr>
          <w:p w:rsidR="00227620" w:rsidRPr="009F0A7F" w:rsidRDefault="00227620" w:rsidP="0050736D">
            <w:pPr>
              <w:widowControl w:val="0"/>
              <w:spacing w:before="0" w:after="0"/>
              <w:rPr>
                <w:rFonts w:ascii="Arial" w:hAnsi="Arial" w:cs="Arial"/>
                <w:b/>
                <w:sz w:val="23"/>
                <w:szCs w:val="23"/>
              </w:rPr>
            </w:pPr>
          </w:p>
        </w:tc>
        <w:tc>
          <w:tcPr>
            <w:tcW w:w="4400" w:type="dxa"/>
          </w:tcPr>
          <w:p w:rsidR="00227620" w:rsidRPr="009F0A7F" w:rsidRDefault="00227620" w:rsidP="0050736D">
            <w:pPr>
              <w:widowControl w:val="0"/>
              <w:spacing w:before="0" w:after="0"/>
              <w:jc w:val="center"/>
              <w:rPr>
                <w:rFonts w:ascii="Arial" w:hAnsi="Arial" w:cs="Arial"/>
                <w:b/>
                <w:spacing w:val="-10"/>
                <w:sz w:val="23"/>
                <w:szCs w:val="23"/>
              </w:rPr>
            </w:pPr>
            <w:r w:rsidRPr="009F0A7F">
              <w:rPr>
                <w:rFonts w:ascii="Arial" w:hAnsi="Arial" w:cs="Arial"/>
                <w:b/>
                <w:spacing w:val="-10"/>
                <w:sz w:val="23"/>
                <w:szCs w:val="23"/>
              </w:rPr>
              <w:t>LIC. JORGE ALBERTO ZAVALA FRÍAS</w:t>
            </w:r>
          </w:p>
          <w:p w:rsidR="00227620" w:rsidRPr="009F0A7F" w:rsidRDefault="00227620" w:rsidP="0050736D">
            <w:pPr>
              <w:widowControl w:val="0"/>
              <w:spacing w:before="0" w:after="0"/>
              <w:jc w:val="center"/>
              <w:rPr>
                <w:rFonts w:ascii="Arial" w:hAnsi="Arial" w:cs="Arial"/>
                <w:b/>
                <w:sz w:val="23"/>
                <w:szCs w:val="23"/>
              </w:rPr>
            </w:pPr>
            <w:r w:rsidRPr="009F0A7F">
              <w:rPr>
                <w:rFonts w:ascii="Arial" w:hAnsi="Arial" w:cs="Arial"/>
                <w:b/>
                <w:spacing w:val="-10"/>
                <w:sz w:val="23"/>
                <w:szCs w:val="23"/>
              </w:rPr>
              <w:t>SECRETARIO DEL CONSEJO</w:t>
            </w:r>
          </w:p>
        </w:tc>
      </w:tr>
    </w:tbl>
    <w:p w:rsidR="00772AE4" w:rsidRPr="009F0A7F" w:rsidRDefault="00772AE4" w:rsidP="00772AE4">
      <w:pPr>
        <w:rPr>
          <w:rFonts w:ascii="Arial" w:hAnsi="Arial" w:cs="Arial"/>
          <w:sz w:val="23"/>
          <w:szCs w:val="23"/>
        </w:rPr>
      </w:pPr>
    </w:p>
    <w:sectPr w:rsidR="00772AE4" w:rsidRPr="009F0A7F" w:rsidSect="009F0A7F">
      <w:headerReference w:type="default" r:id="rId7"/>
      <w:footerReference w:type="default" r:id="rId8"/>
      <w:pgSz w:w="12240" w:h="15840" w:code="1"/>
      <w:pgMar w:top="2836" w:right="1467" w:bottom="1276"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5EDF" w:rsidRDefault="00775EDF" w:rsidP="002775E3">
      <w:pPr>
        <w:spacing w:before="0" w:after="0" w:line="240" w:lineRule="auto"/>
      </w:pPr>
      <w:r>
        <w:separator/>
      </w:r>
    </w:p>
  </w:endnote>
  <w:endnote w:type="continuationSeparator" w:id="0">
    <w:p w:rsidR="00775EDF" w:rsidRDefault="00775EDF" w:rsidP="002775E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7ACD68F-B34E-46B2-B94E-1FFFF94F0AE3}"/>
    <w:embedBold r:id="rId2" w:fontKey="{750D0502-94EA-4334-A035-556DEBC21DFB}"/>
  </w:font>
  <w:font w:name="Exo">
    <w:altName w:val="Times New Roman"/>
    <w:charset w:val="00"/>
    <w:family w:val="auto"/>
    <w:pitch w:val="variable"/>
    <w:sig w:usb0="A00000FF" w:usb1="4000204B" w:usb2="00000000" w:usb3="00000000" w:csb0="00000193" w:csb1="00000000"/>
    <w:embedRegular r:id="rId3" w:fontKey="{70153180-DE57-4339-A817-4A8BD89B0A3C}"/>
    <w:embedBold r:id="rId4" w:fontKey="{8740998F-BDD5-4201-9AAC-726C4600A9ED}"/>
  </w:font>
  <w:font w:name="Calibri Light">
    <w:panose1 w:val="020F0302020204030204"/>
    <w:charset w:val="00"/>
    <w:family w:val="swiss"/>
    <w:pitch w:val="variable"/>
    <w:sig w:usb0="E4002EFF" w:usb1="C200247B" w:usb2="00000009" w:usb3="00000000" w:csb0="000001FF" w:csb1="00000000"/>
    <w:embedRegular r:id="rId5" w:fontKey="{87EB509B-0372-4686-8C6D-C3FEF35FAFB3}"/>
    <w:embedItalic r:id="rId6" w:fontKey="{073AE123-03A2-4D91-9F00-AEE37D7D5CD1}"/>
  </w:font>
  <w:font w:name="Segoe UI">
    <w:panose1 w:val="020B0502040204020203"/>
    <w:charset w:val="00"/>
    <w:family w:val="swiss"/>
    <w:pitch w:val="variable"/>
    <w:sig w:usb0="E4002EFF" w:usb1="C000E47F" w:usb2="00000009" w:usb3="00000000" w:csb0="000001FF" w:csb1="00000000"/>
    <w:embedRegular r:id="rId7" w:fontKey="{A2B7F731-414E-432B-A538-C166297EE1B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A7F" w:rsidRPr="009F0A7F" w:rsidRDefault="009F0A7F">
    <w:pPr>
      <w:tabs>
        <w:tab w:val="center" w:pos="4550"/>
        <w:tab w:val="left" w:pos="5818"/>
      </w:tabs>
      <w:ind w:right="260"/>
      <w:jc w:val="right"/>
      <w:rPr>
        <w:rFonts w:ascii="Arial" w:hAnsi="Arial" w:cs="Arial"/>
        <w:b/>
        <w:color w:val="990033"/>
        <w:szCs w:val="24"/>
      </w:rPr>
    </w:pPr>
    <w:r w:rsidRPr="009F0A7F">
      <w:rPr>
        <w:rFonts w:ascii="Arial" w:hAnsi="Arial" w:cs="Arial"/>
        <w:b/>
        <w:color w:val="990033"/>
        <w:spacing w:val="20"/>
        <w:szCs w:val="24"/>
        <w:lang w:val="es-ES"/>
      </w:rPr>
      <w:t>Página</w:t>
    </w:r>
    <w:r w:rsidRPr="009F0A7F">
      <w:rPr>
        <w:rFonts w:ascii="Arial" w:hAnsi="Arial" w:cs="Arial"/>
        <w:b/>
        <w:color w:val="990033"/>
        <w:szCs w:val="24"/>
        <w:lang w:val="es-ES"/>
      </w:rPr>
      <w:t xml:space="preserve"> </w:t>
    </w:r>
    <w:r w:rsidRPr="009F0A7F">
      <w:rPr>
        <w:rFonts w:ascii="Arial" w:hAnsi="Arial" w:cs="Arial"/>
        <w:b/>
        <w:color w:val="990033"/>
        <w:szCs w:val="24"/>
      </w:rPr>
      <w:fldChar w:fldCharType="begin"/>
    </w:r>
    <w:r w:rsidRPr="009F0A7F">
      <w:rPr>
        <w:rFonts w:ascii="Arial" w:hAnsi="Arial" w:cs="Arial"/>
        <w:b/>
        <w:color w:val="990033"/>
        <w:szCs w:val="24"/>
      </w:rPr>
      <w:instrText>PAGE   \* MERGEFORMAT</w:instrText>
    </w:r>
    <w:r w:rsidRPr="009F0A7F">
      <w:rPr>
        <w:rFonts w:ascii="Arial" w:hAnsi="Arial" w:cs="Arial"/>
        <w:b/>
        <w:color w:val="990033"/>
        <w:szCs w:val="24"/>
      </w:rPr>
      <w:fldChar w:fldCharType="separate"/>
    </w:r>
    <w:r w:rsidR="00502297" w:rsidRPr="00502297">
      <w:rPr>
        <w:rFonts w:ascii="Arial" w:hAnsi="Arial" w:cs="Arial"/>
        <w:b/>
        <w:noProof/>
        <w:color w:val="990033"/>
        <w:szCs w:val="24"/>
        <w:lang w:val="es-ES"/>
      </w:rPr>
      <w:t>10</w:t>
    </w:r>
    <w:r w:rsidRPr="009F0A7F">
      <w:rPr>
        <w:rFonts w:ascii="Arial" w:hAnsi="Arial" w:cs="Arial"/>
        <w:b/>
        <w:color w:val="990033"/>
        <w:szCs w:val="24"/>
      </w:rPr>
      <w:fldChar w:fldCharType="end"/>
    </w:r>
    <w:r w:rsidRPr="009F0A7F">
      <w:rPr>
        <w:rFonts w:ascii="Arial" w:hAnsi="Arial" w:cs="Arial"/>
        <w:b/>
        <w:color w:val="990033"/>
        <w:szCs w:val="24"/>
        <w:lang w:val="es-ES"/>
      </w:rPr>
      <w:t xml:space="preserve"> | </w:t>
    </w:r>
    <w:r w:rsidRPr="009F0A7F">
      <w:rPr>
        <w:rFonts w:ascii="Arial" w:hAnsi="Arial" w:cs="Arial"/>
        <w:b/>
        <w:color w:val="990033"/>
        <w:szCs w:val="24"/>
      </w:rPr>
      <w:fldChar w:fldCharType="begin"/>
    </w:r>
    <w:r w:rsidRPr="009F0A7F">
      <w:rPr>
        <w:rFonts w:ascii="Arial" w:hAnsi="Arial" w:cs="Arial"/>
        <w:b/>
        <w:color w:val="990033"/>
        <w:szCs w:val="24"/>
      </w:rPr>
      <w:instrText>NUMPAGES  \* Arabic  \* MERGEFORMAT</w:instrText>
    </w:r>
    <w:r w:rsidRPr="009F0A7F">
      <w:rPr>
        <w:rFonts w:ascii="Arial" w:hAnsi="Arial" w:cs="Arial"/>
        <w:b/>
        <w:color w:val="990033"/>
        <w:szCs w:val="24"/>
      </w:rPr>
      <w:fldChar w:fldCharType="separate"/>
    </w:r>
    <w:r w:rsidR="00502297" w:rsidRPr="00502297">
      <w:rPr>
        <w:rFonts w:ascii="Arial" w:hAnsi="Arial" w:cs="Arial"/>
        <w:b/>
        <w:noProof/>
        <w:color w:val="990033"/>
        <w:szCs w:val="24"/>
        <w:lang w:val="es-ES"/>
      </w:rPr>
      <w:t>12</w:t>
    </w:r>
    <w:r w:rsidRPr="009F0A7F">
      <w:rPr>
        <w:rFonts w:ascii="Arial" w:hAnsi="Arial" w:cs="Arial"/>
        <w:b/>
        <w:color w:val="990033"/>
        <w:szCs w:val="24"/>
      </w:rPr>
      <w:fldChar w:fldCharType="end"/>
    </w:r>
  </w:p>
  <w:p w:rsidR="002775E3" w:rsidRPr="009F0A7F" w:rsidRDefault="002775E3" w:rsidP="009F0A7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5EDF" w:rsidRDefault="00775EDF" w:rsidP="002775E3">
      <w:pPr>
        <w:spacing w:before="0" w:after="0" w:line="240" w:lineRule="auto"/>
      </w:pPr>
      <w:r>
        <w:separator/>
      </w:r>
    </w:p>
  </w:footnote>
  <w:footnote w:type="continuationSeparator" w:id="0">
    <w:p w:rsidR="00775EDF" w:rsidRDefault="00775EDF" w:rsidP="002775E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2775E3" w:rsidRPr="006F206E" w:rsidTr="0050736D">
      <w:tc>
        <w:tcPr>
          <w:tcW w:w="1418" w:type="dxa"/>
        </w:tcPr>
        <w:p w:rsidR="002775E3" w:rsidRPr="006F206E" w:rsidRDefault="002775E3" w:rsidP="002775E3">
          <w:pPr>
            <w:pStyle w:val="Encabezado"/>
            <w:ind w:left="-170"/>
          </w:pPr>
          <w:r w:rsidRPr="006F206E">
            <w:rPr>
              <w:b/>
              <w:noProof/>
              <w:sz w:val="32"/>
              <w:lang w:eastAsia="es-MX"/>
            </w:rPr>
            <w:drawing>
              <wp:inline distT="0" distB="0" distL="0" distR="0" wp14:anchorId="67160858" wp14:editId="534B0404">
                <wp:extent cx="1014331" cy="1199403"/>
                <wp:effectExtent l="0" t="0" r="0" b="1270"/>
                <wp:docPr id="3" name="Imagen 3"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rsidR="002775E3" w:rsidRPr="009F0A7F" w:rsidRDefault="002775E3" w:rsidP="002775E3">
          <w:pPr>
            <w:pStyle w:val="Encabezado"/>
            <w:spacing w:before="720"/>
            <w:jc w:val="center"/>
            <w:rPr>
              <w:rFonts w:ascii="Arial" w:hAnsi="Arial" w:cs="Arial"/>
              <w:b/>
              <w:bCs/>
              <w:sz w:val="25"/>
              <w:szCs w:val="25"/>
            </w:rPr>
          </w:pPr>
          <w:r w:rsidRPr="009F0A7F">
            <w:rPr>
              <w:rFonts w:ascii="Arial" w:hAnsi="Arial" w:cs="Arial"/>
              <w:b/>
              <w:bCs/>
              <w:sz w:val="25"/>
              <w:szCs w:val="25"/>
            </w:rPr>
            <w:t>INSTITUTO ELECTORAL Y DE PARTICIPACIÓN CIUDADANA DE TABASCO</w:t>
          </w:r>
        </w:p>
        <w:p w:rsidR="002775E3" w:rsidRPr="006F206E" w:rsidRDefault="002775E3" w:rsidP="002775E3">
          <w:pPr>
            <w:pStyle w:val="Encabezado"/>
            <w:jc w:val="center"/>
          </w:pPr>
          <w:r w:rsidRPr="009F0A7F">
            <w:rPr>
              <w:rFonts w:ascii="Arial" w:hAnsi="Arial" w:cs="Arial"/>
              <w:sz w:val="26"/>
              <w:szCs w:val="26"/>
            </w:rPr>
            <w:t>CONSEJO ESTATAL</w:t>
          </w:r>
        </w:p>
      </w:tc>
      <w:tc>
        <w:tcPr>
          <w:tcW w:w="1701" w:type="dxa"/>
        </w:tcPr>
        <w:p w:rsidR="002775E3" w:rsidRPr="006F206E" w:rsidRDefault="002775E3" w:rsidP="002775E3">
          <w:pPr>
            <w:pStyle w:val="Encabezado"/>
            <w:spacing w:before="480"/>
          </w:pPr>
          <w:r w:rsidRPr="006F206E">
            <w:rPr>
              <w:noProof/>
              <w:lang w:eastAsia="es-MX"/>
            </w:rPr>
            <w:drawing>
              <wp:inline distT="0" distB="0" distL="0" distR="0" wp14:anchorId="7FE5E471" wp14:editId="3179BED5">
                <wp:extent cx="921600" cy="756000"/>
                <wp:effectExtent l="0" t="0" r="0" b="6350"/>
                <wp:docPr id="4" name="Imagen 4"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70035" name="Imagen 216570035"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rsidR="002775E3" w:rsidRPr="009F0A7F" w:rsidRDefault="009F0A7F" w:rsidP="009F0A7F">
    <w:pPr>
      <w:pStyle w:val="Encabezado"/>
      <w:jc w:val="right"/>
      <w:rPr>
        <w:rFonts w:ascii="Arial" w:hAnsi="Arial" w:cs="Arial"/>
        <w:b/>
      </w:rPr>
    </w:pPr>
    <w:r w:rsidRPr="009F0A7F">
      <w:rPr>
        <w:rFonts w:ascii="Arial" w:hAnsi="Arial" w:cs="Arial"/>
        <w:b/>
      </w:rPr>
      <w:t>CE/2024/098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227B2"/>
    <w:multiLevelType w:val="hybridMultilevel"/>
    <w:tmpl w:val="45F8C91C"/>
    <w:lvl w:ilvl="0" w:tplc="611E20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D370E9"/>
    <w:multiLevelType w:val="hybridMultilevel"/>
    <w:tmpl w:val="B7281714"/>
    <w:lvl w:ilvl="0" w:tplc="611E20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A3B1F7A"/>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4CFD5025"/>
    <w:multiLevelType w:val="hybridMultilevel"/>
    <w:tmpl w:val="A962C4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2366A79"/>
    <w:multiLevelType w:val="hybridMultilevel"/>
    <w:tmpl w:val="5D76DD9A"/>
    <w:lvl w:ilvl="0" w:tplc="611E20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137"/>
    <w:rsid w:val="00015BEF"/>
    <w:rsid w:val="00082137"/>
    <w:rsid w:val="00094B1D"/>
    <w:rsid w:val="00146F16"/>
    <w:rsid w:val="00216D95"/>
    <w:rsid w:val="00222DB4"/>
    <w:rsid w:val="00227620"/>
    <w:rsid w:val="002775E3"/>
    <w:rsid w:val="003A6C5F"/>
    <w:rsid w:val="003F02F4"/>
    <w:rsid w:val="00401F19"/>
    <w:rsid w:val="004A1D01"/>
    <w:rsid w:val="004C528F"/>
    <w:rsid w:val="00502297"/>
    <w:rsid w:val="006227BD"/>
    <w:rsid w:val="00671E9A"/>
    <w:rsid w:val="00772AE4"/>
    <w:rsid w:val="00775EDF"/>
    <w:rsid w:val="008352CE"/>
    <w:rsid w:val="008801DA"/>
    <w:rsid w:val="009664AB"/>
    <w:rsid w:val="0099108D"/>
    <w:rsid w:val="009925C4"/>
    <w:rsid w:val="009A2577"/>
    <w:rsid w:val="009E1C85"/>
    <w:rsid w:val="009F0A7F"/>
    <w:rsid w:val="00A859D2"/>
    <w:rsid w:val="00B01EAC"/>
    <w:rsid w:val="00B05134"/>
    <w:rsid w:val="00C3014F"/>
    <w:rsid w:val="00CA654E"/>
    <w:rsid w:val="00D55D14"/>
    <w:rsid w:val="00DB54F0"/>
    <w:rsid w:val="00DC5F46"/>
    <w:rsid w:val="00E13B76"/>
    <w:rsid w:val="00E202C7"/>
    <w:rsid w:val="00E3413B"/>
    <w:rsid w:val="00FC5AA2"/>
    <w:rsid w:val="00FC7C97"/>
    <w:rsid w:val="00FF16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57D278-6729-4E52-A64E-34268D81F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137"/>
    <w:pPr>
      <w:spacing w:before="240" w:after="240" w:line="276" w:lineRule="auto"/>
      <w:jc w:val="both"/>
    </w:pPr>
    <w:rPr>
      <w:rFonts w:ascii="Exo" w:hAnsi="Exo"/>
      <w:sz w:val="24"/>
    </w:rPr>
  </w:style>
  <w:style w:type="paragraph" w:styleId="Ttulo1">
    <w:name w:val="heading 1"/>
    <w:basedOn w:val="Normal"/>
    <w:next w:val="Normal"/>
    <w:link w:val="Ttulo1Car"/>
    <w:uiPriority w:val="9"/>
    <w:qFormat/>
    <w:rsid w:val="00082137"/>
    <w:pPr>
      <w:numPr>
        <w:numId w:val="5"/>
      </w:numPr>
      <w:spacing w:before="600"/>
      <w:jc w:val="center"/>
      <w:outlineLvl w:val="0"/>
    </w:pPr>
    <w:rPr>
      <w:b/>
      <w:sz w:val="28"/>
    </w:rPr>
  </w:style>
  <w:style w:type="paragraph" w:styleId="Ttulo2">
    <w:name w:val="heading 2"/>
    <w:basedOn w:val="Normal"/>
    <w:next w:val="Normal"/>
    <w:link w:val="Ttulo2Car"/>
    <w:uiPriority w:val="9"/>
    <w:unhideWhenUsed/>
    <w:qFormat/>
    <w:rsid w:val="00082137"/>
    <w:pPr>
      <w:numPr>
        <w:ilvl w:val="1"/>
        <w:numId w:val="5"/>
      </w:numPr>
      <w:spacing w:before="480"/>
      <w:outlineLvl w:val="1"/>
    </w:pPr>
    <w:rPr>
      <w:b/>
    </w:rPr>
  </w:style>
  <w:style w:type="paragraph" w:styleId="Ttulo3">
    <w:name w:val="heading 3"/>
    <w:basedOn w:val="Normal"/>
    <w:next w:val="Normal"/>
    <w:link w:val="Ttulo3Car"/>
    <w:uiPriority w:val="9"/>
    <w:semiHidden/>
    <w:unhideWhenUsed/>
    <w:qFormat/>
    <w:rsid w:val="009664AB"/>
    <w:pPr>
      <w:keepNext/>
      <w:keepLines/>
      <w:numPr>
        <w:ilvl w:val="2"/>
        <w:numId w:val="5"/>
      </w:numPr>
      <w:spacing w:before="40" w:after="0"/>
      <w:outlineLvl w:val="2"/>
    </w:pPr>
    <w:rPr>
      <w:rFonts w:asciiTheme="majorHAnsi" w:eastAsiaTheme="majorEastAsia" w:hAnsiTheme="majorHAnsi" w:cstheme="majorBidi"/>
      <w:color w:val="1F4D78" w:themeColor="accent1" w:themeShade="7F"/>
      <w:szCs w:val="24"/>
    </w:rPr>
  </w:style>
  <w:style w:type="paragraph" w:styleId="Ttulo4">
    <w:name w:val="heading 4"/>
    <w:basedOn w:val="Normal"/>
    <w:next w:val="Normal"/>
    <w:link w:val="Ttulo4Car"/>
    <w:uiPriority w:val="9"/>
    <w:semiHidden/>
    <w:unhideWhenUsed/>
    <w:qFormat/>
    <w:rsid w:val="009664AB"/>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9664AB"/>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9664AB"/>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9664AB"/>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9664AB"/>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664AB"/>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82137"/>
    <w:rPr>
      <w:rFonts w:ascii="Exo" w:hAnsi="Exo"/>
      <w:b/>
      <w:sz w:val="28"/>
    </w:rPr>
  </w:style>
  <w:style w:type="character" w:customStyle="1" w:styleId="Ttulo2Car">
    <w:name w:val="Título 2 Car"/>
    <w:basedOn w:val="Fuentedeprrafopredeter"/>
    <w:link w:val="Ttulo2"/>
    <w:uiPriority w:val="9"/>
    <w:rsid w:val="00082137"/>
    <w:rPr>
      <w:rFonts w:ascii="Exo" w:hAnsi="Exo"/>
      <w:b/>
      <w:sz w:val="24"/>
    </w:rPr>
  </w:style>
  <w:style w:type="paragraph" w:styleId="Prrafodelista">
    <w:name w:val="List Paragraph"/>
    <w:basedOn w:val="Normal"/>
    <w:uiPriority w:val="34"/>
    <w:qFormat/>
    <w:rsid w:val="008801DA"/>
    <w:pPr>
      <w:ind w:left="720"/>
      <w:contextualSpacing/>
    </w:pPr>
  </w:style>
  <w:style w:type="table" w:customStyle="1" w:styleId="Tablaconcuadrcula1">
    <w:name w:val="Tabla con cuadrícula1"/>
    <w:basedOn w:val="Tablanormal"/>
    <w:next w:val="Tablaconcuadrcula"/>
    <w:uiPriority w:val="59"/>
    <w:rsid w:val="00E13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E13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75E3"/>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2775E3"/>
    <w:rPr>
      <w:rFonts w:ascii="Exo" w:hAnsi="Exo"/>
      <w:sz w:val="24"/>
    </w:rPr>
  </w:style>
  <w:style w:type="paragraph" w:styleId="Piedepgina">
    <w:name w:val="footer"/>
    <w:basedOn w:val="Normal"/>
    <w:link w:val="PiedepginaCar"/>
    <w:uiPriority w:val="99"/>
    <w:unhideWhenUsed/>
    <w:rsid w:val="002775E3"/>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2775E3"/>
    <w:rPr>
      <w:rFonts w:ascii="Exo" w:hAnsi="Exo"/>
      <w:sz w:val="24"/>
    </w:rPr>
  </w:style>
  <w:style w:type="character" w:customStyle="1" w:styleId="Ttulo3Car">
    <w:name w:val="Título 3 Car"/>
    <w:basedOn w:val="Fuentedeprrafopredeter"/>
    <w:link w:val="Ttulo3"/>
    <w:uiPriority w:val="9"/>
    <w:semiHidden/>
    <w:rsid w:val="009664AB"/>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9664AB"/>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9664AB"/>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9664AB"/>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9664AB"/>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9664A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9664AB"/>
    <w:rPr>
      <w:rFonts w:asciiTheme="majorHAnsi" w:eastAsiaTheme="majorEastAsia" w:hAnsiTheme="majorHAnsi" w:cstheme="majorBidi"/>
      <w:i/>
      <w:iCs/>
      <w:color w:val="272727" w:themeColor="text1" w:themeTint="D8"/>
      <w:sz w:val="21"/>
      <w:szCs w:val="21"/>
    </w:rPr>
  </w:style>
  <w:style w:type="paragraph" w:styleId="Textodeglobo">
    <w:name w:val="Balloon Text"/>
    <w:basedOn w:val="Normal"/>
    <w:link w:val="TextodegloboCar"/>
    <w:uiPriority w:val="99"/>
    <w:semiHidden/>
    <w:unhideWhenUsed/>
    <w:rsid w:val="00502297"/>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022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12</Pages>
  <Words>3501</Words>
  <Characters>19260</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32</cp:revision>
  <cp:lastPrinted>2024-10-30T21:12:00Z</cp:lastPrinted>
  <dcterms:created xsi:type="dcterms:W3CDTF">2024-10-28T17:46:00Z</dcterms:created>
  <dcterms:modified xsi:type="dcterms:W3CDTF">2024-10-30T21:12:00Z</dcterms:modified>
</cp:coreProperties>
</file>