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045" w:rsidRDefault="00FB4C7F" w:rsidP="00AB1045">
      <w:pPr>
        <w:rPr>
          <w:rFonts w:ascii="Arial" w:hAnsi="Arial" w:cs="Arial"/>
          <w:b/>
        </w:rPr>
      </w:pPr>
      <w:r w:rsidRPr="00FB4C7F">
        <w:rPr>
          <w:rFonts w:ascii="Arial" w:hAnsi="Arial" w:cs="Arial"/>
          <w:b/>
        </w:rPr>
        <w:t xml:space="preserve">ACUERDO QUE, A PROPUESTA DE LA COMISIÓN PERMANENTE DE ORGANIZACIÓN ELECTORAL Y EDUCACIÓN CÍVICA, EMITE EL CONSEJO ESTATAL DEL INSTITUTO ELECTORAL Y DE PARTICIPACIÓN CIUDADANA DE TABASCO, MEDIANTE EL CUAL APRUEBA EL PROGRAMA DE CAPACITACIÓN EN MATERIA DE ORGANIZACIÓN ELECTORAL Y PARTICIPACIÓN CIUDADANA DEL PERSONAL DEL INSTITUTO ELECTORAL Y DE PARTICIPACIÓN CIUDADANA DE TABASCO Y CIUDADANÍA PARA EL EJERCICIO 2025 </w:t>
      </w:r>
    </w:p>
    <w:p w:rsidR="00FB4C7F" w:rsidRDefault="00FB4C7F" w:rsidP="00AB1045">
      <w:pPr>
        <w:rPr>
          <w:rFonts w:ascii="Arial" w:hAnsi="Arial" w:cs="Arial"/>
          <w:b/>
        </w:rPr>
      </w:pPr>
    </w:p>
    <w:p w:rsidR="00AB1045" w:rsidRDefault="00AB1045" w:rsidP="00AB1045">
      <w:pPr>
        <w:rPr>
          <w:rFonts w:ascii="Arial" w:hAnsi="Arial" w:cs="Arial"/>
        </w:rPr>
      </w:pPr>
      <w:r w:rsidRPr="00FB4C7F">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COEYEC:</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Comisión de Organización Electoral y Educación Cívica.</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Consejo Estatal:</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Consejo Estatal del Instituto Electoral y de Participación Ciudadana de Tabasco.</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Constitución Federal:</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Constitución Política de los Estados Unidos Mexicanos.</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Constitución Local:</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Constitución Política del Estado Libre y Soberano de Tabasco.</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Dirección de Organización:</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Dirección de Organización Electoral y Educación Cívica.</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INE:</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Instituto Nacional Electoral.</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Instituto:</w:t>
            </w:r>
          </w:p>
        </w:tc>
        <w:tc>
          <w:tcPr>
            <w:tcW w:w="2958" w:type="pct"/>
            <w:shd w:val="clear" w:color="auto" w:fill="auto"/>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Instituto Electoral y de Participación Ciudadana de Tabasco.</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Ley Electoral:</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Ley Electoral y de Partidos Políticos del Estado de Tabasco.</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Ley General:</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Ley General de Instituciones y Procedimientos Electorales.</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Organismo electoral:</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 xml:space="preserve">Organismo(s) público(s) local(es) electoral(es). </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lastRenderedPageBreak/>
              <w:t>Proceso Electoral:</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Proceso Electoral Local Ordinario 2023-2024.</w:t>
            </w:r>
          </w:p>
        </w:tc>
      </w:tr>
      <w:tr w:rsidR="00661201" w:rsidRPr="00FB4C7F" w:rsidTr="00E119D7">
        <w:trPr>
          <w:trHeight w:val="624"/>
          <w:jc w:val="center"/>
        </w:trPr>
        <w:tc>
          <w:tcPr>
            <w:tcW w:w="2042" w:type="pct"/>
            <w:shd w:val="clear" w:color="auto" w:fill="auto"/>
            <w:vAlign w:val="center"/>
          </w:tcPr>
          <w:p w:rsidR="00661201" w:rsidRPr="00FB4C7F" w:rsidRDefault="00661201" w:rsidP="00E119D7">
            <w:pPr>
              <w:widowControl w:val="0"/>
              <w:spacing w:before="60" w:after="60"/>
              <w:ind w:left="57"/>
              <w:jc w:val="right"/>
              <w:rPr>
                <w:rFonts w:ascii="Arial" w:hAnsi="Arial" w:cs="Arial"/>
                <w:b/>
                <w:sz w:val="20"/>
                <w:szCs w:val="20"/>
              </w:rPr>
            </w:pPr>
            <w:r w:rsidRPr="00FB4C7F">
              <w:rPr>
                <w:rFonts w:ascii="Arial" w:hAnsi="Arial" w:cs="Arial"/>
                <w:b/>
                <w:sz w:val="20"/>
                <w:szCs w:val="20"/>
              </w:rPr>
              <w:t>Reglamento de Comisiones:</w:t>
            </w:r>
          </w:p>
        </w:tc>
        <w:tc>
          <w:tcPr>
            <w:tcW w:w="2958" w:type="pct"/>
            <w:shd w:val="clear" w:color="auto" w:fill="auto"/>
            <w:vAlign w:val="center"/>
          </w:tcPr>
          <w:p w:rsidR="00661201" w:rsidRPr="00FB4C7F" w:rsidRDefault="00661201" w:rsidP="00E119D7">
            <w:pPr>
              <w:widowControl w:val="0"/>
              <w:spacing w:before="60" w:after="60"/>
              <w:ind w:left="57"/>
              <w:rPr>
                <w:rFonts w:ascii="Arial" w:hAnsi="Arial" w:cs="Arial"/>
                <w:sz w:val="20"/>
                <w:szCs w:val="20"/>
              </w:rPr>
            </w:pPr>
            <w:r w:rsidRPr="00FB4C7F">
              <w:rPr>
                <w:rFonts w:ascii="Arial" w:hAnsi="Arial" w:cs="Arial"/>
                <w:sz w:val="20"/>
                <w:szCs w:val="20"/>
              </w:rPr>
              <w:t>Reglamento de Comisiones del Consejo Estatal del Instituto Electoral y de Participación Ciudadana de Tabasco.</w:t>
            </w:r>
          </w:p>
        </w:tc>
      </w:tr>
    </w:tbl>
    <w:p w:rsidR="00AB1045" w:rsidRPr="00FB4C7F" w:rsidRDefault="00AB1045" w:rsidP="00AB1045">
      <w:pPr>
        <w:pStyle w:val="Ttulo1"/>
        <w:rPr>
          <w:rFonts w:ascii="Arial" w:hAnsi="Arial" w:cs="Arial"/>
          <w:sz w:val="24"/>
          <w:szCs w:val="24"/>
        </w:rPr>
      </w:pPr>
      <w:r w:rsidRPr="00FB4C7F">
        <w:rPr>
          <w:rFonts w:ascii="Arial" w:hAnsi="Arial" w:cs="Arial"/>
          <w:sz w:val="24"/>
          <w:szCs w:val="24"/>
        </w:rPr>
        <w:t>Antecedentes</w:t>
      </w:r>
    </w:p>
    <w:p w:rsidR="00AB1045" w:rsidRPr="00FB4C7F" w:rsidRDefault="00AB1045" w:rsidP="00AB1045">
      <w:pPr>
        <w:pStyle w:val="Ttulo2"/>
        <w:rPr>
          <w:rFonts w:ascii="Arial" w:hAnsi="Arial" w:cs="Arial"/>
          <w:sz w:val="23"/>
          <w:szCs w:val="23"/>
        </w:rPr>
      </w:pPr>
      <w:r w:rsidRPr="00FB4C7F">
        <w:rPr>
          <w:rFonts w:ascii="Arial" w:hAnsi="Arial" w:cs="Arial"/>
          <w:sz w:val="23"/>
          <w:szCs w:val="23"/>
        </w:rPr>
        <w:t>Inicio del Proceso Electoral</w:t>
      </w:r>
    </w:p>
    <w:p w:rsidR="00AB1045" w:rsidRPr="00FB4C7F" w:rsidRDefault="00AB1045" w:rsidP="00AB1045">
      <w:pPr>
        <w:rPr>
          <w:rFonts w:ascii="Arial" w:hAnsi="Arial" w:cs="Arial"/>
          <w:sz w:val="23"/>
          <w:szCs w:val="23"/>
        </w:rPr>
      </w:pPr>
      <w:r w:rsidRPr="00FB4C7F">
        <w:rPr>
          <w:rFonts w:ascii="Arial" w:hAnsi="Arial" w:cs="Arial"/>
          <w:sz w:val="23"/>
          <w:szCs w:val="23"/>
        </w:rPr>
        <w:t xml:space="preserve">El 6 de octubre de 2023, el Consejo Estatal de conformidad con el artículo 111 de la Ley Electoral declaró el inicio del Proceso </w:t>
      </w:r>
      <w:r w:rsidR="005241D1" w:rsidRPr="00FB4C7F">
        <w:rPr>
          <w:rFonts w:ascii="Arial" w:hAnsi="Arial" w:cs="Arial"/>
          <w:sz w:val="23"/>
          <w:szCs w:val="23"/>
        </w:rPr>
        <w:t>Electoral por el que se renovaro</w:t>
      </w:r>
      <w:r w:rsidRPr="00FB4C7F">
        <w:rPr>
          <w:rFonts w:ascii="Arial" w:hAnsi="Arial" w:cs="Arial"/>
          <w:sz w:val="23"/>
          <w:szCs w:val="23"/>
        </w:rPr>
        <w:t>n los cargos relativos a la Gubernatura del Estado, diputaciones locales y presidencias municipales y regidurías.</w:t>
      </w:r>
    </w:p>
    <w:p w:rsidR="00EB4B39" w:rsidRPr="00FB4C7F" w:rsidRDefault="00EB4B39" w:rsidP="00EB4B39">
      <w:pPr>
        <w:pStyle w:val="Ttulo2"/>
        <w:rPr>
          <w:rFonts w:ascii="Arial" w:hAnsi="Arial" w:cs="Arial"/>
          <w:sz w:val="23"/>
          <w:szCs w:val="23"/>
        </w:rPr>
      </w:pPr>
      <w:r w:rsidRPr="00FB4C7F">
        <w:rPr>
          <w:rFonts w:ascii="Arial" w:hAnsi="Arial" w:cs="Arial"/>
          <w:sz w:val="23"/>
          <w:szCs w:val="23"/>
        </w:rPr>
        <w:t>Aprobación del Programa Anual de Trabajo de la COEYEC</w:t>
      </w:r>
    </w:p>
    <w:p w:rsidR="00EB4B39" w:rsidRPr="00FB4C7F" w:rsidRDefault="00EB4B39" w:rsidP="00EB4B39">
      <w:pPr>
        <w:rPr>
          <w:rFonts w:ascii="Arial" w:hAnsi="Arial" w:cs="Arial"/>
          <w:sz w:val="23"/>
          <w:szCs w:val="23"/>
        </w:rPr>
      </w:pPr>
      <w:r w:rsidRPr="00FB4C7F">
        <w:rPr>
          <w:rFonts w:ascii="Arial" w:hAnsi="Arial" w:cs="Arial"/>
          <w:sz w:val="23"/>
          <w:szCs w:val="23"/>
        </w:rPr>
        <w:t>El 31 de enero de 2024, mediante acuerdo CE/2024/009, el Consejo Estatal aprobó el Programa Anual de Trabajo de la COEYEC para el ejercicio 2024.</w:t>
      </w:r>
    </w:p>
    <w:p w:rsidR="00EB4B39" w:rsidRPr="00FB4C7F" w:rsidRDefault="00EB4B39" w:rsidP="00EB4B39">
      <w:pPr>
        <w:pStyle w:val="Ttulo2"/>
        <w:rPr>
          <w:rFonts w:ascii="Arial" w:hAnsi="Arial" w:cs="Arial"/>
          <w:sz w:val="23"/>
          <w:szCs w:val="23"/>
        </w:rPr>
      </w:pPr>
      <w:r w:rsidRPr="00FB4C7F">
        <w:rPr>
          <w:rFonts w:ascii="Arial" w:hAnsi="Arial" w:cs="Arial"/>
          <w:sz w:val="23"/>
          <w:szCs w:val="23"/>
        </w:rPr>
        <w:t>Designación de Consejeras Electorales</w:t>
      </w:r>
    </w:p>
    <w:p w:rsidR="00EB4B39" w:rsidRPr="00FB4C7F" w:rsidRDefault="00EB4B39" w:rsidP="00EB4B39">
      <w:pPr>
        <w:rPr>
          <w:rFonts w:ascii="Arial" w:hAnsi="Arial" w:cs="Arial"/>
          <w:sz w:val="23"/>
          <w:szCs w:val="23"/>
        </w:rPr>
      </w:pPr>
      <w:r w:rsidRPr="00FB4C7F">
        <w:rPr>
          <w:rFonts w:ascii="Arial" w:hAnsi="Arial" w:cs="Arial"/>
          <w:sz w:val="23"/>
          <w:szCs w:val="23"/>
        </w:rPr>
        <w:t>El 26 de septiembre de 2024,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rsidR="00EB4B39" w:rsidRDefault="00EB4B39" w:rsidP="00EB4B39">
      <w:pPr>
        <w:rPr>
          <w:rFonts w:ascii="Arial" w:hAnsi="Arial" w:cs="Arial"/>
          <w:sz w:val="23"/>
          <w:szCs w:val="23"/>
        </w:rPr>
      </w:pPr>
      <w:r w:rsidRPr="00FB4C7F">
        <w:rPr>
          <w:rFonts w:ascii="Arial" w:hAnsi="Arial" w:cs="Arial"/>
          <w:sz w:val="23"/>
          <w:szCs w:val="23"/>
        </w:rPr>
        <w:t>En el caso de la entidad, se designaron a las ciudadanas: Licda. Ángela Guadalupe Araujo Segura, Mtra. Monserrat Martínez Beaurregard y Mtra. Ruth Lizette Toledo Peral, Consejeras Electorales por un período de 7 años.</w:t>
      </w:r>
    </w:p>
    <w:p w:rsidR="00C4459C" w:rsidRPr="00FB4C7F" w:rsidRDefault="00C4459C" w:rsidP="00EB4B39">
      <w:pPr>
        <w:rPr>
          <w:rFonts w:ascii="Arial" w:hAnsi="Arial" w:cs="Arial"/>
          <w:sz w:val="23"/>
          <w:szCs w:val="23"/>
        </w:rPr>
      </w:pPr>
    </w:p>
    <w:p w:rsidR="00EB4B39" w:rsidRPr="00FB4C7F" w:rsidRDefault="00EB4B39" w:rsidP="00EB4B39">
      <w:pPr>
        <w:pStyle w:val="Ttulo2"/>
        <w:rPr>
          <w:rFonts w:ascii="Arial" w:hAnsi="Arial" w:cs="Arial"/>
          <w:sz w:val="23"/>
          <w:szCs w:val="23"/>
        </w:rPr>
      </w:pPr>
      <w:r w:rsidRPr="00FB4C7F">
        <w:rPr>
          <w:rFonts w:ascii="Arial" w:hAnsi="Arial" w:cs="Arial"/>
          <w:sz w:val="23"/>
          <w:szCs w:val="23"/>
        </w:rPr>
        <w:lastRenderedPageBreak/>
        <w:t>Incorporación de las Consejeras Electorales a las Comisiones</w:t>
      </w:r>
    </w:p>
    <w:p w:rsidR="00EB4B39" w:rsidRPr="00FB4C7F" w:rsidRDefault="00EB4B39" w:rsidP="00EB4B39">
      <w:pPr>
        <w:rPr>
          <w:rFonts w:ascii="Arial" w:hAnsi="Arial" w:cs="Arial"/>
          <w:sz w:val="23"/>
          <w:szCs w:val="23"/>
        </w:rPr>
      </w:pPr>
      <w:r w:rsidRPr="00FB4C7F">
        <w:rPr>
          <w:rFonts w:ascii="Arial" w:hAnsi="Arial" w:cs="Arial"/>
          <w:sz w:val="23"/>
          <w:szCs w:val="23"/>
        </w:rPr>
        <w:t>El 4 de octubre de 2024, mediante acuerdo CE/2024/090, el Consejo Estatal con motivo de la designación de las Consejeras Electorales señaladas, modificó la conformación de las Comisiones Permanentes de Vinculación con el INE, de Organización Electoral y Educación Cívica, de Denuncias y Quejas, de Seguimiento al Servicio Profesional Electoral Nacional con carácter Administrativa, y de Igualdad de Género y No Discriminación del propio Instituto.</w:t>
      </w:r>
    </w:p>
    <w:p w:rsidR="00EB4B39" w:rsidRPr="00FB4C7F" w:rsidRDefault="00EB4B39" w:rsidP="00EB4B39">
      <w:pPr>
        <w:rPr>
          <w:rFonts w:ascii="Arial" w:hAnsi="Arial" w:cs="Arial"/>
          <w:sz w:val="23"/>
          <w:szCs w:val="23"/>
        </w:rPr>
      </w:pPr>
      <w:r w:rsidRPr="00FB4C7F">
        <w:rPr>
          <w:rFonts w:ascii="Arial" w:hAnsi="Arial" w:cs="Arial"/>
          <w:sz w:val="23"/>
          <w:szCs w:val="23"/>
        </w:rPr>
        <w:t>En el caso de la COEYEC, quedó integrada por las Consejeras Electorales Licda. María Elvia Magaña Sandoval y Licda. Ángela Guadalupe Araujo Segura; y, el Consejero Electoral Hernán González Sala, en su calidad de Presidente.</w:t>
      </w:r>
    </w:p>
    <w:p w:rsidR="00EB4B39" w:rsidRPr="00FB4C7F" w:rsidRDefault="00EB4B39" w:rsidP="00EB4B39">
      <w:pPr>
        <w:pStyle w:val="Ttulo2"/>
        <w:rPr>
          <w:rFonts w:ascii="Arial" w:hAnsi="Arial" w:cs="Arial"/>
          <w:sz w:val="23"/>
          <w:szCs w:val="23"/>
        </w:rPr>
      </w:pPr>
      <w:r w:rsidRPr="00FB4C7F">
        <w:rPr>
          <w:rFonts w:ascii="Arial" w:hAnsi="Arial" w:cs="Arial"/>
          <w:sz w:val="23"/>
          <w:szCs w:val="23"/>
        </w:rPr>
        <w:t xml:space="preserve">Remisión de la propuesta de </w:t>
      </w:r>
      <w:r w:rsidR="00CA7822" w:rsidRPr="00FB4C7F">
        <w:rPr>
          <w:rFonts w:ascii="Arial" w:hAnsi="Arial" w:cs="Arial"/>
          <w:sz w:val="23"/>
          <w:szCs w:val="23"/>
        </w:rPr>
        <w:t>Programa</w:t>
      </w:r>
    </w:p>
    <w:p w:rsidR="00EB4B39" w:rsidRDefault="00EB4B39" w:rsidP="00C43F30">
      <w:pPr>
        <w:rPr>
          <w:rFonts w:ascii="Arial" w:hAnsi="Arial" w:cs="Arial"/>
          <w:sz w:val="23"/>
          <w:szCs w:val="23"/>
        </w:rPr>
      </w:pPr>
      <w:r w:rsidRPr="00FB4C7F">
        <w:rPr>
          <w:rFonts w:ascii="Arial" w:hAnsi="Arial" w:cs="Arial"/>
          <w:sz w:val="23"/>
          <w:szCs w:val="23"/>
        </w:rPr>
        <w:t>El 8 de octubre de 2024, la Secretaria Técnica de la COEYEC, mediante oficio COEYEC/SE/028/2024, remitió a la Presidencia del Consejo la propuesta relativa a</w:t>
      </w:r>
      <w:r w:rsidR="00C43F30" w:rsidRPr="00FB4C7F">
        <w:rPr>
          <w:rFonts w:ascii="Arial" w:hAnsi="Arial" w:cs="Arial"/>
          <w:sz w:val="23"/>
          <w:szCs w:val="23"/>
        </w:rPr>
        <w:t>l Programa de Capacitación en materia de Organización Electoral y Participación Ciudadana del Personal del Instituto Electoral y de Participación Ciudadana de Tabasco y Ciudadanía para el ejercicio 2025</w:t>
      </w:r>
      <w:r w:rsidRPr="00FB4C7F">
        <w:rPr>
          <w:rFonts w:ascii="Arial" w:hAnsi="Arial" w:cs="Arial"/>
          <w:sz w:val="23"/>
          <w:szCs w:val="23"/>
        </w:rPr>
        <w:t xml:space="preserve">. Lo anterior, para </w:t>
      </w:r>
      <w:r w:rsidR="00187A3F" w:rsidRPr="00FB4C7F">
        <w:rPr>
          <w:rFonts w:ascii="Arial" w:hAnsi="Arial" w:cs="Arial"/>
          <w:sz w:val="23"/>
          <w:szCs w:val="23"/>
        </w:rPr>
        <w:t>su</w:t>
      </w:r>
      <w:r w:rsidR="00CB2BD4" w:rsidRPr="00FB4C7F">
        <w:rPr>
          <w:rFonts w:ascii="Arial" w:hAnsi="Arial" w:cs="Arial"/>
          <w:sz w:val="23"/>
          <w:szCs w:val="23"/>
        </w:rPr>
        <w:t xml:space="preserve"> </w:t>
      </w:r>
      <w:r w:rsidRPr="00FB4C7F">
        <w:rPr>
          <w:rFonts w:ascii="Arial" w:hAnsi="Arial" w:cs="Arial"/>
          <w:sz w:val="23"/>
          <w:szCs w:val="23"/>
        </w:rPr>
        <w:t>presentación ante este Consejo Estatal y la deliberación correspondiente.</w:t>
      </w:r>
    </w:p>
    <w:p w:rsidR="00FB4C7F" w:rsidRPr="00FB4C7F" w:rsidRDefault="00FB4C7F" w:rsidP="00C43F30">
      <w:pPr>
        <w:rPr>
          <w:rFonts w:ascii="Arial" w:hAnsi="Arial" w:cs="Arial"/>
          <w:sz w:val="23"/>
          <w:szCs w:val="23"/>
        </w:rPr>
      </w:pPr>
    </w:p>
    <w:p w:rsidR="00EB4B39" w:rsidRPr="00FB4C7F" w:rsidRDefault="00EB4B39" w:rsidP="00EB4B39">
      <w:pPr>
        <w:pStyle w:val="Ttulo1"/>
        <w:rPr>
          <w:rFonts w:ascii="Arial" w:hAnsi="Arial" w:cs="Arial"/>
          <w:sz w:val="24"/>
          <w:szCs w:val="24"/>
        </w:rPr>
      </w:pPr>
      <w:r w:rsidRPr="00FB4C7F">
        <w:rPr>
          <w:rFonts w:ascii="Arial" w:hAnsi="Arial" w:cs="Arial"/>
          <w:sz w:val="24"/>
          <w:szCs w:val="24"/>
        </w:rPr>
        <w:t>Considerando</w:t>
      </w:r>
    </w:p>
    <w:p w:rsidR="00EB4B39" w:rsidRPr="00FB4C7F" w:rsidRDefault="00EB4B39" w:rsidP="00EB4B39">
      <w:pPr>
        <w:pStyle w:val="Ttulo2"/>
        <w:rPr>
          <w:rFonts w:ascii="Arial" w:hAnsi="Arial" w:cs="Arial"/>
          <w:sz w:val="23"/>
          <w:szCs w:val="23"/>
        </w:rPr>
      </w:pPr>
      <w:r w:rsidRPr="00FB4C7F">
        <w:rPr>
          <w:rFonts w:ascii="Arial" w:hAnsi="Arial" w:cs="Arial"/>
          <w:sz w:val="23"/>
          <w:szCs w:val="23"/>
        </w:rPr>
        <w:t xml:space="preserve">Fines del Instituto </w:t>
      </w:r>
    </w:p>
    <w:p w:rsidR="00EB4B39" w:rsidRPr="00FB4C7F" w:rsidRDefault="00EB4B39" w:rsidP="00EB4B39">
      <w:pPr>
        <w:rPr>
          <w:rFonts w:ascii="Arial" w:hAnsi="Arial" w:cs="Arial"/>
          <w:sz w:val="23"/>
          <w:szCs w:val="23"/>
        </w:rPr>
      </w:pPr>
      <w:r w:rsidRPr="00FB4C7F">
        <w:rPr>
          <w:rFonts w:ascii="Arial" w:hAnsi="Arial" w:cs="Arial"/>
          <w:sz w:val="23"/>
          <w:szCs w:val="23"/>
        </w:rPr>
        <w:t xml:space="preserve">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w:t>
      </w:r>
      <w:r w:rsidRPr="00FB4C7F">
        <w:rPr>
          <w:rFonts w:ascii="Arial" w:hAnsi="Arial" w:cs="Arial"/>
          <w:sz w:val="23"/>
          <w:szCs w:val="23"/>
        </w:rPr>
        <w:lastRenderedPageBreak/>
        <w:t>cuentas, objetividad, paridad, interculturalidad y las realizarán con perspectiva de género y enfoque de derechos humanos.</w:t>
      </w:r>
    </w:p>
    <w:p w:rsidR="00EB4B39" w:rsidRPr="00FB4C7F" w:rsidRDefault="00EB4B39" w:rsidP="00EB4B39">
      <w:pPr>
        <w:rPr>
          <w:rFonts w:ascii="Arial" w:hAnsi="Arial" w:cs="Arial"/>
          <w:sz w:val="23"/>
          <w:szCs w:val="23"/>
        </w:rPr>
      </w:pPr>
      <w:r w:rsidRPr="00FB4C7F">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EB4B39" w:rsidRPr="00FB4C7F" w:rsidRDefault="00EB4B39" w:rsidP="00EB4B39">
      <w:pPr>
        <w:pStyle w:val="Ttulo2"/>
        <w:rPr>
          <w:rFonts w:ascii="Arial" w:hAnsi="Arial" w:cs="Arial"/>
          <w:sz w:val="23"/>
          <w:szCs w:val="23"/>
        </w:rPr>
      </w:pPr>
      <w:r w:rsidRPr="00FB4C7F">
        <w:rPr>
          <w:rFonts w:ascii="Arial" w:hAnsi="Arial" w:cs="Arial"/>
          <w:sz w:val="23"/>
          <w:szCs w:val="23"/>
        </w:rPr>
        <w:t xml:space="preserve">Órgano Superior de Dirección del Instituto </w:t>
      </w:r>
    </w:p>
    <w:p w:rsidR="00EB4B39" w:rsidRPr="00FB4C7F" w:rsidRDefault="00EB4B39" w:rsidP="00EB4B39">
      <w:pPr>
        <w:rPr>
          <w:rFonts w:ascii="Arial" w:hAnsi="Arial" w:cs="Arial"/>
          <w:sz w:val="23"/>
          <w:szCs w:val="23"/>
        </w:rPr>
      </w:pPr>
      <w:r w:rsidRPr="00FB4C7F">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EB4B39" w:rsidRPr="00FB4C7F" w:rsidRDefault="00EB4B39" w:rsidP="00EB4B39">
      <w:pPr>
        <w:pStyle w:val="Ttulo2"/>
        <w:rPr>
          <w:rFonts w:ascii="Arial" w:hAnsi="Arial" w:cs="Arial"/>
          <w:sz w:val="23"/>
          <w:szCs w:val="23"/>
        </w:rPr>
      </w:pPr>
      <w:r w:rsidRPr="00FB4C7F">
        <w:rPr>
          <w:rFonts w:ascii="Arial" w:hAnsi="Arial" w:cs="Arial"/>
          <w:sz w:val="23"/>
          <w:szCs w:val="23"/>
        </w:rPr>
        <w:t>Integración del Órgano de Dirección Superior</w:t>
      </w:r>
    </w:p>
    <w:p w:rsidR="00EB4B39" w:rsidRDefault="00EB4B39" w:rsidP="00EB4B39">
      <w:pPr>
        <w:rPr>
          <w:rFonts w:ascii="Arial" w:hAnsi="Arial" w:cs="Arial"/>
          <w:sz w:val="23"/>
          <w:szCs w:val="23"/>
        </w:rPr>
      </w:pPr>
      <w:r w:rsidRPr="00FB4C7F">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C4459C" w:rsidRDefault="00C4459C" w:rsidP="00EB4B39">
      <w:pPr>
        <w:rPr>
          <w:rFonts w:ascii="Arial" w:hAnsi="Arial" w:cs="Arial"/>
          <w:sz w:val="23"/>
          <w:szCs w:val="23"/>
        </w:rPr>
      </w:pPr>
    </w:p>
    <w:p w:rsidR="00C4459C" w:rsidRPr="00FB4C7F" w:rsidRDefault="00C4459C" w:rsidP="00EB4B39">
      <w:pPr>
        <w:rPr>
          <w:rFonts w:ascii="Arial" w:hAnsi="Arial" w:cs="Arial"/>
          <w:sz w:val="23"/>
          <w:szCs w:val="23"/>
        </w:rPr>
      </w:pPr>
    </w:p>
    <w:p w:rsidR="00EB4B39" w:rsidRPr="00FB4C7F" w:rsidRDefault="00EB4B39" w:rsidP="00EB4B39">
      <w:pPr>
        <w:pStyle w:val="Ttulo2"/>
        <w:rPr>
          <w:rFonts w:ascii="Arial" w:hAnsi="Arial" w:cs="Arial"/>
          <w:sz w:val="23"/>
          <w:szCs w:val="23"/>
        </w:rPr>
      </w:pPr>
      <w:r w:rsidRPr="00FB4C7F">
        <w:rPr>
          <w:rFonts w:ascii="Arial" w:hAnsi="Arial" w:cs="Arial"/>
          <w:sz w:val="23"/>
          <w:szCs w:val="23"/>
        </w:rPr>
        <w:lastRenderedPageBreak/>
        <w:t>Competencia del Consejo Estatal</w:t>
      </w:r>
    </w:p>
    <w:p w:rsidR="005B1895" w:rsidRPr="00FB4C7F" w:rsidRDefault="00EB4B39" w:rsidP="00EB4B39">
      <w:pPr>
        <w:rPr>
          <w:rFonts w:ascii="Arial" w:hAnsi="Arial" w:cs="Arial"/>
          <w:sz w:val="23"/>
          <w:szCs w:val="23"/>
        </w:rPr>
      </w:pPr>
      <w:r w:rsidRPr="00FB4C7F">
        <w:rPr>
          <w:rFonts w:ascii="Arial" w:hAnsi="Arial" w:cs="Arial"/>
          <w:sz w:val="23"/>
          <w:szCs w:val="23"/>
        </w:rPr>
        <w:t xml:space="preserve">Que, de conformidad con los artículos 113 numeral 1, 115 numeral 1 </w:t>
      </w:r>
      <w:r w:rsidR="005B1895" w:rsidRPr="00FB4C7F">
        <w:rPr>
          <w:rFonts w:ascii="Arial" w:hAnsi="Arial" w:cs="Arial"/>
          <w:sz w:val="23"/>
          <w:szCs w:val="23"/>
        </w:rPr>
        <w:t>fracción XI</w:t>
      </w:r>
      <w:r w:rsidRPr="00FB4C7F">
        <w:rPr>
          <w:rFonts w:ascii="Arial" w:hAnsi="Arial" w:cs="Arial"/>
          <w:sz w:val="23"/>
          <w:szCs w:val="23"/>
        </w:rPr>
        <w:t xml:space="preserve"> de la Ley Electoral </w:t>
      </w:r>
      <w:r w:rsidR="005B1895" w:rsidRPr="00FB4C7F">
        <w:rPr>
          <w:rFonts w:ascii="Arial" w:hAnsi="Arial" w:cs="Arial"/>
          <w:sz w:val="23"/>
          <w:szCs w:val="23"/>
        </w:rPr>
        <w:t xml:space="preserve">corresponde al </w:t>
      </w:r>
      <w:r w:rsidRPr="00FB4C7F">
        <w:rPr>
          <w:rFonts w:ascii="Arial" w:hAnsi="Arial" w:cs="Arial"/>
          <w:sz w:val="23"/>
          <w:szCs w:val="23"/>
        </w:rPr>
        <w:t xml:space="preserve">Consejo Estatal </w:t>
      </w:r>
      <w:r w:rsidR="005B1895" w:rsidRPr="00FB4C7F">
        <w:rPr>
          <w:rFonts w:ascii="Arial" w:hAnsi="Arial" w:cs="Arial"/>
          <w:sz w:val="23"/>
          <w:szCs w:val="23"/>
        </w:rPr>
        <w:t>desarrollar y ejecutar los programas en el Estado, de educación cívica, paridad de género y respeto de los derechos humanos de las mujeres en el ámbito político electoral.</w:t>
      </w:r>
    </w:p>
    <w:p w:rsidR="00EB4B39" w:rsidRDefault="00EB4B39" w:rsidP="00EB4B39">
      <w:pPr>
        <w:rPr>
          <w:rFonts w:ascii="Arial" w:hAnsi="Arial" w:cs="Arial"/>
          <w:sz w:val="23"/>
          <w:szCs w:val="23"/>
        </w:rPr>
      </w:pPr>
      <w:r w:rsidRPr="00FB4C7F">
        <w:rPr>
          <w:rFonts w:ascii="Arial" w:hAnsi="Arial" w:cs="Arial"/>
          <w:sz w:val="23"/>
          <w:szCs w:val="23"/>
        </w:rPr>
        <w:t xml:space="preserve">Acorde a lo anterior, el numeral 2 del artículo </w:t>
      </w:r>
      <w:r w:rsidR="005B1895" w:rsidRPr="00FB4C7F">
        <w:rPr>
          <w:rFonts w:ascii="Arial" w:hAnsi="Arial" w:cs="Arial"/>
          <w:sz w:val="23"/>
          <w:szCs w:val="23"/>
        </w:rPr>
        <w:t xml:space="preserve">115 </w:t>
      </w:r>
      <w:r w:rsidRPr="00FB4C7F">
        <w:rPr>
          <w:rFonts w:ascii="Arial" w:hAnsi="Arial" w:cs="Arial"/>
          <w:sz w:val="23"/>
          <w:szCs w:val="23"/>
        </w:rPr>
        <w:t>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EB4B39" w:rsidRPr="00FB4C7F" w:rsidRDefault="00EB4B39" w:rsidP="00204F41">
      <w:pPr>
        <w:pStyle w:val="Ttulo2"/>
        <w:rPr>
          <w:rFonts w:ascii="Arial" w:hAnsi="Arial" w:cs="Arial"/>
          <w:sz w:val="23"/>
          <w:szCs w:val="23"/>
        </w:rPr>
      </w:pPr>
      <w:r w:rsidRPr="00FB4C7F">
        <w:rPr>
          <w:rFonts w:ascii="Arial" w:hAnsi="Arial" w:cs="Arial"/>
          <w:sz w:val="23"/>
          <w:szCs w:val="23"/>
        </w:rPr>
        <w:t>Comisiones del Instituto</w:t>
      </w:r>
    </w:p>
    <w:p w:rsidR="00EB4B39" w:rsidRPr="00FB4C7F" w:rsidRDefault="00EB4B39" w:rsidP="00EB4B39">
      <w:pPr>
        <w:rPr>
          <w:rFonts w:ascii="Arial" w:hAnsi="Arial" w:cs="Arial"/>
          <w:sz w:val="23"/>
          <w:szCs w:val="23"/>
        </w:rPr>
      </w:pPr>
      <w:r w:rsidRPr="00FB4C7F">
        <w:rPr>
          <w:rFonts w:ascii="Arial" w:hAnsi="Arial" w:cs="Arial"/>
          <w:sz w:val="23"/>
          <w:szCs w:val="23"/>
        </w:rPr>
        <w:t>Que, el artículo 113 numeral 1 de la Ley Electoral dispone que, el Consejo Estatal constituirá las comisiones permanentes de Vinculación con el INE, de Organización Electoral y Educación Cívica, de Denuncias y Quejas, y de Iguald</w:t>
      </w:r>
      <w:r w:rsidR="0070090D" w:rsidRPr="00FB4C7F">
        <w:rPr>
          <w:rFonts w:ascii="Arial" w:hAnsi="Arial" w:cs="Arial"/>
          <w:sz w:val="23"/>
          <w:szCs w:val="23"/>
        </w:rPr>
        <w:t>ad de Género y no Discriminación,</w:t>
      </w:r>
      <w:r w:rsidRPr="00FB4C7F">
        <w:rPr>
          <w:rFonts w:ascii="Arial" w:hAnsi="Arial" w:cs="Arial"/>
          <w:sz w:val="23"/>
          <w:szCs w:val="23"/>
        </w:rPr>
        <w:t xml:space="preserve"> así como las comisiones temporales que considere pertinentes para el desempeño de sus atribuciones, las que siempre serán presididas por una Consejera o un Consejero Electoral, salvo la de Vinculación con el INE, que será presidida por la Consejera o el Consejero Presidente.</w:t>
      </w:r>
    </w:p>
    <w:p w:rsidR="00EB4B39" w:rsidRPr="00FB4C7F" w:rsidRDefault="00EB4B39" w:rsidP="00EB4B39">
      <w:pPr>
        <w:rPr>
          <w:rFonts w:ascii="Arial" w:hAnsi="Arial" w:cs="Arial"/>
          <w:sz w:val="23"/>
          <w:szCs w:val="23"/>
        </w:rPr>
      </w:pPr>
      <w:r w:rsidRPr="00FB4C7F">
        <w:rPr>
          <w:rFonts w:ascii="Arial" w:hAnsi="Arial" w:cs="Arial"/>
          <w:sz w:val="23"/>
          <w:szCs w:val="23"/>
        </w:rPr>
        <w:t xml:space="preserve">Conforme a la </w:t>
      </w:r>
      <w:r w:rsidR="00D70A0A" w:rsidRPr="00FB4C7F">
        <w:rPr>
          <w:rFonts w:ascii="Arial" w:hAnsi="Arial" w:cs="Arial"/>
          <w:sz w:val="23"/>
          <w:szCs w:val="23"/>
        </w:rPr>
        <w:t>disposición mencionada</w:t>
      </w:r>
      <w:r w:rsidRPr="00FB4C7F">
        <w:rPr>
          <w:rFonts w:ascii="Arial" w:hAnsi="Arial" w:cs="Arial"/>
          <w:sz w:val="23"/>
          <w:szCs w:val="23"/>
        </w:rPr>
        <w:t xml:space="preserve">, las Comisiones permanentes del Instituto son las siguientes: </w:t>
      </w:r>
    </w:p>
    <w:p w:rsidR="00EB4B39" w:rsidRPr="00FB4C7F" w:rsidRDefault="00EB4B39" w:rsidP="00EB4B39">
      <w:pPr>
        <w:pStyle w:val="Prrafodelista"/>
        <w:numPr>
          <w:ilvl w:val="0"/>
          <w:numId w:val="2"/>
        </w:numPr>
        <w:rPr>
          <w:sz w:val="23"/>
          <w:szCs w:val="23"/>
        </w:rPr>
      </w:pPr>
      <w:r w:rsidRPr="00FB4C7F">
        <w:rPr>
          <w:sz w:val="23"/>
          <w:szCs w:val="23"/>
        </w:rPr>
        <w:t xml:space="preserve">De Vinculación con el INE; </w:t>
      </w:r>
    </w:p>
    <w:p w:rsidR="00EB4B39" w:rsidRPr="00FB4C7F" w:rsidRDefault="00EB4B39" w:rsidP="00EB4B39">
      <w:pPr>
        <w:pStyle w:val="Prrafodelista"/>
        <w:numPr>
          <w:ilvl w:val="0"/>
          <w:numId w:val="2"/>
        </w:numPr>
        <w:rPr>
          <w:sz w:val="23"/>
          <w:szCs w:val="23"/>
        </w:rPr>
      </w:pPr>
      <w:r w:rsidRPr="00FB4C7F">
        <w:rPr>
          <w:sz w:val="23"/>
          <w:szCs w:val="23"/>
        </w:rPr>
        <w:t xml:space="preserve">De Organización Electoral y Educación Cívica; </w:t>
      </w:r>
    </w:p>
    <w:p w:rsidR="00EB4B39" w:rsidRPr="00FB4C7F" w:rsidRDefault="00EB4B39" w:rsidP="00EB4B39">
      <w:pPr>
        <w:pStyle w:val="Prrafodelista"/>
        <w:numPr>
          <w:ilvl w:val="0"/>
          <w:numId w:val="2"/>
        </w:numPr>
        <w:rPr>
          <w:sz w:val="23"/>
          <w:szCs w:val="23"/>
        </w:rPr>
      </w:pPr>
      <w:r w:rsidRPr="00FB4C7F">
        <w:rPr>
          <w:sz w:val="23"/>
          <w:szCs w:val="23"/>
        </w:rPr>
        <w:t xml:space="preserve">De Denuncias y Quejas; </w:t>
      </w:r>
    </w:p>
    <w:p w:rsidR="00EB4B39" w:rsidRPr="00FB4C7F" w:rsidRDefault="00EB4B39" w:rsidP="00EB4B39">
      <w:pPr>
        <w:pStyle w:val="Prrafodelista"/>
        <w:numPr>
          <w:ilvl w:val="0"/>
          <w:numId w:val="2"/>
        </w:numPr>
        <w:rPr>
          <w:sz w:val="23"/>
          <w:szCs w:val="23"/>
        </w:rPr>
      </w:pPr>
      <w:r w:rsidRPr="00FB4C7F">
        <w:rPr>
          <w:sz w:val="23"/>
          <w:szCs w:val="23"/>
        </w:rPr>
        <w:t>De Igualdad de Género y no Discriminación; y</w:t>
      </w:r>
    </w:p>
    <w:p w:rsidR="00EB4B39" w:rsidRDefault="00EB4B39" w:rsidP="00EB4B39">
      <w:pPr>
        <w:pStyle w:val="Prrafodelista"/>
        <w:numPr>
          <w:ilvl w:val="0"/>
          <w:numId w:val="2"/>
        </w:numPr>
        <w:rPr>
          <w:sz w:val="23"/>
          <w:szCs w:val="23"/>
        </w:rPr>
      </w:pPr>
      <w:r w:rsidRPr="00FB4C7F">
        <w:rPr>
          <w:sz w:val="23"/>
          <w:szCs w:val="23"/>
        </w:rPr>
        <w:t>De Seguimiento al SPEN.</w:t>
      </w:r>
    </w:p>
    <w:p w:rsidR="00C4459C" w:rsidRDefault="00C4459C" w:rsidP="00C4459C">
      <w:pPr>
        <w:pStyle w:val="Prrafodelista"/>
        <w:ind w:left="1065"/>
        <w:rPr>
          <w:sz w:val="23"/>
          <w:szCs w:val="23"/>
        </w:rPr>
      </w:pPr>
    </w:p>
    <w:p w:rsidR="00C4459C" w:rsidRPr="00FB4C7F" w:rsidRDefault="00C4459C" w:rsidP="00C4459C">
      <w:pPr>
        <w:pStyle w:val="Prrafodelista"/>
        <w:ind w:left="1065"/>
        <w:rPr>
          <w:sz w:val="23"/>
          <w:szCs w:val="23"/>
        </w:rPr>
      </w:pPr>
    </w:p>
    <w:p w:rsidR="00EB4B39" w:rsidRPr="00FB4C7F" w:rsidRDefault="00EB4B39" w:rsidP="00204F41">
      <w:pPr>
        <w:pStyle w:val="Ttulo2"/>
        <w:rPr>
          <w:rFonts w:ascii="Arial" w:hAnsi="Arial" w:cs="Arial"/>
          <w:sz w:val="23"/>
          <w:szCs w:val="23"/>
        </w:rPr>
      </w:pPr>
      <w:r w:rsidRPr="00FB4C7F">
        <w:rPr>
          <w:rFonts w:ascii="Arial" w:hAnsi="Arial" w:cs="Arial"/>
          <w:sz w:val="23"/>
          <w:szCs w:val="23"/>
        </w:rPr>
        <w:lastRenderedPageBreak/>
        <w:t>Integración de las Comisiones</w:t>
      </w:r>
    </w:p>
    <w:p w:rsidR="00EB4B39" w:rsidRPr="00FB4C7F" w:rsidRDefault="00EB4B39" w:rsidP="00EB4B39">
      <w:pPr>
        <w:rPr>
          <w:rFonts w:ascii="Arial" w:hAnsi="Arial" w:cs="Arial"/>
          <w:sz w:val="23"/>
          <w:szCs w:val="23"/>
        </w:rPr>
      </w:pPr>
      <w:r w:rsidRPr="00FB4C7F">
        <w:rPr>
          <w:rFonts w:ascii="Arial" w:hAnsi="Arial" w:cs="Arial"/>
          <w:sz w:val="23"/>
          <w:szCs w:val="23"/>
        </w:rPr>
        <w:t xml:space="preserve">Que, los artículos </w:t>
      </w:r>
      <w:r w:rsidR="00733FDC" w:rsidRPr="00FB4C7F">
        <w:rPr>
          <w:rFonts w:ascii="Arial" w:hAnsi="Arial" w:cs="Arial"/>
          <w:sz w:val="23"/>
          <w:szCs w:val="23"/>
        </w:rPr>
        <w:t xml:space="preserve">113 </w:t>
      </w:r>
      <w:r w:rsidRPr="00FB4C7F">
        <w:rPr>
          <w:rFonts w:ascii="Arial" w:hAnsi="Arial" w:cs="Arial"/>
          <w:sz w:val="23"/>
          <w:szCs w:val="23"/>
        </w:rPr>
        <w:t xml:space="preserve">numeral </w:t>
      </w:r>
      <w:r w:rsidR="00733FDC" w:rsidRPr="00FB4C7F">
        <w:rPr>
          <w:rFonts w:ascii="Arial" w:hAnsi="Arial" w:cs="Arial"/>
          <w:sz w:val="23"/>
          <w:szCs w:val="23"/>
        </w:rPr>
        <w:t xml:space="preserve">2 </w:t>
      </w:r>
      <w:r w:rsidRPr="00FB4C7F">
        <w:rPr>
          <w:rFonts w:ascii="Arial" w:hAnsi="Arial" w:cs="Arial"/>
          <w:sz w:val="23"/>
          <w:szCs w:val="23"/>
        </w:rPr>
        <w:t xml:space="preserve">de la Ley </w:t>
      </w:r>
      <w:r w:rsidR="00733FDC" w:rsidRPr="00FB4C7F">
        <w:rPr>
          <w:rFonts w:ascii="Arial" w:hAnsi="Arial" w:cs="Arial"/>
          <w:sz w:val="23"/>
          <w:szCs w:val="23"/>
        </w:rPr>
        <w:t xml:space="preserve">Electoral </w:t>
      </w:r>
      <w:r w:rsidRPr="00FB4C7F">
        <w:rPr>
          <w:rFonts w:ascii="Arial" w:hAnsi="Arial" w:cs="Arial"/>
          <w:sz w:val="23"/>
          <w:szCs w:val="23"/>
        </w:rPr>
        <w:t>y 4 del Reglamento de Comisiones, disponen que todas las comisiones se integrarán bajo el principio de paridad de género</w:t>
      </w:r>
      <w:r w:rsidR="001722B2" w:rsidRPr="00FB4C7F">
        <w:rPr>
          <w:rFonts w:ascii="Arial" w:hAnsi="Arial" w:cs="Arial"/>
          <w:sz w:val="23"/>
          <w:szCs w:val="23"/>
        </w:rPr>
        <w:t>;</w:t>
      </w:r>
      <w:r w:rsidRPr="00FB4C7F">
        <w:rPr>
          <w:rFonts w:ascii="Arial" w:hAnsi="Arial" w:cs="Arial"/>
          <w:sz w:val="23"/>
          <w:szCs w:val="23"/>
        </w:rPr>
        <w:t xml:space="preserve"> principio que permitirá la toma de decisiones más equilibrada entre hombres y mujeres, con la participación de Consejeras y Consejeros Electorales en igualdad de condiciones. </w:t>
      </w:r>
    </w:p>
    <w:p w:rsidR="00EB4B39" w:rsidRPr="00FB4C7F" w:rsidRDefault="00EB4B39" w:rsidP="00204F41">
      <w:pPr>
        <w:pStyle w:val="Ttulo2"/>
        <w:rPr>
          <w:rFonts w:ascii="Arial" w:hAnsi="Arial" w:cs="Arial"/>
          <w:sz w:val="23"/>
          <w:szCs w:val="23"/>
        </w:rPr>
      </w:pPr>
      <w:r w:rsidRPr="00FB4C7F">
        <w:rPr>
          <w:rFonts w:ascii="Arial" w:hAnsi="Arial" w:cs="Arial"/>
          <w:sz w:val="23"/>
          <w:szCs w:val="23"/>
        </w:rPr>
        <w:t>Secretarías Técnicas de las Comisiones</w:t>
      </w:r>
    </w:p>
    <w:p w:rsidR="00EB4B39" w:rsidRPr="00FB4C7F" w:rsidRDefault="00EB4B39" w:rsidP="00EB4B39">
      <w:pPr>
        <w:rPr>
          <w:rFonts w:ascii="Arial" w:hAnsi="Arial" w:cs="Arial"/>
          <w:sz w:val="23"/>
          <w:szCs w:val="23"/>
        </w:rPr>
      </w:pPr>
      <w:r w:rsidRPr="00FB4C7F">
        <w:rPr>
          <w:rFonts w:ascii="Arial" w:hAnsi="Arial" w:cs="Arial"/>
          <w:sz w:val="23"/>
          <w:szCs w:val="23"/>
        </w:rPr>
        <w:t>Que, de acuerdo con la parte final del numeral 2 del artículo 113 de la Ley Electoral, la Directora o el Director de Organización Electoral y Educación Cívica del Instituto actuará como Secretaria o Secretario Técnico de las Comisiones permanentes de Vinculación con el INE, de Organización Electoral y Educación Cívica, con excepción de la Secretarías Técnicas de las Comisiones de Denuncias y Quejas, de Seguimiento al SPEN y de Igualdad de Género y No Discriminación, que serán ocupadas por las personas titulares de la Coordinación de lo Contencioso Electoral, del Órgano de Enlace con el SPEN y de la Unidad de Igualdad de Género y No Discriminación, respectivamente; lo anterior, acorde al artículo 4 numeral 2 del Reglamento de Comisiones.</w:t>
      </w:r>
    </w:p>
    <w:p w:rsidR="00EB4B39" w:rsidRPr="00FB4C7F" w:rsidRDefault="00EB4B39" w:rsidP="00204F41">
      <w:pPr>
        <w:pStyle w:val="Ttulo2"/>
        <w:rPr>
          <w:rFonts w:ascii="Arial" w:hAnsi="Arial" w:cs="Arial"/>
          <w:sz w:val="23"/>
          <w:szCs w:val="23"/>
        </w:rPr>
      </w:pPr>
      <w:r w:rsidRPr="00FB4C7F">
        <w:rPr>
          <w:rFonts w:ascii="Arial" w:hAnsi="Arial" w:cs="Arial"/>
          <w:sz w:val="23"/>
          <w:szCs w:val="23"/>
        </w:rPr>
        <w:t>Comisión de Organización Electoral y Educación Cívica</w:t>
      </w:r>
    </w:p>
    <w:p w:rsidR="00EB4B39" w:rsidRPr="00FB4C7F" w:rsidRDefault="00EB4B39" w:rsidP="00EB4B39">
      <w:pPr>
        <w:rPr>
          <w:rFonts w:ascii="Arial" w:hAnsi="Arial" w:cs="Arial"/>
          <w:sz w:val="23"/>
          <w:szCs w:val="23"/>
        </w:rPr>
      </w:pPr>
      <w:r w:rsidRPr="00FB4C7F">
        <w:rPr>
          <w:rFonts w:ascii="Arial" w:hAnsi="Arial" w:cs="Arial"/>
          <w:sz w:val="23"/>
          <w:szCs w:val="23"/>
        </w:rPr>
        <w:t xml:space="preserve">Que, a partir de la interpretación de las atribuciones que le confiere el artículo 14 del Reglamento de Comisiones, la </w:t>
      </w:r>
      <w:r w:rsidR="00B56347" w:rsidRPr="00FB4C7F">
        <w:rPr>
          <w:rFonts w:ascii="Arial" w:hAnsi="Arial" w:cs="Arial"/>
          <w:sz w:val="23"/>
          <w:szCs w:val="23"/>
        </w:rPr>
        <w:t xml:space="preserve">COEYEC </w:t>
      </w:r>
      <w:r w:rsidRPr="00FB4C7F">
        <w:rPr>
          <w:rFonts w:ascii="Arial" w:hAnsi="Arial" w:cs="Arial"/>
          <w:sz w:val="23"/>
          <w:szCs w:val="23"/>
        </w:rPr>
        <w:t xml:space="preserve">es el órgano auxiliar del Consejo Estatal responsable de coordinar la preparación de la elección, la capacitación electoral, la difusión de la participación ciudadana, así como las inherentes a la educación cívica, supervisando las actividades </w:t>
      </w:r>
      <w:r w:rsidR="0095697D" w:rsidRPr="00FB4C7F">
        <w:rPr>
          <w:rFonts w:ascii="Arial" w:hAnsi="Arial" w:cs="Arial"/>
          <w:sz w:val="23"/>
          <w:szCs w:val="23"/>
        </w:rPr>
        <w:t>que,</w:t>
      </w:r>
      <w:r w:rsidRPr="00FB4C7F">
        <w:rPr>
          <w:rFonts w:ascii="Arial" w:hAnsi="Arial" w:cs="Arial"/>
          <w:sz w:val="23"/>
          <w:szCs w:val="23"/>
        </w:rPr>
        <w:t xml:space="preserve"> conforme a sus facultades, competen a la Dirección de Organización.</w:t>
      </w:r>
    </w:p>
    <w:p w:rsidR="00AB1045" w:rsidRPr="00FB4C7F" w:rsidRDefault="00EB4B39" w:rsidP="00EB4B39">
      <w:pPr>
        <w:pStyle w:val="Ttulo2"/>
        <w:rPr>
          <w:rFonts w:ascii="Arial" w:hAnsi="Arial" w:cs="Arial"/>
          <w:sz w:val="23"/>
          <w:szCs w:val="23"/>
        </w:rPr>
      </w:pPr>
      <w:r w:rsidRPr="00FB4C7F">
        <w:rPr>
          <w:rFonts w:ascii="Arial" w:hAnsi="Arial" w:cs="Arial"/>
          <w:sz w:val="23"/>
          <w:szCs w:val="23"/>
        </w:rPr>
        <w:t xml:space="preserve">Propuesta del Programa de Formación y Capacitación </w:t>
      </w:r>
    </w:p>
    <w:p w:rsidR="00EB4B39" w:rsidRPr="00FB4C7F" w:rsidRDefault="00EB4B39" w:rsidP="00EB4B39">
      <w:pPr>
        <w:rPr>
          <w:rFonts w:ascii="Arial" w:hAnsi="Arial" w:cs="Arial"/>
          <w:sz w:val="23"/>
          <w:szCs w:val="23"/>
        </w:rPr>
      </w:pPr>
      <w:r w:rsidRPr="00FB4C7F">
        <w:rPr>
          <w:rFonts w:ascii="Arial" w:hAnsi="Arial" w:cs="Arial"/>
          <w:sz w:val="23"/>
          <w:szCs w:val="23"/>
        </w:rPr>
        <w:t xml:space="preserve">Que, la COEYEC, conforme a los criterios y actividades determinadas en su Programa Anual de Trabajo, dio seguimiento a los trabajos de planeación, organización análisis y reflexiones de las actividades llevadas a cabo durante el Proceso Electoral, identificando las áreas de oportunidad y con ello fortalecer a través de capacitaciones y </w:t>
      </w:r>
      <w:r w:rsidRPr="00FB4C7F">
        <w:rPr>
          <w:rFonts w:ascii="Arial" w:hAnsi="Arial" w:cs="Arial"/>
          <w:sz w:val="23"/>
          <w:szCs w:val="23"/>
        </w:rPr>
        <w:lastRenderedPageBreak/>
        <w:t>profesionalización, los mecanismos, procedimientos operativos, administrativos, logísticos de habilidades y conocimientos de la función, con miras a los subsecuentes procesos electorales.</w:t>
      </w:r>
    </w:p>
    <w:p w:rsidR="00EB4B39" w:rsidRPr="00FB4C7F" w:rsidRDefault="00EB4B39" w:rsidP="00EB4B39">
      <w:pPr>
        <w:rPr>
          <w:rFonts w:ascii="Arial" w:hAnsi="Arial" w:cs="Arial"/>
          <w:sz w:val="23"/>
          <w:szCs w:val="23"/>
        </w:rPr>
      </w:pPr>
      <w:r w:rsidRPr="00FB4C7F">
        <w:rPr>
          <w:rFonts w:ascii="Arial" w:hAnsi="Arial" w:cs="Arial"/>
          <w:sz w:val="23"/>
          <w:szCs w:val="23"/>
        </w:rPr>
        <w:t>A partir de lo anterior, la COEYEC estima pertinente que el Instituto implemente la capacitación en materia de organización electoral a todo su personal, así como a la ciudadanía que, de ser el caso, desee participar en las actividades inherentes a un proceso electoral; esto con el objetivo de que todos conozcan sobre los tópicos relacionados con la organización electoral y, en su caso, el sistema o sistemas que se utilizan durante un proceso electoral.</w:t>
      </w:r>
    </w:p>
    <w:p w:rsidR="00EB4B39" w:rsidRPr="00FB4C7F" w:rsidRDefault="00EB4B39" w:rsidP="00EB4B39">
      <w:pPr>
        <w:rPr>
          <w:rFonts w:ascii="Arial" w:hAnsi="Arial" w:cs="Arial"/>
          <w:sz w:val="23"/>
          <w:szCs w:val="23"/>
        </w:rPr>
      </w:pPr>
      <w:r w:rsidRPr="00FB4C7F">
        <w:rPr>
          <w:rFonts w:ascii="Arial" w:hAnsi="Arial" w:cs="Arial"/>
          <w:sz w:val="23"/>
          <w:szCs w:val="23"/>
        </w:rPr>
        <w:t xml:space="preserve">La propuesta, a criterio de este órgano electoral, contribuye a fortalecer y actualizar el conocimiento en materia de organización electoral, </w:t>
      </w:r>
      <w:r w:rsidR="00FE0E22" w:rsidRPr="00FB4C7F">
        <w:rPr>
          <w:rFonts w:ascii="Arial" w:hAnsi="Arial" w:cs="Arial"/>
          <w:sz w:val="23"/>
          <w:szCs w:val="23"/>
        </w:rPr>
        <w:t>dando con ello cumplimiento</w:t>
      </w:r>
      <w:r w:rsidRPr="00FB4C7F">
        <w:rPr>
          <w:rFonts w:ascii="Arial" w:hAnsi="Arial" w:cs="Arial"/>
          <w:sz w:val="23"/>
          <w:szCs w:val="23"/>
        </w:rPr>
        <w:t xml:space="preserve"> a las facultades que la Ley Electoral confiere a la COEYEC y </w:t>
      </w:r>
      <w:r w:rsidR="00FE0E22" w:rsidRPr="00FB4C7F">
        <w:rPr>
          <w:rFonts w:ascii="Arial" w:hAnsi="Arial" w:cs="Arial"/>
          <w:sz w:val="23"/>
          <w:szCs w:val="23"/>
        </w:rPr>
        <w:t>a este</w:t>
      </w:r>
      <w:r w:rsidRPr="00FB4C7F">
        <w:rPr>
          <w:rFonts w:ascii="Arial" w:hAnsi="Arial" w:cs="Arial"/>
          <w:sz w:val="23"/>
          <w:szCs w:val="23"/>
        </w:rPr>
        <w:t xml:space="preserve"> Consejo Estatal para desarrollar los proyectos de trabajo que consideren necesarios para el debido ejercicio de las facultades y atribuciones. En ese sentido, en relación con el Plan de Trabajo de la Comisión para el año 2025, la COEYEC presenta la ficha técnica del </w:t>
      </w:r>
      <w:r w:rsidR="000A50CA" w:rsidRPr="00FB4C7F">
        <w:rPr>
          <w:rFonts w:ascii="Arial" w:hAnsi="Arial" w:cs="Arial"/>
          <w:sz w:val="23"/>
          <w:szCs w:val="23"/>
        </w:rPr>
        <w:t xml:space="preserve">Programa de Capacitación en materia de Organización Electoral y Participación Ciudadana del Personal del Instituto Electoral y de Participación Ciudadana de Tabasco y Ciudadanía </w:t>
      </w:r>
      <w:r w:rsidRPr="00FB4C7F">
        <w:rPr>
          <w:rFonts w:ascii="Arial" w:hAnsi="Arial" w:cs="Arial"/>
          <w:sz w:val="23"/>
          <w:szCs w:val="23"/>
        </w:rPr>
        <w:t xml:space="preserve">(anexo único), mismo que </w:t>
      </w:r>
      <w:r w:rsidR="00FE0E22" w:rsidRPr="00FB4C7F">
        <w:rPr>
          <w:rFonts w:ascii="Arial" w:hAnsi="Arial" w:cs="Arial"/>
          <w:sz w:val="23"/>
          <w:szCs w:val="23"/>
        </w:rPr>
        <w:t xml:space="preserve">constituye </w:t>
      </w:r>
      <w:r w:rsidRPr="00FB4C7F">
        <w:rPr>
          <w:rFonts w:ascii="Arial" w:hAnsi="Arial" w:cs="Arial"/>
          <w:sz w:val="23"/>
          <w:szCs w:val="23"/>
        </w:rPr>
        <w:t>una herramienta útil para el desarrollo de sus funciones.</w:t>
      </w:r>
    </w:p>
    <w:p w:rsidR="00FE0E22" w:rsidRPr="00FB4C7F" w:rsidRDefault="00FE0E22" w:rsidP="00FE0E22">
      <w:pPr>
        <w:rPr>
          <w:rFonts w:ascii="Arial" w:hAnsi="Arial" w:cs="Arial"/>
          <w:sz w:val="23"/>
          <w:szCs w:val="23"/>
        </w:rPr>
      </w:pPr>
      <w:r w:rsidRPr="00FB4C7F">
        <w:rPr>
          <w:rFonts w:ascii="Arial" w:hAnsi="Arial" w:cs="Arial"/>
          <w:sz w:val="23"/>
          <w:szCs w:val="23"/>
        </w:rPr>
        <w:t xml:space="preserve">Cabe mencionar que, el Programa señalado es resultado de la reunión de trabajo efectuada el 8 de octubre </w:t>
      </w:r>
      <w:r w:rsidR="00F12B43" w:rsidRPr="00FB4C7F">
        <w:rPr>
          <w:rFonts w:ascii="Arial" w:hAnsi="Arial" w:cs="Arial"/>
          <w:sz w:val="23"/>
          <w:szCs w:val="23"/>
        </w:rPr>
        <w:t xml:space="preserve">de la presente anualidad, </w:t>
      </w:r>
      <w:r w:rsidRPr="00FB4C7F">
        <w:rPr>
          <w:rFonts w:ascii="Arial" w:hAnsi="Arial" w:cs="Arial"/>
          <w:sz w:val="23"/>
          <w:szCs w:val="23"/>
        </w:rPr>
        <w:t xml:space="preserve">por las y los integrantes de la COEYEC, en la que se atendieron y solventaron las observaciones </w:t>
      </w:r>
      <w:r w:rsidR="00F12B43" w:rsidRPr="00FB4C7F">
        <w:rPr>
          <w:rFonts w:ascii="Arial" w:hAnsi="Arial" w:cs="Arial"/>
          <w:sz w:val="23"/>
          <w:szCs w:val="23"/>
        </w:rPr>
        <w:t xml:space="preserve">formuladas </w:t>
      </w:r>
      <w:r w:rsidRPr="00FB4C7F">
        <w:rPr>
          <w:rFonts w:ascii="Arial" w:hAnsi="Arial" w:cs="Arial"/>
          <w:sz w:val="23"/>
          <w:szCs w:val="23"/>
        </w:rPr>
        <w:t xml:space="preserve">por </w:t>
      </w:r>
      <w:r w:rsidR="00F12B43" w:rsidRPr="00FB4C7F">
        <w:rPr>
          <w:rFonts w:ascii="Arial" w:hAnsi="Arial" w:cs="Arial"/>
          <w:sz w:val="23"/>
          <w:szCs w:val="23"/>
        </w:rPr>
        <w:t xml:space="preserve">las </w:t>
      </w:r>
      <w:r w:rsidRPr="00FB4C7F">
        <w:rPr>
          <w:rFonts w:ascii="Arial" w:hAnsi="Arial" w:cs="Arial"/>
          <w:sz w:val="23"/>
          <w:szCs w:val="23"/>
        </w:rPr>
        <w:t>consejerías electorales y representaciones de los partidos políticos.</w:t>
      </w:r>
    </w:p>
    <w:p w:rsidR="00EB4B39" w:rsidRDefault="00EB4B39" w:rsidP="00EB4B39">
      <w:pPr>
        <w:rPr>
          <w:rFonts w:ascii="Arial" w:hAnsi="Arial" w:cs="Arial"/>
          <w:sz w:val="23"/>
          <w:szCs w:val="23"/>
        </w:rPr>
      </w:pPr>
      <w:r w:rsidRPr="00FB4C7F">
        <w:rPr>
          <w:rFonts w:ascii="Arial" w:hAnsi="Arial" w:cs="Arial"/>
          <w:sz w:val="23"/>
          <w:szCs w:val="23"/>
        </w:rPr>
        <w:t>Sobre la base de las consideraciones señaladas, este Consejo Estatal emite el siguiente:</w:t>
      </w:r>
    </w:p>
    <w:p w:rsidR="00EB4B39" w:rsidRDefault="00EB4B39" w:rsidP="00EB4B39">
      <w:pPr>
        <w:pStyle w:val="Ttulo1"/>
        <w:rPr>
          <w:rFonts w:ascii="Arial" w:hAnsi="Arial" w:cs="Arial"/>
          <w:sz w:val="24"/>
          <w:szCs w:val="24"/>
        </w:rPr>
      </w:pPr>
      <w:r w:rsidRPr="00FB4C7F">
        <w:rPr>
          <w:rFonts w:ascii="Arial" w:hAnsi="Arial" w:cs="Arial"/>
          <w:sz w:val="24"/>
          <w:szCs w:val="24"/>
        </w:rPr>
        <w:t>Acuerdo</w:t>
      </w:r>
    </w:p>
    <w:p w:rsidR="00EB4B39" w:rsidRPr="00FB4C7F" w:rsidRDefault="00EB4B39" w:rsidP="00A27982">
      <w:pPr>
        <w:rPr>
          <w:rFonts w:ascii="Arial" w:hAnsi="Arial" w:cs="Arial"/>
          <w:sz w:val="23"/>
          <w:szCs w:val="23"/>
        </w:rPr>
      </w:pPr>
      <w:r w:rsidRPr="00FB4C7F">
        <w:rPr>
          <w:rFonts w:ascii="Arial" w:hAnsi="Arial" w:cs="Arial"/>
          <w:b/>
          <w:sz w:val="23"/>
          <w:szCs w:val="23"/>
        </w:rPr>
        <w:t>Primero.</w:t>
      </w:r>
      <w:r w:rsidRPr="00FB4C7F">
        <w:rPr>
          <w:rFonts w:ascii="Arial" w:hAnsi="Arial" w:cs="Arial"/>
          <w:sz w:val="23"/>
          <w:szCs w:val="23"/>
        </w:rPr>
        <w:t xml:space="preserve"> Se aprueba </w:t>
      </w:r>
      <w:r w:rsidR="00A27982" w:rsidRPr="00FB4C7F">
        <w:rPr>
          <w:rFonts w:ascii="Arial" w:hAnsi="Arial" w:cs="Arial"/>
          <w:sz w:val="23"/>
          <w:szCs w:val="23"/>
        </w:rPr>
        <w:t>el Programa de Capacitación en materia de Organización Electoral y Participación Ciudadana del Personal del Instituto Electoral y de Participación Ciudadana de Tabasco y Ciudadanía para el ejercicio 2025 propuesto por la Comisión Permanente de Organización Electoral y Educación Cívica</w:t>
      </w:r>
      <w:r w:rsidR="003E5177" w:rsidRPr="00FB4C7F">
        <w:rPr>
          <w:rFonts w:ascii="Arial" w:hAnsi="Arial" w:cs="Arial"/>
          <w:sz w:val="23"/>
          <w:szCs w:val="23"/>
        </w:rPr>
        <w:t>, anexo</w:t>
      </w:r>
      <w:r w:rsidRPr="00FB4C7F">
        <w:rPr>
          <w:rFonts w:ascii="Arial" w:hAnsi="Arial" w:cs="Arial"/>
          <w:sz w:val="23"/>
          <w:szCs w:val="23"/>
        </w:rPr>
        <w:t xml:space="preserve"> al presente acuerdo.</w:t>
      </w:r>
    </w:p>
    <w:p w:rsidR="000A40D9" w:rsidRPr="00FB4C7F" w:rsidRDefault="00EB4B39" w:rsidP="00EB4B39">
      <w:pPr>
        <w:rPr>
          <w:rFonts w:ascii="Arial" w:hAnsi="Arial" w:cs="Arial"/>
          <w:sz w:val="23"/>
          <w:szCs w:val="23"/>
        </w:rPr>
      </w:pPr>
      <w:r w:rsidRPr="00FB4C7F">
        <w:rPr>
          <w:rFonts w:ascii="Arial" w:hAnsi="Arial" w:cs="Arial"/>
          <w:b/>
          <w:sz w:val="23"/>
          <w:szCs w:val="23"/>
        </w:rPr>
        <w:lastRenderedPageBreak/>
        <w:t>Segundo.</w:t>
      </w:r>
      <w:r w:rsidRPr="00FB4C7F">
        <w:rPr>
          <w:rFonts w:ascii="Arial" w:hAnsi="Arial" w:cs="Arial"/>
          <w:sz w:val="23"/>
          <w:szCs w:val="23"/>
        </w:rPr>
        <w:t xml:space="preserve"> Se instruye a la Dirección de Organización Electoral y Educación Cívica de este Instituto, para que, conforme a sus atribuciones y funciones, </w:t>
      </w:r>
      <w:r w:rsidR="000A40D9" w:rsidRPr="00FB4C7F">
        <w:rPr>
          <w:rFonts w:ascii="Arial" w:hAnsi="Arial" w:cs="Arial"/>
          <w:sz w:val="23"/>
          <w:szCs w:val="23"/>
        </w:rPr>
        <w:t xml:space="preserve">elabore los contenidos y materiales del Programa de Capacitación </w:t>
      </w:r>
      <w:r w:rsidR="00A42902" w:rsidRPr="00FB4C7F">
        <w:rPr>
          <w:rFonts w:ascii="Arial" w:hAnsi="Arial" w:cs="Arial"/>
          <w:sz w:val="23"/>
          <w:szCs w:val="23"/>
        </w:rPr>
        <w:t>motivo del presente acuerdo</w:t>
      </w:r>
      <w:r w:rsidR="000A40D9" w:rsidRPr="00FB4C7F">
        <w:rPr>
          <w:rFonts w:ascii="Arial" w:hAnsi="Arial" w:cs="Arial"/>
          <w:sz w:val="23"/>
          <w:szCs w:val="23"/>
        </w:rPr>
        <w:t>.</w:t>
      </w:r>
    </w:p>
    <w:p w:rsidR="00EB4B39" w:rsidRPr="00FB4C7F" w:rsidRDefault="00EB4B39" w:rsidP="00EB4B39">
      <w:pPr>
        <w:rPr>
          <w:rFonts w:ascii="Arial" w:hAnsi="Arial" w:cs="Arial"/>
          <w:sz w:val="23"/>
          <w:szCs w:val="23"/>
        </w:rPr>
      </w:pPr>
      <w:r w:rsidRPr="00FB4C7F">
        <w:rPr>
          <w:rFonts w:ascii="Arial" w:hAnsi="Arial" w:cs="Arial"/>
          <w:b/>
          <w:sz w:val="23"/>
          <w:szCs w:val="23"/>
        </w:rPr>
        <w:t>Tercero.</w:t>
      </w:r>
      <w:r w:rsidRPr="00FB4C7F">
        <w:rPr>
          <w:rFonts w:ascii="Arial" w:hAnsi="Arial" w:cs="Arial"/>
          <w:sz w:val="23"/>
          <w:szCs w:val="23"/>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EB4B39" w:rsidRPr="00FB4C7F" w:rsidRDefault="00EB4B39" w:rsidP="00EB4B39">
      <w:pPr>
        <w:rPr>
          <w:rFonts w:ascii="Arial" w:hAnsi="Arial" w:cs="Arial"/>
          <w:sz w:val="23"/>
          <w:szCs w:val="23"/>
        </w:rPr>
      </w:pPr>
      <w:r w:rsidRPr="00FB4C7F">
        <w:rPr>
          <w:rFonts w:ascii="Arial" w:hAnsi="Arial" w:cs="Arial"/>
          <w:b/>
          <w:sz w:val="23"/>
          <w:szCs w:val="23"/>
        </w:rPr>
        <w:t>Cuarto.</w:t>
      </w:r>
      <w:r w:rsidRPr="00FB4C7F">
        <w:rPr>
          <w:rFonts w:ascii="Arial" w:hAnsi="Arial" w:cs="Arial"/>
          <w:sz w:val="23"/>
          <w:szCs w:val="23"/>
        </w:rPr>
        <w:t xml:space="preserve"> Publíquese en </w:t>
      </w:r>
      <w:r w:rsidR="009165DB" w:rsidRPr="00FB4C7F">
        <w:rPr>
          <w:rFonts w:ascii="Arial" w:hAnsi="Arial" w:cs="Arial"/>
          <w:sz w:val="23"/>
          <w:szCs w:val="23"/>
        </w:rPr>
        <w:t>el Periódico Oficial del Estado</w:t>
      </w:r>
      <w:r w:rsidRPr="00FB4C7F">
        <w:rPr>
          <w:rFonts w:ascii="Arial" w:hAnsi="Arial" w:cs="Arial"/>
          <w:sz w:val="23"/>
          <w:szCs w:val="23"/>
        </w:rPr>
        <w:t xml:space="preserve"> y en la página de internet del Instituto, de conformidad con lo dispuesto en el artículo 114 de la Ley Electoral y de Partidos Políticos del Estado de Tabasco.</w:t>
      </w:r>
    </w:p>
    <w:p w:rsidR="00EB4B39" w:rsidRPr="00FB4C7F" w:rsidRDefault="00EB4B39" w:rsidP="00EB4B39">
      <w:pPr>
        <w:rPr>
          <w:rFonts w:ascii="Arial" w:hAnsi="Arial" w:cs="Arial"/>
          <w:sz w:val="23"/>
          <w:szCs w:val="23"/>
        </w:rPr>
      </w:pPr>
      <w:r w:rsidRPr="00FB4C7F">
        <w:rPr>
          <w:rFonts w:ascii="Arial" w:hAnsi="Arial" w:cs="Arial"/>
          <w:sz w:val="23"/>
          <w:szCs w:val="23"/>
        </w:rPr>
        <w:t xml:space="preserve">El presente acuerdo fue </w:t>
      </w:r>
      <w:r w:rsidR="00FB4C7F">
        <w:rPr>
          <w:rFonts w:ascii="Arial" w:hAnsi="Arial" w:cs="Arial"/>
          <w:sz w:val="23"/>
          <w:szCs w:val="23"/>
        </w:rPr>
        <w:t>aprobado</w:t>
      </w:r>
      <w:r w:rsidRPr="00FB4C7F">
        <w:rPr>
          <w:rFonts w:ascii="Arial" w:hAnsi="Arial" w:cs="Arial"/>
          <w:sz w:val="23"/>
          <w:szCs w:val="23"/>
        </w:rPr>
        <w:t xml:space="preserve"> en sesión </w:t>
      </w:r>
      <w:r w:rsidR="00FB4C7F">
        <w:rPr>
          <w:rFonts w:ascii="Arial" w:hAnsi="Arial" w:cs="Arial"/>
          <w:sz w:val="23"/>
          <w:szCs w:val="23"/>
        </w:rPr>
        <w:t>ordinaria efectuada el día treinta</w:t>
      </w:r>
      <w:r w:rsidRPr="00FB4C7F">
        <w:rPr>
          <w:rFonts w:ascii="Arial" w:hAnsi="Arial" w:cs="Arial"/>
          <w:sz w:val="23"/>
          <w:szCs w:val="23"/>
        </w:rPr>
        <w:t xml:space="preserve"> de </w:t>
      </w:r>
      <w:r w:rsidR="00FB4C7F">
        <w:rPr>
          <w:rFonts w:ascii="Arial" w:hAnsi="Arial" w:cs="Arial"/>
          <w:sz w:val="23"/>
          <w:szCs w:val="23"/>
        </w:rPr>
        <w:t>octubre</w:t>
      </w:r>
      <w:r w:rsidRPr="00FB4C7F">
        <w:rPr>
          <w:rFonts w:ascii="Arial" w:hAnsi="Arial" w:cs="Arial"/>
          <w:sz w:val="23"/>
          <w:szCs w:val="23"/>
        </w:rPr>
        <w:t xml:space="preserve"> del año dos mil veinticuatro, por votación </w:t>
      </w:r>
      <w:r w:rsidR="00FB4C7F">
        <w:rPr>
          <w:rFonts w:ascii="Arial" w:hAnsi="Arial" w:cs="Arial"/>
          <w:sz w:val="23"/>
          <w:szCs w:val="23"/>
        </w:rPr>
        <w:t>unánime</w:t>
      </w:r>
      <w:r w:rsidRPr="00FB4C7F">
        <w:rPr>
          <w:rFonts w:ascii="Arial" w:hAnsi="Arial" w:cs="Arial"/>
          <w:sz w:val="23"/>
          <w:szCs w:val="23"/>
        </w:rPr>
        <w:t xml:space="preserve"> de las y los Consejeros Electorales del Consejo Estatal del Instituto Electoral y de Participación Ciudadana de Tabasco: Licda. María Elvia Magaña Sandoval, </w:t>
      </w:r>
      <w:r w:rsidR="00BF651C" w:rsidRPr="00FB4C7F">
        <w:rPr>
          <w:rFonts w:ascii="Arial" w:hAnsi="Arial" w:cs="Arial"/>
          <w:sz w:val="23"/>
          <w:szCs w:val="23"/>
        </w:rPr>
        <w:t xml:space="preserve">Lic. </w:t>
      </w:r>
      <w:bookmarkStart w:id="0" w:name="_GoBack"/>
      <w:bookmarkEnd w:id="0"/>
      <w:r w:rsidRPr="00FB4C7F">
        <w:rPr>
          <w:rFonts w:ascii="Arial" w:hAnsi="Arial" w:cs="Arial"/>
          <w:sz w:val="23"/>
          <w:szCs w:val="23"/>
        </w:rPr>
        <w:t xml:space="preserve">Hernán González Sala, Lic. Vladimir Hernández Venegas, Licda. Ángela Guadalupe Araujo Segura, </w:t>
      </w:r>
      <w:r w:rsidR="00FB4C7F" w:rsidRPr="00FB4C7F">
        <w:rPr>
          <w:rFonts w:ascii="Arial" w:hAnsi="Arial" w:cs="Arial"/>
          <w:sz w:val="23"/>
          <w:szCs w:val="23"/>
        </w:rPr>
        <w:t>Licda.</w:t>
      </w:r>
      <w:r w:rsidR="00FB4C7F">
        <w:rPr>
          <w:rFonts w:ascii="Arial" w:hAnsi="Arial" w:cs="Arial"/>
          <w:sz w:val="23"/>
          <w:szCs w:val="23"/>
        </w:rPr>
        <w:t xml:space="preserve"> </w:t>
      </w:r>
      <w:r w:rsidRPr="00FB4C7F">
        <w:rPr>
          <w:rFonts w:ascii="Arial" w:hAnsi="Arial" w:cs="Arial"/>
          <w:sz w:val="23"/>
          <w:szCs w:val="23"/>
        </w:rPr>
        <w:t xml:space="preserve">Monserrat Martínez </w:t>
      </w:r>
      <w:proofErr w:type="spellStart"/>
      <w:r w:rsidRPr="00FB4C7F">
        <w:rPr>
          <w:rFonts w:ascii="Arial" w:hAnsi="Arial" w:cs="Arial"/>
          <w:sz w:val="23"/>
          <w:szCs w:val="23"/>
        </w:rPr>
        <w:t>Beaurregard</w:t>
      </w:r>
      <w:proofErr w:type="spellEnd"/>
      <w:r w:rsidRPr="00FB4C7F">
        <w:rPr>
          <w:rFonts w:ascii="Arial" w:hAnsi="Arial" w:cs="Arial"/>
          <w:sz w:val="23"/>
          <w:szCs w:val="23"/>
        </w:rPr>
        <w:t xml:space="preserve">, </w:t>
      </w:r>
      <w:r w:rsidR="00D50D11" w:rsidRPr="00FB4C7F">
        <w:rPr>
          <w:rFonts w:ascii="Arial" w:hAnsi="Arial" w:cs="Arial"/>
          <w:sz w:val="23"/>
          <w:szCs w:val="23"/>
        </w:rPr>
        <w:t xml:space="preserve">Mtra. </w:t>
      </w:r>
      <w:r w:rsidRPr="00FB4C7F">
        <w:rPr>
          <w:rFonts w:ascii="Arial" w:hAnsi="Arial" w:cs="Arial"/>
          <w:sz w:val="23"/>
          <w:szCs w:val="23"/>
        </w:rPr>
        <w:t xml:space="preserve">Ruth </w:t>
      </w:r>
      <w:proofErr w:type="spellStart"/>
      <w:r w:rsidRPr="00FB4C7F">
        <w:rPr>
          <w:rFonts w:ascii="Arial" w:hAnsi="Arial" w:cs="Arial"/>
          <w:sz w:val="23"/>
          <w:szCs w:val="23"/>
        </w:rPr>
        <w:t>Lizette</w:t>
      </w:r>
      <w:proofErr w:type="spellEnd"/>
      <w:r w:rsidRPr="00FB4C7F">
        <w:rPr>
          <w:rFonts w:ascii="Arial" w:hAnsi="Arial" w:cs="Arial"/>
          <w:sz w:val="23"/>
          <w:szCs w:val="23"/>
        </w:rPr>
        <w:t xml:space="preserve"> Toledo Peral y la Consejera Presidenta, Mtra. Elizabeth Nava Gutiérrez.</w:t>
      </w:r>
    </w:p>
    <w:p w:rsidR="00EB4B39" w:rsidRDefault="00EB4B39" w:rsidP="00EB4B39">
      <w:pPr>
        <w:rPr>
          <w:rFonts w:ascii="Arial" w:hAnsi="Arial" w:cs="Arial"/>
          <w:sz w:val="23"/>
          <w:szCs w:val="23"/>
        </w:rPr>
      </w:pPr>
    </w:p>
    <w:p w:rsidR="00C4459C" w:rsidRDefault="00C4459C" w:rsidP="00EB4B39">
      <w:pPr>
        <w:rPr>
          <w:rFonts w:ascii="Arial" w:hAnsi="Arial" w:cs="Arial"/>
          <w:sz w:val="23"/>
          <w:szCs w:val="23"/>
        </w:rPr>
      </w:pPr>
    </w:p>
    <w:p w:rsidR="00C4459C" w:rsidRPr="00FB4C7F" w:rsidRDefault="00C4459C" w:rsidP="00EB4B39">
      <w:pPr>
        <w:rPr>
          <w:rFonts w:ascii="Arial" w:hAnsi="Arial" w:cs="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EB4B39" w:rsidRPr="00FB4C7F" w:rsidTr="00E119D7">
        <w:tc>
          <w:tcPr>
            <w:tcW w:w="4395" w:type="dxa"/>
          </w:tcPr>
          <w:p w:rsidR="00EB4B39" w:rsidRPr="00FB4C7F" w:rsidRDefault="00EB4B39" w:rsidP="00E119D7">
            <w:pPr>
              <w:widowControl w:val="0"/>
              <w:spacing w:before="0" w:after="0"/>
              <w:jc w:val="center"/>
              <w:rPr>
                <w:rFonts w:ascii="Arial" w:hAnsi="Arial" w:cs="Arial"/>
                <w:b/>
                <w:spacing w:val="-10"/>
                <w:sz w:val="23"/>
                <w:szCs w:val="23"/>
              </w:rPr>
            </w:pPr>
            <w:r w:rsidRPr="00FB4C7F">
              <w:rPr>
                <w:rFonts w:ascii="Arial" w:hAnsi="Arial" w:cs="Arial"/>
                <w:b/>
                <w:spacing w:val="-10"/>
                <w:sz w:val="23"/>
                <w:szCs w:val="23"/>
              </w:rPr>
              <w:t>MTRA. ELIZABETH NAVA GUTIÉRREZ</w:t>
            </w:r>
          </w:p>
          <w:p w:rsidR="00EB4B39" w:rsidRPr="00FB4C7F" w:rsidRDefault="00EB4B39" w:rsidP="00E119D7">
            <w:pPr>
              <w:widowControl w:val="0"/>
              <w:spacing w:before="0" w:after="0"/>
              <w:jc w:val="center"/>
              <w:rPr>
                <w:rFonts w:ascii="Arial" w:hAnsi="Arial" w:cs="Arial"/>
                <w:b/>
                <w:sz w:val="23"/>
                <w:szCs w:val="23"/>
              </w:rPr>
            </w:pPr>
            <w:r w:rsidRPr="00FB4C7F">
              <w:rPr>
                <w:rFonts w:ascii="Arial" w:hAnsi="Arial" w:cs="Arial"/>
                <w:b/>
                <w:spacing w:val="-10"/>
                <w:sz w:val="23"/>
                <w:szCs w:val="23"/>
              </w:rPr>
              <w:t>CONSEJERA PRESIDENTA</w:t>
            </w:r>
          </w:p>
        </w:tc>
        <w:tc>
          <w:tcPr>
            <w:tcW w:w="278" w:type="dxa"/>
          </w:tcPr>
          <w:p w:rsidR="00EB4B39" w:rsidRPr="00FB4C7F" w:rsidRDefault="00EB4B39" w:rsidP="00E119D7">
            <w:pPr>
              <w:widowControl w:val="0"/>
              <w:spacing w:before="0" w:after="0"/>
              <w:rPr>
                <w:rFonts w:ascii="Arial" w:hAnsi="Arial" w:cs="Arial"/>
                <w:b/>
                <w:sz w:val="23"/>
                <w:szCs w:val="23"/>
              </w:rPr>
            </w:pPr>
          </w:p>
        </w:tc>
        <w:tc>
          <w:tcPr>
            <w:tcW w:w="4400" w:type="dxa"/>
          </w:tcPr>
          <w:p w:rsidR="00EB4B39" w:rsidRPr="00FB4C7F" w:rsidRDefault="00EB4B39" w:rsidP="00E119D7">
            <w:pPr>
              <w:widowControl w:val="0"/>
              <w:spacing w:before="0" w:after="0"/>
              <w:jc w:val="center"/>
              <w:rPr>
                <w:rFonts w:ascii="Arial" w:hAnsi="Arial" w:cs="Arial"/>
                <w:b/>
                <w:spacing w:val="-10"/>
                <w:sz w:val="23"/>
                <w:szCs w:val="23"/>
              </w:rPr>
            </w:pPr>
            <w:r w:rsidRPr="00FB4C7F">
              <w:rPr>
                <w:rFonts w:ascii="Arial" w:hAnsi="Arial" w:cs="Arial"/>
                <w:b/>
                <w:spacing w:val="-10"/>
                <w:sz w:val="23"/>
                <w:szCs w:val="23"/>
              </w:rPr>
              <w:t>LIC. JORGE ALBERTO ZAVALA FRÍAS</w:t>
            </w:r>
          </w:p>
          <w:p w:rsidR="00EB4B39" w:rsidRPr="00FB4C7F" w:rsidRDefault="00EB4B39" w:rsidP="00E119D7">
            <w:pPr>
              <w:widowControl w:val="0"/>
              <w:spacing w:before="0" w:after="0"/>
              <w:jc w:val="center"/>
              <w:rPr>
                <w:rFonts w:ascii="Arial" w:hAnsi="Arial" w:cs="Arial"/>
                <w:b/>
                <w:sz w:val="23"/>
                <w:szCs w:val="23"/>
              </w:rPr>
            </w:pPr>
            <w:r w:rsidRPr="00FB4C7F">
              <w:rPr>
                <w:rFonts w:ascii="Arial" w:hAnsi="Arial" w:cs="Arial"/>
                <w:b/>
                <w:spacing w:val="-10"/>
                <w:sz w:val="23"/>
                <w:szCs w:val="23"/>
              </w:rPr>
              <w:t>SECRETARIO DEL CONSEJO</w:t>
            </w:r>
          </w:p>
        </w:tc>
      </w:tr>
    </w:tbl>
    <w:p w:rsidR="00EB4B39" w:rsidRPr="00FB4C7F" w:rsidRDefault="00EB4B39" w:rsidP="00EB4B39">
      <w:pPr>
        <w:rPr>
          <w:rFonts w:ascii="Arial" w:hAnsi="Arial" w:cs="Arial"/>
          <w:sz w:val="23"/>
          <w:szCs w:val="23"/>
        </w:rPr>
      </w:pPr>
    </w:p>
    <w:sectPr w:rsidR="00EB4B39" w:rsidRPr="00FB4C7F" w:rsidSect="00C4459C">
      <w:headerReference w:type="default" r:id="rId7"/>
      <w:footerReference w:type="default" r:id="rId8"/>
      <w:pgSz w:w="12240" w:h="15840" w:code="1"/>
      <w:pgMar w:top="1418" w:right="1608"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662" w:rsidRDefault="00950662" w:rsidP="003D1B4B">
      <w:pPr>
        <w:spacing w:before="0" w:after="0" w:line="240" w:lineRule="auto"/>
      </w:pPr>
      <w:r>
        <w:separator/>
      </w:r>
    </w:p>
  </w:endnote>
  <w:endnote w:type="continuationSeparator" w:id="0">
    <w:p w:rsidR="00950662" w:rsidRDefault="00950662" w:rsidP="003D1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588B5E-3F1B-4C03-8D7D-79871E5BA408}"/>
    <w:embedBold r:id="rId2" w:fontKey="{3ABF64B7-C648-4861-8327-BF5F81CC14D6}"/>
  </w:font>
  <w:font w:name="Exo">
    <w:altName w:val="Times New Roman"/>
    <w:charset w:val="00"/>
    <w:family w:val="auto"/>
    <w:pitch w:val="variable"/>
    <w:sig w:usb0="A00000FF" w:usb1="4000204B" w:usb2="00000000" w:usb3="00000000" w:csb0="00000193" w:csb1="00000000"/>
    <w:embedRegular r:id="rId3" w:fontKey="{8997F9E4-D145-4417-89C2-CA4DBDB82CB9}"/>
    <w:embedBold r:id="rId4" w:fontKey="{F50E7894-2190-414C-B239-451921ED0908}"/>
  </w:font>
  <w:font w:name="Calibri Light">
    <w:panose1 w:val="020F0302020204030204"/>
    <w:charset w:val="00"/>
    <w:family w:val="swiss"/>
    <w:pitch w:val="variable"/>
    <w:sig w:usb0="E4002EFF" w:usb1="C200247B" w:usb2="00000009" w:usb3="00000000" w:csb0="000001FF" w:csb1="00000000"/>
    <w:embedRegular r:id="rId5" w:fontKey="{4F973F40-1F66-43FD-B4C2-34A33A8F8E06}"/>
    <w:embedItalic r:id="rId6" w:fontKey="{7DFEC13E-13AE-454F-B123-3A29278B627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5923031B-43BD-414D-A412-525F82AD9DB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59C" w:rsidRPr="00C4459C" w:rsidRDefault="00C4459C">
    <w:pPr>
      <w:tabs>
        <w:tab w:val="center" w:pos="4550"/>
        <w:tab w:val="left" w:pos="5818"/>
      </w:tabs>
      <w:ind w:right="260"/>
      <w:jc w:val="right"/>
      <w:rPr>
        <w:rFonts w:ascii="Arial" w:hAnsi="Arial" w:cs="Arial"/>
        <w:b/>
        <w:color w:val="990033"/>
        <w:szCs w:val="24"/>
      </w:rPr>
    </w:pPr>
    <w:r w:rsidRPr="00C4459C">
      <w:rPr>
        <w:rFonts w:ascii="Arial" w:hAnsi="Arial" w:cs="Arial"/>
        <w:b/>
        <w:color w:val="990033"/>
        <w:spacing w:val="20"/>
        <w:szCs w:val="24"/>
        <w:lang w:val="es-ES"/>
      </w:rPr>
      <w:t>Página</w:t>
    </w:r>
    <w:r w:rsidRPr="00C4459C">
      <w:rPr>
        <w:rFonts w:ascii="Arial" w:hAnsi="Arial" w:cs="Arial"/>
        <w:b/>
        <w:color w:val="990033"/>
        <w:szCs w:val="24"/>
        <w:lang w:val="es-ES"/>
      </w:rPr>
      <w:t xml:space="preserve"> </w:t>
    </w:r>
    <w:r w:rsidRPr="00C4459C">
      <w:rPr>
        <w:rFonts w:ascii="Arial" w:hAnsi="Arial" w:cs="Arial"/>
        <w:b/>
        <w:color w:val="990033"/>
        <w:szCs w:val="24"/>
      </w:rPr>
      <w:fldChar w:fldCharType="begin"/>
    </w:r>
    <w:r w:rsidRPr="00C4459C">
      <w:rPr>
        <w:rFonts w:ascii="Arial" w:hAnsi="Arial" w:cs="Arial"/>
        <w:b/>
        <w:color w:val="990033"/>
        <w:szCs w:val="24"/>
      </w:rPr>
      <w:instrText>PAGE   \* MERGEFORMAT</w:instrText>
    </w:r>
    <w:r w:rsidRPr="00C4459C">
      <w:rPr>
        <w:rFonts w:ascii="Arial" w:hAnsi="Arial" w:cs="Arial"/>
        <w:b/>
        <w:color w:val="990033"/>
        <w:szCs w:val="24"/>
      </w:rPr>
      <w:fldChar w:fldCharType="separate"/>
    </w:r>
    <w:r w:rsidR="00BF651C" w:rsidRPr="00BF651C">
      <w:rPr>
        <w:rFonts w:ascii="Arial" w:hAnsi="Arial" w:cs="Arial"/>
        <w:b/>
        <w:noProof/>
        <w:color w:val="990033"/>
        <w:szCs w:val="24"/>
        <w:lang w:val="es-ES"/>
      </w:rPr>
      <w:t>7</w:t>
    </w:r>
    <w:r w:rsidRPr="00C4459C">
      <w:rPr>
        <w:rFonts w:ascii="Arial" w:hAnsi="Arial" w:cs="Arial"/>
        <w:b/>
        <w:color w:val="990033"/>
        <w:szCs w:val="24"/>
      </w:rPr>
      <w:fldChar w:fldCharType="end"/>
    </w:r>
    <w:r w:rsidRPr="00C4459C">
      <w:rPr>
        <w:rFonts w:ascii="Arial" w:hAnsi="Arial" w:cs="Arial"/>
        <w:b/>
        <w:color w:val="990033"/>
        <w:szCs w:val="24"/>
        <w:lang w:val="es-ES"/>
      </w:rPr>
      <w:t xml:space="preserve"> | </w:t>
    </w:r>
    <w:r w:rsidRPr="00C4459C">
      <w:rPr>
        <w:rFonts w:ascii="Arial" w:hAnsi="Arial" w:cs="Arial"/>
        <w:b/>
        <w:color w:val="990033"/>
        <w:szCs w:val="24"/>
      </w:rPr>
      <w:fldChar w:fldCharType="begin"/>
    </w:r>
    <w:r w:rsidRPr="00C4459C">
      <w:rPr>
        <w:rFonts w:ascii="Arial" w:hAnsi="Arial" w:cs="Arial"/>
        <w:b/>
        <w:color w:val="990033"/>
        <w:szCs w:val="24"/>
      </w:rPr>
      <w:instrText>NUMPAGES  \* Arabic  \* MERGEFORMAT</w:instrText>
    </w:r>
    <w:r w:rsidRPr="00C4459C">
      <w:rPr>
        <w:rFonts w:ascii="Arial" w:hAnsi="Arial" w:cs="Arial"/>
        <w:b/>
        <w:color w:val="990033"/>
        <w:szCs w:val="24"/>
      </w:rPr>
      <w:fldChar w:fldCharType="separate"/>
    </w:r>
    <w:r w:rsidR="00BF651C" w:rsidRPr="00BF651C">
      <w:rPr>
        <w:rFonts w:ascii="Arial" w:hAnsi="Arial" w:cs="Arial"/>
        <w:b/>
        <w:noProof/>
        <w:color w:val="990033"/>
        <w:szCs w:val="24"/>
        <w:lang w:val="es-ES"/>
      </w:rPr>
      <w:t>8</w:t>
    </w:r>
    <w:r w:rsidRPr="00C4459C">
      <w:rPr>
        <w:rFonts w:ascii="Arial" w:hAnsi="Arial" w:cs="Arial"/>
        <w:b/>
        <w:color w:val="990033"/>
        <w:szCs w:val="24"/>
      </w:rPr>
      <w:fldChar w:fldCharType="end"/>
    </w:r>
  </w:p>
  <w:p w:rsidR="003D1B4B" w:rsidRPr="00C4459C" w:rsidRDefault="003D1B4B" w:rsidP="00C4459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662" w:rsidRDefault="00950662" w:rsidP="003D1B4B">
      <w:pPr>
        <w:spacing w:before="0" w:after="0" w:line="240" w:lineRule="auto"/>
      </w:pPr>
      <w:r>
        <w:separator/>
      </w:r>
    </w:p>
  </w:footnote>
  <w:footnote w:type="continuationSeparator" w:id="0">
    <w:p w:rsidR="00950662" w:rsidRDefault="00950662" w:rsidP="003D1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3D1B4B" w:rsidRPr="006F206E" w:rsidTr="00E119D7">
      <w:tc>
        <w:tcPr>
          <w:tcW w:w="1418" w:type="dxa"/>
        </w:tcPr>
        <w:p w:rsidR="003D1B4B" w:rsidRPr="006F206E" w:rsidRDefault="003D1B4B" w:rsidP="003D1B4B">
          <w:pPr>
            <w:pStyle w:val="Encabezado"/>
            <w:ind w:left="-170"/>
          </w:pPr>
          <w:r w:rsidRPr="006F206E">
            <w:rPr>
              <w:b/>
              <w:noProof/>
              <w:sz w:val="32"/>
              <w:lang w:eastAsia="es-MX"/>
            </w:rPr>
            <w:drawing>
              <wp:inline distT="0" distB="0" distL="0" distR="0" wp14:anchorId="6CEAE5F3" wp14:editId="0A848382">
                <wp:extent cx="1014331" cy="1199403"/>
                <wp:effectExtent l="0" t="0" r="0" b="1270"/>
                <wp:docPr id="3" name="Imagen 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3D1B4B" w:rsidRPr="00FB4C7F" w:rsidRDefault="003D1B4B" w:rsidP="003D1B4B">
          <w:pPr>
            <w:pStyle w:val="Encabezado"/>
            <w:spacing w:before="720"/>
            <w:jc w:val="center"/>
            <w:rPr>
              <w:rFonts w:ascii="Arial" w:hAnsi="Arial" w:cs="Arial"/>
              <w:b/>
              <w:bCs/>
              <w:szCs w:val="24"/>
            </w:rPr>
          </w:pPr>
          <w:r w:rsidRPr="00FB4C7F">
            <w:rPr>
              <w:rFonts w:ascii="Arial" w:hAnsi="Arial" w:cs="Arial"/>
              <w:b/>
              <w:bCs/>
              <w:szCs w:val="24"/>
            </w:rPr>
            <w:t>INSTITUTO ELECTORAL Y DE PARTICIPACIÓN CIUDADANA DE TABASCO</w:t>
          </w:r>
        </w:p>
        <w:p w:rsidR="003D1B4B" w:rsidRPr="006F206E" w:rsidRDefault="003D1B4B" w:rsidP="003D1B4B">
          <w:pPr>
            <w:pStyle w:val="Encabezado"/>
            <w:jc w:val="center"/>
          </w:pPr>
          <w:r w:rsidRPr="00FB4C7F">
            <w:rPr>
              <w:rFonts w:ascii="Arial" w:hAnsi="Arial" w:cs="Arial"/>
              <w:szCs w:val="24"/>
            </w:rPr>
            <w:t>CONSEJO ESTATAL</w:t>
          </w:r>
        </w:p>
      </w:tc>
      <w:tc>
        <w:tcPr>
          <w:tcW w:w="1701" w:type="dxa"/>
        </w:tcPr>
        <w:p w:rsidR="003D1B4B" w:rsidRPr="006F206E" w:rsidRDefault="003D1B4B" w:rsidP="003D1B4B">
          <w:pPr>
            <w:pStyle w:val="Encabezado"/>
            <w:spacing w:before="480"/>
          </w:pPr>
          <w:r w:rsidRPr="006F206E">
            <w:rPr>
              <w:noProof/>
              <w:lang w:eastAsia="es-MX"/>
            </w:rPr>
            <w:drawing>
              <wp:inline distT="0" distB="0" distL="0" distR="0" wp14:anchorId="18B5B8D1" wp14:editId="0E7FF24F">
                <wp:extent cx="921600" cy="756000"/>
                <wp:effectExtent l="0" t="0" r="0" b="6350"/>
                <wp:docPr id="4" name="Imagen 4"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3D1B4B" w:rsidRDefault="00FB4C7F" w:rsidP="00FB4C7F">
    <w:pPr>
      <w:pStyle w:val="Encabezado"/>
      <w:jc w:val="right"/>
      <w:rPr>
        <w:rFonts w:ascii="Arial" w:hAnsi="Arial" w:cs="Arial"/>
        <w:b/>
      </w:rPr>
    </w:pPr>
    <w:r w:rsidRPr="00FB4C7F">
      <w:rPr>
        <w:rFonts w:ascii="Arial" w:hAnsi="Arial" w:cs="Arial"/>
        <w:b/>
      </w:rPr>
      <w:t>CE/2024/096</w:t>
    </w:r>
  </w:p>
  <w:p w:rsidR="00C4459C" w:rsidRPr="00FB4C7F" w:rsidRDefault="00C4459C" w:rsidP="00FB4C7F">
    <w:pPr>
      <w:pStyle w:val="Encabezado"/>
      <w:jc w:val="right"/>
      <w:rPr>
        <w:rFonts w:ascii="Arial" w:hAnsi="Arial" w:cs="Arial"/>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8081E"/>
    <w:multiLevelType w:val="hybridMultilevel"/>
    <w:tmpl w:val="8072F518"/>
    <w:lvl w:ilvl="0" w:tplc="25688F2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D146B4B"/>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5D2F0E73"/>
    <w:multiLevelType w:val="hybridMultilevel"/>
    <w:tmpl w:val="0FE2B242"/>
    <w:lvl w:ilvl="0" w:tplc="09A0ABEE">
      <w:start w:val="1"/>
      <w:numFmt w:val="decimal"/>
      <w:pStyle w:val="Considerandos"/>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045"/>
    <w:rsid w:val="00017A3D"/>
    <w:rsid w:val="000A40D9"/>
    <w:rsid w:val="000A50CA"/>
    <w:rsid w:val="00103AE9"/>
    <w:rsid w:val="001638FB"/>
    <w:rsid w:val="001722B2"/>
    <w:rsid w:val="00187A3F"/>
    <w:rsid w:val="0019208C"/>
    <w:rsid w:val="00204F41"/>
    <w:rsid w:val="00212B59"/>
    <w:rsid w:val="002702C2"/>
    <w:rsid w:val="002F650A"/>
    <w:rsid w:val="003B6B6F"/>
    <w:rsid w:val="003B7597"/>
    <w:rsid w:val="003D082F"/>
    <w:rsid w:val="003D1B4B"/>
    <w:rsid w:val="003E5177"/>
    <w:rsid w:val="00430A86"/>
    <w:rsid w:val="00463A0F"/>
    <w:rsid w:val="0051182E"/>
    <w:rsid w:val="005241D1"/>
    <w:rsid w:val="00561FD3"/>
    <w:rsid w:val="005B1895"/>
    <w:rsid w:val="005B58FF"/>
    <w:rsid w:val="00620449"/>
    <w:rsid w:val="00661201"/>
    <w:rsid w:val="0070090D"/>
    <w:rsid w:val="00733FDC"/>
    <w:rsid w:val="00797D1A"/>
    <w:rsid w:val="00801164"/>
    <w:rsid w:val="00805127"/>
    <w:rsid w:val="008874DB"/>
    <w:rsid w:val="008B0B60"/>
    <w:rsid w:val="009165DB"/>
    <w:rsid w:val="00950662"/>
    <w:rsid w:val="0095697D"/>
    <w:rsid w:val="00A27982"/>
    <w:rsid w:val="00A42902"/>
    <w:rsid w:val="00AB1045"/>
    <w:rsid w:val="00AF39FE"/>
    <w:rsid w:val="00B438BD"/>
    <w:rsid w:val="00B56347"/>
    <w:rsid w:val="00B57218"/>
    <w:rsid w:val="00BB6D3B"/>
    <w:rsid w:val="00BF651C"/>
    <w:rsid w:val="00C00EA6"/>
    <w:rsid w:val="00C43F30"/>
    <w:rsid w:val="00C4459C"/>
    <w:rsid w:val="00C63CA0"/>
    <w:rsid w:val="00CA7822"/>
    <w:rsid w:val="00CB2BD4"/>
    <w:rsid w:val="00D42E10"/>
    <w:rsid w:val="00D50D11"/>
    <w:rsid w:val="00D70A0A"/>
    <w:rsid w:val="00E16739"/>
    <w:rsid w:val="00E439D9"/>
    <w:rsid w:val="00EB4B39"/>
    <w:rsid w:val="00ED0430"/>
    <w:rsid w:val="00EF5FBB"/>
    <w:rsid w:val="00F063C1"/>
    <w:rsid w:val="00F12B43"/>
    <w:rsid w:val="00FA5A2E"/>
    <w:rsid w:val="00FB4C7F"/>
    <w:rsid w:val="00FE0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FD940D-80AD-4E3A-B416-665DE1F55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045"/>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AB1045"/>
    <w:pPr>
      <w:numPr>
        <w:numId w:val="1"/>
      </w:numPr>
      <w:spacing w:before="600" w:after="360"/>
      <w:jc w:val="center"/>
      <w:outlineLvl w:val="0"/>
    </w:pPr>
    <w:rPr>
      <w:b/>
      <w:sz w:val="28"/>
    </w:rPr>
  </w:style>
  <w:style w:type="paragraph" w:styleId="Ttulo2">
    <w:name w:val="heading 2"/>
    <w:basedOn w:val="Normal"/>
    <w:next w:val="Normal"/>
    <w:link w:val="Ttulo2Car"/>
    <w:uiPriority w:val="9"/>
    <w:unhideWhenUsed/>
    <w:qFormat/>
    <w:rsid w:val="00AB1045"/>
    <w:pPr>
      <w:numPr>
        <w:ilvl w:val="1"/>
        <w:numId w:val="1"/>
      </w:numPr>
      <w:spacing w:before="480"/>
      <w:outlineLvl w:val="1"/>
    </w:pPr>
    <w:rPr>
      <w:b/>
    </w:rPr>
  </w:style>
  <w:style w:type="paragraph" w:styleId="Ttulo3">
    <w:name w:val="heading 3"/>
    <w:basedOn w:val="Normal"/>
    <w:next w:val="Normal"/>
    <w:link w:val="Ttulo3Car"/>
    <w:uiPriority w:val="9"/>
    <w:semiHidden/>
    <w:unhideWhenUsed/>
    <w:qFormat/>
    <w:rsid w:val="00AB1045"/>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AB104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AB104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AB104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AB104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B104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B104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1045"/>
    <w:rPr>
      <w:rFonts w:ascii="Exo" w:hAnsi="Exo"/>
      <w:b/>
      <w:sz w:val="28"/>
    </w:rPr>
  </w:style>
  <w:style w:type="character" w:customStyle="1" w:styleId="Ttulo2Car">
    <w:name w:val="Título 2 Car"/>
    <w:basedOn w:val="Fuentedeprrafopredeter"/>
    <w:link w:val="Ttulo2"/>
    <w:uiPriority w:val="9"/>
    <w:rsid w:val="00AB1045"/>
    <w:rPr>
      <w:rFonts w:ascii="Exo" w:hAnsi="Exo"/>
      <w:b/>
      <w:sz w:val="24"/>
    </w:rPr>
  </w:style>
  <w:style w:type="character" w:customStyle="1" w:styleId="Ttulo3Car">
    <w:name w:val="Título 3 Car"/>
    <w:basedOn w:val="Fuentedeprrafopredeter"/>
    <w:link w:val="Ttulo3"/>
    <w:uiPriority w:val="9"/>
    <w:semiHidden/>
    <w:rsid w:val="00AB104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AB1045"/>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AB1045"/>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AB1045"/>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AB1045"/>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AB104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B1045"/>
    <w:rPr>
      <w:rFonts w:asciiTheme="majorHAnsi" w:eastAsiaTheme="majorEastAsia" w:hAnsiTheme="majorHAnsi" w:cstheme="majorBidi"/>
      <w:i/>
      <w:iCs/>
      <w:color w:val="272727" w:themeColor="text1" w:themeTint="D8"/>
      <w:sz w:val="21"/>
      <w:szCs w:val="21"/>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EB4B39"/>
    <w:pPr>
      <w:spacing w:line="300" w:lineRule="auto"/>
      <w:ind w:left="720"/>
      <w:contextualSpacing/>
    </w:pPr>
    <w:rPr>
      <w:rFonts w:ascii="Arial" w:hAnsi="Arial" w:cs="Arial"/>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EB4B39"/>
    <w:rPr>
      <w:rFonts w:ascii="Arial" w:hAnsi="Arial" w:cs="Arial"/>
      <w:sz w:val="24"/>
    </w:rPr>
  </w:style>
  <w:style w:type="paragraph" w:customStyle="1" w:styleId="Considerandos">
    <w:name w:val="Considerandos"/>
    <w:basedOn w:val="Prrafodelista"/>
    <w:qFormat/>
    <w:rsid w:val="00EB4B39"/>
    <w:pPr>
      <w:numPr>
        <w:numId w:val="3"/>
      </w:numPr>
      <w:spacing w:line="324" w:lineRule="auto"/>
      <w:ind w:left="510" w:hanging="510"/>
      <w:contextualSpacing w:val="0"/>
    </w:pPr>
    <w:rPr>
      <w:rFonts w:eastAsia="Calibri" w:cs="Times New Roman"/>
      <w:noProof/>
    </w:rPr>
  </w:style>
  <w:style w:type="table" w:styleId="Tablaconcuadrcula">
    <w:name w:val="Table Grid"/>
    <w:basedOn w:val="Tablanormal"/>
    <w:uiPriority w:val="39"/>
    <w:rsid w:val="00EB4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D1B4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D1B4B"/>
    <w:rPr>
      <w:rFonts w:ascii="Exo" w:hAnsi="Exo"/>
      <w:sz w:val="24"/>
    </w:rPr>
  </w:style>
  <w:style w:type="paragraph" w:styleId="Piedepgina">
    <w:name w:val="footer"/>
    <w:basedOn w:val="Normal"/>
    <w:link w:val="PiedepginaCar"/>
    <w:uiPriority w:val="99"/>
    <w:unhideWhenUsed/>
    <w:rsid w:val="003D1B4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D1B4B"/>
    <w:rPr>
      <w:rFonts w:ascii="Exo" w:hAnsi="Exo"/>
      <w:sz w:val="24"/>
    </w:rPr>
  </w:style>
  <w:style w:type="paragraph" w:styleId="Textodeglobo">
    <w:name w:val="Balloon Text"/>
    <w:basedOn w:val="Normal"/>
    <w:link w:val="TextodegloboCar"/>
    <w:uiPriority w:val="99"/>
    <w:semiHidden/>
    <w:unhideWhenUsed/>
    <w:rsid w:val="00D50D1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0D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8</Pages>
  <Words>2122</Words>
  <Characters>11676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59</cp:revision>
  <cp:lastPrinted>2024-10-30T21:10:00Z</cp:lastPrinted>
  <dcterms:created xsi:type="dcterms:W3CDTF">2024-10-17T17:04:00Z</dcterms:created>
  <dcterms:modified xsi:type="dcterms:W3CDTF">2024-10-30T21:10:00Z</dcterms:modified>
</cp:coreProperties>
</file>