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B33" w:rsidRPr="00134125" w:rsidRDefault="0035177A" w:rsidP="0026633E">
      <w:pPr>
        <w:rPr>
          <w:rFonts w:ascii="Arial" w:hAnsi="Arial" w:cs="Arial"/>
          <w:b/>
          <w:sz w:val="24"/>
        </w:rPr>
      </w:pPr>
      <w:r w:rsidRPr="00134125">
        <w:rPr>
          <w:rFonts w:ascii="Arial" w:hAnsi="Arial" w:cs="Arial"/>
          <w:b/>
          <w:sz w:val="24"/>
        </w:rPr>
        <w:t>ACUERDO QUE, A PROPUESTA DE LA SECRETARÍA EJECUTIVA, EMITE EL CONSEJO ESTATAL DEL INSTITUTO ELECTORAL Y DE PARTICIPACIÓN CIUDADANA DE TABASCO, MEDIAN</w:t>
      </w:r>
      <w:bookmarkStart w:id="0" w:name="_GoBack"/>
      <w:bookmarkEnd w:id="0"/>
      <w:r w:rsidRPr="00134125">
        <w:rPr>
          <w:rFonts w:ascii="Arial" w:hAnsi="Arial" w:cs="Arial"/>
          <w:b/>
          <w:sz w:val="24"/>
        </w:rPr>
        <w:t xml:space="preserve">TE EL CUAL MODIFICA EL HORARIO DE LABORES DEL PROPIO INSTITUTO </w:t>
      </w:r>
    </w:p>
    <w:p w:rsidR="0026633E" w:rsidRPr="00134125" w:rsidRDefault="0026633E" w:rsidP="0026633E">
      <w:pPr>
        <w:rPr>
          <w:rFonts w:ascii="Arial" w:hAnsi="Arial" w:cs="Arial"/>
        </w:rPr>
      </w:pPr>
      <w:r w:rsidRPr="00134125">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Consejerías Distritales:</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Consejeras y Consejeros que integran los Consejos Electorales Distritales del Instituto Electoral y de Participación Ciudadana de Tabasco.</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Consejo Estatal:</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Consejo Estatal del Instituto Electoral y de Participación Ciudadana de Tabasco.</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Constitución Federal:</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Constitución Política de los Estados Unidos Mexicanos.</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Constitución Local:</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Constitución Política del Estado Libre y Soberano de Tabasco.</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INE:</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Instituto Nacional Electoral.</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Instituto:</w:t>
            </w:r>
          </w:p>
        </w:tc>
        <w:tc>
          <w:tcPr>
            <w:tcW w:w="2958" w:type="pct"/>
            <w:shd w:val="clear" w:color="auto" w:fill="auto"/>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Instituto Electoral y de Participación Ciudadana de Tabasco.</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Ley de Medios:</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Ley de Medios de Impugnación en Materia Electoral para el Estado de Tabasco.</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Ley de Partidos:</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Ley General de Partidos Políticos.</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Ley Electoral:</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Ley Electoral y de Partidos Políticos del Estado de Tabasco.</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Ley General:</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Ley General de Instituciones y Procedimientos Electorales.</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Organismo electoral:</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 xml:space="preserve">Organismo(s) público(s) local(es) electoral(es). </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Proceso Electoral:</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Proceso Electoral Local Ordinario 2023-2024.</w:t>
            </w:r>
          </w:p>
        </w:tc>
      </w:tr>
      <w:tr w:rsidR="0076109D" w:rsidRPr="00D27367" w:rsidTr="004F7135">
        <w:trPr>
          <w:trHeight w:val="624"/>
          <w:jc w:val="center"/>
        </w:trPr>
        <w:tc>
          <w:tcPr>
            <w:tcW w:w="2042" w:type="pct"/>
            <w:shd w:val="clear" w:color="auto" w:fill="auto"/>
            <w:vAlign w:val="center"/>
          </w:tcPr>
          <w:p w:rsidR="0076109D" w:rsidRPr="00D27367" w:rsidRDefault="0076109D" w:rsidP="004F7135">
            <w:pPr>
              <w:widowControl w:val="0"/>
              <w:spacing w:before="60" w:after="60"/>
              <w:ind w:left="57"/>
              <w:jc w:val="right"/>
              <w:rPr>
                <w:rFonts w:ascii="Arial Narrow" w:hAnsi="Arial Narrow" w:cs="Arial"/>
                <w:b/>
                <w:sz w:val="20"/>
                <w:szCs w:val="20"/>
              </w:rPr>
            </w:pPr>
            <w:r w:rsidRPr="00D27367">
              <w:rPr>
                <w:rFonts w:ascii="Arial Narrow" w:hAnsi="Arial Narrow" w:cs="Arial"/>
                <w:b/>
                <w:sz w:val="20"/>
                <w:szCs w:val="20"/>
              </w:rPr>
              <w:t>Secretaría Ejecutiva:</w:t>
            </w:r>
          </w:p>
        </w:tc>
        <w:tc>
          <w:tcPr>
            <w:tcW w:w="2958" w:type="pct"/>
            <w:shd w:val="clear" w:color="auto" w:fill="auto"/>
            <w:vAlign w:val="center"/>
          </w:tcPr>
          <w:p w:rsidR="0076109D" w:rsidRPr="00D27367" w:rsidRDefault="0076109D" w:rsidP="004F7135">
            <w:pPr>
              <w:widowControl w:val="0"/>
              <w:spacing w:before="60" w:after="60"/>
              <w:ind w:left="57"/>
              <w:rPr>
                <w:rFonts w:ascii="Arial Narrow" w:hAnsi="Arial Narrow" w:cs="Arial"/>
                <w:sz w:val="20"/>
                <w:szCs w:val="20"/>
              </w:rPr>
            </w:pPr>
            <w:r w:rsidRPr="00D27367">
              <w:rPr>
                <w:rFonts w:ascii="Arial Narrow" w:hAnsi="Arial Narrow" w:cs="Arial"/>
                <w:sz w:val="20"/>
                <w:szCs w:val="20"/>
              </w:rPr>
              <w:t>Secretaría Ejecutiva del Instituto Electoral y de Participación Ciudadana de Tabasco.</w:t>
            </w:r>
          </w:p>
        </w:tc>
      </w:tr>
    </w:tbl>
    <w:p w:rsidR="0026633E" w:rsidRPr="00134125" w:rsidRDefault="0026633E" w:rsidP="007D1782">
      <w:pPr>
        <w:pStyle w:val="Ttulo1"/>
        <w:rPr>
          <w:rFonts w:ascii="Arial" w:hAnsi="Arial" w:cs="Arial"/>
          <w:sz w:val="24"/>
          <w:szCs w:val="24"/>
        </w:rPr>
      </w:pPr>
      <w:r w:rsidRPr="00134125">
        <w:rPr>
          <w:rFonts w:ascii="Arial" w:hAnsi="Arial" w:cs="Arial"/>
          <w:sz w:val="24"/>
          <w:szCs w:val="24"/>
        </w:rPr>
        <w:lastRenderedPageBreak/>
        <w:t>Antecedentes</w:t>
      </w:r>
    </w:p>
    <w:p w:rsidR="00191882" w:rsidRPr="00134125" w:rsidRDefault="00191882" w:rsidP="00191882">
      <w:pPr>
        <w:pStyle w:val="Ttulo2"/>
        <w:rPr>
          <w:rFonts w:ascii="Arial" w:hAnsi="Arial" w:cs="Arial"/>
        </w:rPr>
      </w:pPr>
      <w:r w:rsidRPr="00134125">
        <w:rPr>
          <w:rFonts w:ascii="Arial" w:hAnsi="Arial" w:cs="Arial"/>
        </w:rPr>
        <w:t>Horario de labores</w:t>
      </w:r>
    </w:p>
    <w:p w:rsidR="00191882" w:rsidRPr="00134125" w:rsidRDefault="00191882" w:rsidP="00191882">
      <w:pPr>
        <w:rPr>
          <w:rFonts w:ascii="Arial" w:hAnsi="Arial" w:cs="Arial"/>
        </w:rPr>
      </w:pPr>
      <w:r w:rsidRPr="00134125">
        <w:rPr>
          <w:rFonts w:ascii="Arial" w:hAnsi="Arial" w:cs="Arial"/>
        </w:rPr>
        <w:t>El 29 de septiembre de 2023, mediante acuerdo CE/2024/025, el Consejo Estatal determinó el horario de labores de las y los servidores públicos del propio Instituto con motivo del Proceso Electoral.</w:t>
      </w:r>
    </w:p>
    <w:p w:rsidR="0026633E" w:rsidRPr="00134125" w:rsidRDefault="0026633E" w:rsidP="0026633E">
      <w:pPr>
        <w:pStyle w:val="Ttulo2"/>
        <w:rPr>
          <w:rFonts w:ascii="Arial" w:hAnsi="Arial" w:cs="Arial"/>
        </w:rPr>
      </w:pPr>
      <w:r w:rsidRPr="00134125">
        <w:rPr>
          <w:rFonts w:ascii="Arial" w:hAnsi="Arial" w:cs="Arial"/>
        </w:rPr>
        <w:t>Inicio del Proceso Electoral</w:t>
      </w:r>
    </w:p>
    <w:p w:rsidR="0026633E" w:rsidRPr="00134125" w:rsidRDefault="0026633E" w:rsidP="0026633E">
      <w:pPr>
        <w:rPr>
          <w:rFonts w:ascii="Arial" w:hAnsi="Arial" w:cs="Arial"/>
        </w:rPr>
      </w:pPr>
      <w:r w:rsidRPr="00134125">
        <w:rPr>
          <w:rFonts w:ascii="Arial" w:hAnsi="Arial" w:cs="Arial"/>
        </w:rPr>
        <w:t>El 6 de octubre de 2023, el Consejo Estatal de conformidad con el artículo 111 de la Ley Electoral declaró el inicio del Proceso Electoral por el que se renovaron los cargos relativos a la Gubernatura del Estado, diputaciones locales y presidencias municipales y regidurías.</w:t>
      </w:r>
    </w:p>
    <w:p w:rsidR="0026633E" w:rsidRPr="00134125" w:rsidRDefault="0026633E" w:rsidP="0026633E">
      <w:pPr>
        <w:pStyle w:val="Ttulo2"/>
        <w:rPr>
          <w:rFonts w:ascii="Arial" w:hAnsi="Arial" w:cs="Arial"/>
        </w:rPr>
      </w:pPr>
      <w:r w:rsidRPr="00134125">
        <w:rPr>
          <w:rFonts w:ascii="Arial" w:hAnsi="Arial" w:cs="Arial"/>
        </w:rPr>
        <w:t>Jornada electoral</w:t>
      </w:r>
    </w:p>
    <w:p w:rsidR="0026633E" w:rsidRPr="00134125" w:rsidRDefault="0026633E" w:rsidP="0026633E">
      <w:pPr>
        <w:rPr>
          <w:rFonts w:ascii="Arial" w:hAnsi="Arial" w:cs="Arial"/>
        </w:rPr>
      </w:pPr>
      <w:r w:rsidRPr="00134125">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realizó el 2 de junio de 2024.</w:t>
      </w:r>
    </w:p>
    <w:p w:rsidR="00191882" w:rsidRPr="00134125" w:rsidRDefault="00191882" w:rsidP="00191882">
      <w:pPr>
        <w:pStyle w:val="Ttulo1"/>
        <w:rPr>
          <w:rFonts w:ascii="Arial" w:hAnsi="Arial" w:cs="Arial"/>
          <w:sz w:val="24"/>
          <w:szCs w:val="24"/>
        </w:rPr>
      </w:pPr>
      <w:r w:rsidRPr="00134125">
        <w:rPr>
          <w:rFonts w:ascii="Arial" w:hAnsi="Arial" w:cs="Arial"/>
          <w:sz w:val="24"/>
          <w:szCs w:val="24"/>
        </w:rPr>
        <w:t>Considerando</w:t>
      </w:r>
    </w:p>
    <w:p w:rsidR="00191882" w:rsidRPr="00134125" w:rsidRDefault="00191882" w:rsidP="00191882">
      <w:pPr>
        <w:pStyle w:val="Ttulo2"/>
        <w:rPr>
          <w:rFonts w:ascii="Arial" w:hAnsi="Arial" w:cs="Arial"/>
        </w:rPr>
      </w:pPr>
      <w:r w:rsidRPr="00134125">
        <w:rPr>
          <w:rFonts w:ascii="Arial" w:hAnsi="Arial" w:cs="Arial"/>
        </w:rPr>
        <w:t xml:space="preserve">Fines del Instituto </w:t>
      </w:r>
    </w:p>
    <w:p w:rsidR="00191882" w:rsidRPr="00134125" w:rsidRDefault="00191882" w:rsidP="00191882">
      <w:pPr>
        <w:rPr>
          <w:rFonts w:ascii="Arial" w:hAnsi="Arial" w:cs="Arial"/>
        </w:rPr>
      </w:pPr>
      <w:r w:rsidRPr="00134125">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191882" w:rsidRPr="00134125" w:rsidRDefault="00191882" w:rsidP="00191882">
      <w:pPr>
        <w:rPr>
          <w:rFonts w:ascii="Arial" w:hAnsi="Arial" w:cs="Arial"/>
        </w:rPr>
      </w:pPr>
      <w:r w:rsidRPr="00134125">
        <w:rPr>
          <w:rFonts w:ascii="Arial" w:hAnsi="Arial" w:cs="Arial"/>
        </w:rPr>
        <w:lastRenderedPageBreak/>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191882" w:rsidRPr="00134125" w:rsidRDefault="00191882" w:rsidP="00191882">
      <w:pPr>
        <w:pStyle w:val="Ttulo2"/>
        <w:rPr>
          <w:rFonts w:ascii="Arial" w:hAnsi="Arial" w:cs="Arial"/>
        </w:rPr>
      </w:pPr>
      <w:r w:rsidRPr="00134125">
        <w:rPr>
          <w:rFonts w:ascii="Arial" w:hAnsi="Arial" w:cs="Arial"/>
        </w:rPr>
        <w:t xml:space="preserve">Órgano Superior de Dirección del Instituto </w:t>
      </w:r>
    </w:p>
    <w:p w:rsidR="00191882" w:rsidRPr="00134125" w:rsidRDefault="00191882" w:rsidP="00191882">
      <w:pPr>
        <w:rPr>
          <w:rFonts w:ascii="Arial" w:hAnsi="Arial" w:cs="Arial"/>
        </w:rPr>
      </w:pPr>
      <w:r w:rsidRPr="00134125">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191882" w:rsidRPr="00134125" w:rsidRDefault="00191882" w:rsidP="00191882">
      <w:pPr>
        <w:pStyle w:val="Ttulo2"/>
        <w:rPr>
          <w:rFonts w:ascii="Arial" w:hAnsi="Arial" w:cs="Arial"/>
        </w:rPr>
      </w:pPr>
      <w:r w:rsidRPr="00134125">
        <w:rPr>
          <w:rFonts w:ascii="Arial" w:hAnsi="Arial" w:cs="Arial"/>
        </w:rPr>
        <w:t>Integración del Órgano de Dirección Superior</w:t>
      </w:r>
    </w:p>
    <w:p w:rsidR="00191882" w:rsidRPr="00134125" w:rsidRDefault="00191882" w:rsidP="00191882">
      <w:pPr>
        <w:rPr>
          <w:rFonts w:ascii="Arial" w:hAnsi="Arial" w:cs="Arial"/>
        </w:rPr>
      </w:pPr>
      <w:r w:rsidRPr="00134125">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191882" w:rsidRPr="00134125" w:rsidRDefault="00191882" w:rsidP="00191882">
      <w:pPr>
        <w:pStyle w:val="Ttulo2"/>
        <w:rPr>
          <w:rFonts w:ascii="Arial" w:hAnsi="Arial" w:cs="Arial"/>
        </w:rPr>
      </w:pPr>
      <w:r w:rsidRPr="00134125">
        <w:rPr>
          <w:rFonts w:ascii="Arial" w:hAnsi="Arial" w:cs="Arial"/>
        </w:rPr>
        <w:t>Competencia del Consejo Estatal</w:t>
      </w:r>
    </w:p>
    <w:p w:rsidR="00191882" w:rsidRPr="00134125" w:rsidRDefault="00191882" w:rsidP="001778B4">
      <w:pPr>
        <w:rPr>
          <w:rFonts w:ascii="Arial" w:hAnsi="Arial" w:cs="Arial"/>
        </w:rPr>
      </w:pPr>
      <w:r w:rsidRPr="00134125">
        <w:rPr>
          <w:rFonts w:ascii="Arial" w:hAnsi="Arial" w:cs="Arial"/>
        </w:rPr>
        <w:t xml:space="preserve">Que, de conformidad con el artículo 115 numeral 1, fracción XXIV y </w:t>
      </w:r>
      <w:r w:rsidR="001778B4" w:rsidRPr="00134125">
        <w:rPr>
          <w:rFonts w:ascii="Arial" w:hAnsi="Arial" w:cs="Arial"/>
        </w:rPr>
        <w:t>154</w:t>
      </w:r>
      <w:r w:rsidRPr="00134125">
        <w:rPr>
          <w:rFonts w:ascii="Arial" w:hAnsi="Arial" w:cs="Arial"/>
        </w:rPr>
        <w:t xml:space="preserve"> numeral </w:t>
      </w:r>
      <w:r w:rsidR="001778B4" w:rsidRPr="00134125">
        <w:rPr>
          <w:rFonts w:ascii="Arial" w:hAnsi="Arial" w:cs="Arial"/>
        </w:rPr>
        <w:t>1</w:t>
      </w:r>
      <w:r w:rsidRPr="00134125">
        <w:rPr>
          <w:rFonts w:ascii="Arial" w:hAnsi="Arial" w:cs="Arial"/>
        </w:rPr>
        <w:t xml:space="preserve"> de la Ley Electoral, corresponde al Consejo Estatal </w:t>
      </w:r>
      <w:r w:rsidR="001778B4" w:rsidRPr="00134125">
        <w:rPr>
          <w:rFonts w:ascii="Arial" w:hAnsi="Arial" w:cs="Arial"/>
        </w:rPr>
        <w:t>determinar los horarios de labores de los órganos del Instituto teniendo presente que en materia electoral todos los días y horas son hábiles.</w:t>
      </w:r>
    </w:p>
    <w:p w:rsidR="00191882" w:rsidRPr="00134125" w:rsidRDefault="00191882" w:rsidP="00191882">
      <w:pPr>
        <w:rPr>
          <w:rFonts w:ascii="Arial" w:hAnsi="Arial" w:cs="Arial"/>
        </w:rPr>
      </w:pPr>
      <w:r w:rsidRPr="00134125">
        <w:rPr>
          <w:rFonts w:ascii="Arial" w:hAnsi="Arial" w:cs="Arial"/>
        </w:rPr>
        <w:lastRenderedPageBreak/>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0B28CD" w:rsidRPr="00134125" w:rsidRDefault="000B28CD" w:rsidP="000B28CD">
      <w:pPr>
        <w:pStyle w:val="Ttulo2"/>
        <w:rPr>
          <w:rFonts w:ascii="Arial" w:hAnsi="Arial" w:cs="Arial"/>
        </w:rPr>
      </w:pPr>
      <w:r w:rsidRPr="00134125">
        <w:rPr>
          <w:rFonts w:ascii="Arial" w:hAnsi="Arial" w:cs="Arial"/>
        </w:rPr>
        <w:t>Cómputo de los plazos</w:t>
      </w:r>
    </w:p>
    <w:p w:rsidR="00191882" w:rsidRPr="00134125" w:rsidRDefault="000B28CD" w:rsidP="000B28CD">
      <w:pPr>
        <w:rPr>
          <w:rFonts w:ascii="Arial" w:hAnsi="Arial" w:cs="Arial"/>
        </w:rPr>
      </w:pPr>
      <w:r w:rsidRPr="00134125">
        <w:rPr>
          <w:rFonts w:ascii="Arial" w:hAnsi="Arial" w:cs="Arial"/>
        </w:rPr>
        <w:t>Que, el artículo 7 numeral 1 de la Ley de Medios señala que durante los procesos electorales todos los días y horas hábiles. Los plazos se computarán de momento a momento y si están señalados por días, éstos se considerarán de veinticuatro horas. El cómputo de los plazos se hará a partir del día siguiente de aquel en que se hubiera notificado el acto o la resolución correspondiente.</w:t>
      </w:r>
    </w:p>
    <w:p w:rsidR="000B28CD" w:rsidRPr="00134125" w:rsidRDefault="000B28CD" w:rsidP="000B28CD">
      <w:pPr>
        <w:pStyle w:val="Ttulo2"/>
        <w:rPr>
          <w:rFonts w:ascii="Arial" w:hAnsi="Arial" w:cs="Arial"/>
        </w:rPr>
      </w:pPr>
      <w:r w:rsidRPr="00134125">
        <w:rPr>
          <w:rFonts w:ascii="Arial" w:hAnsi="Arial" w:cs="Arial"/>
        </w:rPr>
        <w:t>Etapas del Proceso Electoral</w:t>
      </w:r>
    </w:p>
    <w:p w:rsidR="000B28CD" w:rsidRPr="00134125" w:rsidRDefault="000B28CD" w:rsidP="000B28CD">
      <w:pPr>
        <w:rPr>
          <w:rFonts w:ascii="Arial" w:hAnsi="Arial" w:cs="Arial"/>
        </w:rPr>
      </w:pPr>
      <w:r w:rsidRPr="00134125">
        <w:rPr>
          <w:rFonts w:ascii="Arial" w:hAnsi="Arial" w:cs="Arial"/>
        </w:rPr>
        <w:t>Que, el artículo 165 numeral 2 de la Ley Electoral, establece que el Proceso Electoral comprende las etapas correspondientes a la preparación de la elección, que inicia con la primera sesión que el Consejo Estatal celebra para el Proceso Electoral respectivo y concluye al iniciarse la jornada electoral; la etapa relativa a la jornada electoral da inicio a las ocho horas del primer domingo del mes de junio y concluye con la clausura de casilla; así como la etapa de resultados y declaración de validez de las elecciones, la que inicia con la remisión de la documentación y expedientes electorales a los Consejos Distritales, concluyendo con los cómputos y las declaraciones que realicen los mismos o las resoluciones que, en su caso, pronuncien en última instancia los órganos jurisdiccionales correspondientes.</w:t>
      </w:r>
    </w:p>
    <w:p w:rsidR="000B28CD" w:rsidRPr="00134125" w:rsidRDefault="000B28CD" w:rsidP="000B28CD">
      <w:pPr>
        <w:pStyle w:val="Ttulo2"/>
        <w:rPr>
          <w:rFonts w:ascii="Arial" w:hAnsi="Arial" w:cs="Arial"/>
        </w:rPr>
      </w:pPr>
      <w:r w:rsidRPr="00134125">
        <w:rPr>
          <w:rFonts w:ascii="Arial" w:hAnsi="Arial" w:cs="Arial"/>
        </w:rPr>
        <w:t>Plazo para resolver los juicios de inconformidad</w:t>
      </w:r>
    </w:p>
    <w:p w:rsidR="000B28CD" w:rsidRPr="00134125" w:rsidRDefault="000B28CD" w:rsidP="000B28CD">
      <w:pPr>
        <w:rPr>
          <w:rFonts w:ascii="Arial" w:hAnsi="Arial" w:cs="Arial"/>
        </w:rPr>
      </w:pPr>
      <w:r w:rsidRPr="00134125">
        <w:rPr>
          <w:rFonts w:ascii="Arial" w:hAnsi="Arial" w:cs="Arial"/>
        </w:rPr>
        <w:t>Que, en términos del artículo 60 de la Ley de Medios, los juicios de inconformidad que se formulen en contra de las elecciones de la Gubernatura y Regidurías deberán quedar resueltos a más tardar el día 15 de agosto del año de la elección; mientras que aquellos presentados en contra de los resultados de la elección de Diputaciones deberán quedar resueltos a más tardar el día 30 de julio del año de la elección.</w:t>
      </w:r>
    </w:p>
    <w:p w:rsidR="000B28CD" w:rsidRPr="00134125" w:rsidRDefault="000B28CD" w:rsidP="000B28CD">
      <w:pPr>
        <w:pStyle w:val="Ttulo2"/>
        <w:rPr>
          <w:rFonts w:ascii="Arial" w:hAnsi="Arial" w:cs="Arial"/>
        </w:rPr>
      </w:pPr>
      <w:r w:rsidRPr="00134125">
        <w:rPr>
          <w:rFonts w:ascii="Arial" w:hAnsi="Arial" w:cs="Arial"/>
        </w:rPr>
        <w:lastRenderedPageBreak/>
        <w:t>Modificación del horario de labores</w:t>
      </w:r>
    </w:p>
    <w:p w:rsidR="000B28CD" w:rsidRPr="00134125" w:rsidRDefault="000B28CD" w:rsidP="000B28CD">
      <w:pPr>
        <w:rPr>
          <w:rFonts w:ascii="Arial" w:hAnsi="Arial" w:cs="Arial"/>
        </w:rPr>
      </w:pPr>
      <w:r w:rsidRPr="00134125">
        <w:rPr>
          <w:rFonts w:ascii="Arial" w:hAnsi="Arial" w:cs="Arial"/>
        </w:rPr>
        <w:t>Que, a partir de las consideraciones anteriores y en virtud de que las actividades relacionadas con la preparación y organización del Proceso Electoral y la jornada electoral han concluido, quedando pendiente la resolución por parte de los órganos jurisdiccional de aquellos juicios de inconformidad promovidos en contra de los resultados electorales, este Consejo Estatal considera viable la propuesta formulada por la Secretaría Ejecutiva para modificar el horario determinado en el acuerdo CE/2023/025.</w:t>
      </w:r>
    </w:p>
    <w:p w:rsidR="000B28CD" w:rsidRPr="00134125" w:rsidRDefault="000B28CD" w:rsidP="000B28CD">
      <w:pPr>
        <w:rPr>
          <w:rFonts w:ascii="Arial" w:hAnsi="Arial" w:cs="Arial"/>
        </w:rPr>
      </w:pPr>
      <w:r w:rsidRPr="00134125">
        <w:rPr>
          <w:rFonts w:ascii="Arial" w:hAnsi="Arial" w:cs="Arial"/>
        </w:rPr>
        <w:t>Conforme a lo anterior, este Consejo Estatal determina que la jornada de trabajo en el Instituto sea diurna, es decir, que comprenda un horario de nueve a dieciséis horas de lunes a viernes, como normalmente se ha establecido en este Instituto.</w:t>
      </w:r>
    </w:p>
    <w:p w:rsidR="000B28CD" w:rsidRPr="00134125" w:rsidRDefault="000B28CD" w:rsidP="000B28CD">
      <w:pPr>
        <w:rPr>
          <w:rFonts w:ascii="Arial" w:hAnsi="Arial" w:cs="Arial"/>
        </w:rPr>
      </w:pPr>
      <w:r w:rsidRPr="00134125">
        <w:rPr>
          <w:rFonts w:ascii="Arial" w:hAnsi="Arial" w:cs="Arial"/>
        </w:rPr>
        <w:t>La medida establecida es acorde con los principios de racionalidad, austeridad y disciplina presupuestaria, ya que contribuye a la disminución en los gastos que eroga el Instituto relacionados con el servicio de energía eléctrica, de camino, o alimentación, entre otros.</w:t>
      </w:r>
    </w:p>
    <w:p w:rsidR="000B28CD" w:rsidRPr="00134125" w:rsidRDefault="000B28CD" w:rsidP="000B28CD">
      <w:pPr>
        <w:rPr>
          <w:rFonts w:ascii="Arial" w:hAnsi="Arial" w:cs="Arial"/>
        </w:rPr>
      </w:pPr>
      <w:r w:rsidRPr="00134125">
        <w:rPr>
          <w:rFonts w:ascii="Arial" w:hAnsi="Arial" w:cs="Arial"/>
        </w:rPr>
        <w:t>Además, las actividades pendientes de ejecución no afectan de forma directa el curso del Proceso Electoral y pueden efectuarse dentro del horario de labores que determina este Consejo Estatal, pues van encaminadas a la recolección del material electoral, y a organizar y preparar la desinstalación de los órganos electorales desconcentrados una vez que se resuelvan los medios de impugnación respectivos.</w:t>
      </w:r>
    </w:p>
    <w:p w:rsidR="000B28CD" w:rsidRPr="00134125" w:rsidRDefault="000B28CD" w:rsidP="00A5659C">
      <w:pPr>
        <w:rPr>
          <w:rFonts w:ascii="Arial" w:hAnsi="Arial" w:cs="Arial"/>
        </w:rPr>
      </w:pPr>
      <w:r w:rsidRPr="00134125">
        <w:rPr>
          <w:rFonts w:ascii="Arial" w:hAnsi="Arial" w:cs="Arial"/>
        </w:rPr>
        <w:t xml:space="preserve">Sin embargo, se prevé que la Unidad de Correspondencia de este Instituto </w:t>
      </w:r>
      <w:r w:rsidR="00A5659C" w:rsidRPr="00134125">
        <w:rPr>
          <w:rFonts w:ascii="Arial" w:hAnsi="Arial" w:cs="Arial"/>
        </w:rPr>
        <w:t xml:space="preserve">funcione durante las veinticuatro horas de todos los días de la semana y hasta en tanto concluya de manera definitiva el Proceso Electoral, </w:t>
      </w:r>
      <w:r w:rsidRPr="00134125">
        <w:rPr>
          <w:rFonts w:ascii="Arial" w:hAnsi="Arial" w:cs="Arial"/>
        </w:rPr>
        <w:t>con la finalidad de recibir cualquier documentación o requerimiento hecho por los órganos jurisdiccionales</w:t>
      </w:r>
      <w:r w:rsidR="00A5659C" w:rsidRPr="00134125">
        <w:rPr>
          <w:rFonts w:ascii="Arial" w:hAnsi="Arial" w:cs="Arial"/>
        </w:rPr>
        <w:t>.</w:t>
      </w:r>
    </w:p>
    <w:p w:rsidR="000B28CD" w:rsidRPr="00134125" w:rsidRDefault="000B28CD" w:rsidP="000B28CD">
      <w:pPr>
        <w:rPr>
          <w:rFonts w:ascii="Arial" w:hAnsi="Arial" w:cs="Arial"/>
        </w:rPr>
      </w:pPr>
      <w:r w:rsidRPr="00134125">
        <w:rPr>
          <w:rFonts w:ascii="Arial" w:hAnsi="Arial" w:cs="Arial"/>
        </w:rPr>
        <w:t>En el caso de las juntas electorales distritales que permanecen en funciones, y aquellas áreas que forman parte de las oficinas centrales que, por la naturaleza de sus funciones, requieran el ejercicio de sus actividades en un horario distinto al que se establece, podrán implementar las guardias y horarios necesarios para su cumplimiento en tiempo y forma.</w:t>
      </w:r>
    </w:p>
    <w:p w:rsidR="000B28CD" w:rsidRPr="00134125" w:rsidRDefault="000B28CD" w:rsidP="000B28CD">
      <w:pPr>
        <w:rPr>
          <w:rFonts w:ascii="Arial" w:hAnsi="Arial" w:cs="Arial"/>
        </w:rPr>
      </w:pPr>
      <w:r w:rsidRPr="00134125">
        <w:rPr>
          <w:rFonts w:ascii="Arial" w:hAnsi="Arial" w:cs="Arial"/>
        </w:rPr>
        <w:t xml:space="preserve">En todo caso, a fin de no obstaculizar el desempeño de las funciones que deban atenderse, de acuerdo a las particularidades de cada área, deberá darse el aviso </w:t>
      </w:r>
      <w:r w:rsidRPr="00134125">
        <w:rPr>
          <w:rFonts w:ascii="Arial" w:hAnsi="Arial" w:cs="Arial"/>
        </w:rPr>
        <w:lastRenderedPageBreak/>
        <w:t xml:space="preserve">correspondiente por escrito a la Secretaría Ejecutiva, misma que se </w:t>
      </w:r>
      <w:r w:rsidR="00875BB6" w:rsidRPr="00134125">
        <w:rPr>
          <w:rFonts w:ascii="Arial" w:hAnsi="Arial" w:cs="Arial"/>
        </w:rPr>
        <w:t>faculta</w:t>
      </w:r>
      <w:r w:rsidRPr="00134125">
        <w:rPr>
          <w:rFonts w:ascii="Arial" w:hAnsi="Arial" w:cs="Arial"/>
        </w:rPr>
        <w:t xml:space="preserve"> para resolver los casos no previstos en el presente acuerdo.</w:t>
      </w:r>
    </w:p>
    <w:p w:rsidR="00A5659C" w:rsidRPr="00134125" w:rsidRDefault="00A5659C" w:rsidP="00A5659C">
      <w:pPr>
        <w:rPr>
          <w:rFonts w:ascii="Arial" w:hAnsi="Arial" w:cs="Arial"/>
        </w:rPr>
      </w:pPr>
      <w:r w:rsidRPr="00134125">
        <w:rPr>
          <w:rFonts w:ascii="Arial" w:hAnsi="Arial" w:cs="Arial"/>
        </w:rPr>
        <w:t>Sobre la base de las consideraciones señaladas, este Consejo Estatal emite el siguiente:</w:t>
      </w:r>
    </w:p>
    <w:p w:rsidR="00A5659C" w:rsidRPr="00134125" w:rsidRDefault="00A5659C" w:rsidP="00A5659C">
      <w:pPr>
        <w:pStyle w:val="Ttulo1"/>
        <w:rPr>
          <w:rFonts w:ascii="Arial" w:hAnsi="Arial" w:cs="Arial"/>
          <w:sz w:val="24"/>
          <w:szCs w:val="24"/>
        </w:rPr>
      </w:pPr>
      <w:r w:rsidRPr="00134125">
        <w:rPr>
          <w:rFonts w:ascii="Arial" w:hAnsi="Arial" w:cs="Arial"/>
          <w:sz w:val="24"/>
          <w:szCs w:val="24"/>
        </w:rPr>
        <w:t>Acuerdo</w:t>
      </w:r>
    </w:p>
    <w:p w:rsidR="00A5659C" w:rsidRPr="00134125" w:rsidRDefault="00A5659C" w:rsidP="00A5659C">
      <w:pPr>
        <w:rPr>
          <w:rFonts w:ascii="Arial" w:hAnsi="Arial" w:cs="Arial"/>
        </w:rPr>
      </w:pPr>
      <w:r w:rsidRPr="00134125">
        <w:rPr>
          <w:rFonts w:ascii="Arial" w:hAnsi="Arial" w:cs="Arial"/>
          <w:b/>
        </w:rPr>
        <w:t>Primero.</w:t>
      </w:r>
      <w:r w:rsidRPr="00134125">
        <w:rPr>
          <w:rFonts w:ascii="Arial" w:hAnsi="Arial" w:cs="Arial"/>
        </w:rPr>
        <w:t xml:space="preserve"> A partir del 1 de agosto del año dos mil veinticuatro el horario de labores del Instituto Electoral y de Participación Ciudadana de Tabasco será de lunes a viernes de cada semana, a partir de las nueve y hasta las dieciséis horas.</w:t>
      </w:r>
    </w:p>
    <w:p w:rsidR="00A5659C" w:rsidRPr="00134125" w:rsidRDefault="00A5659C" w:rsidP="00A5659C">
      <w:pPr>
        <w:rPr>
          <w:rFonts w:ascii="Arial" w:hAnsi="Arial" w:cs="Arial"/>
        </w:rPr>
      </w:pPr>
      <w:r w:rsidRPr="00134125">
        <w:rPr>
          <w:rFonts w:ascii="Arial" w:hAnsi="Arial" w:cs="Arial"/>
        </w:rPr>
        <w:t>En consecuencia, se deja sin efecto el horario determinado mediante acuerdo CE/2023/025 y aquellas disposiciones que se opongan al contenido del presente acuerdo.</w:t>
      </w:r>
    </w:p>
    <w:p w:rsidR="00A5659C" w:rsidRPr="00134125" w:rsidRDefault="00A5659C" w:rsidP="00A5659C">
      <w:pPr>
        <w:rPr>
          <w:rFonts w:ascii="Arial" w:hAnsi="Arial" w:cs="Arial"/>
        </w:rPr>
      </w:pPr>
      <w:r w:rsidRPr="00134125">
        <w:rPr>
          <w:rFonts w:ascii="Arial" w:hAnsi="Arial" w:cs="Arial"/>
          <w:b/>
        </w:rPr>
        <w:t>Segundo.</w:t>
      </w:r>
      <w:r w:rsidRPr="00134125">
        <w:rPr>
          <w:rFonts w:ascii="Arial" w:hAnsi="Arial" w:cs="Arial"/>
        </w:rPr>
        <w:t xml:space="preserve"> En </w:t>
      </w:r>
      <w:r w:rsidR="00076832" w:rsidRPr="00134125">
        <w:rPr>
          <w:rFonts w:ascii="Arial" w:hAnsi="Arial" w:cs="Arial"/>
        </w:rPr>
        <w:t xml:space="preserve">las juntas </w:t>
      </w:r>
      <w:r w:rsidR="00135EA8" w:rsidRPr="00134125">
        <w:rPr>
          <w:rFonts w:ascii="Arial" w:hAnsi="Arial" w:cs="Arial"/>
        </w:rPr>
        <w:t xml:space="preserve">electorales </w:t>
      </w:r>
      <w:r w:rsidR="00076832" w:rsidRPr="00134125">
        <w:rPr>
          <w:rFonts w:ascii="Arial" w:hAnsi="Arial" w:cs="Arial"/>
        </w:rPr>
        <w:t xml:space="preserve">distritales </w:t>
      </w:r>
      <w:r w:rsidRPr="00134125">
        <w:rPr>
          <w:rFonts w:ascii="Arial" w:hAnsi="Arial" w:cs="Arial"/>
        </w:rPr>
        <w:t xml:space="preserve">que </w:t>
      </w:r>
      <w:r w:rsidR="00DB1E3F" w:rsidRPr="00134125">
        <w:rPr>
          <w:rFonts w:ascii="Arial" w:hAnsi="Arial" w:cs="Arial"/>
        </w:rPr>
        <w:t xml:space="preserve">permanezcan </w:t>
      </w:r>
      <w:r w:rsidRPr="00134125">
        <w:rPr>
          <w:rFonts w:ascii="Arial" w:hAnsi="Arial" w:cs="Arial"/>
        </w:rPr>
        <w:t>en funciones</w:t>
      </w:r>
      <w:r w:rsidR="00534DE0" w:rsidRPr="00134125">
        <w:rPr>
          <w:rFonts w:ascii="Arial" w:hAnsi="Arial" w:cs="Arial"/>
        </w:rPr>
        <w:t xml:space="preserve"> y en las unidades administrativas del Instituto que,</w:t>
      </w:r>
      <w:r w:rsidRPr="00134125">
        <w:rPr>
          <w:rFonts w:ascii="Arial" w:hAnsi="Arial" w:cs="Arial"/>
        </w:rPr>
        <w:t xml:space="preserve"> por la naturaleza de sus funciones se encuentren relacionadas con actividades del Proceso Electoral</w:t>
      </w:r>
      <w:r w:rsidR="00534DE0" w:rsidRPr="00134125">
        <w:rPr>
          <w:rFonts w:ascii="Arial" w:hAnsi="Arial" w:cs="Arial"/>
        </w:rPr>
        <w:t xml:space="preserve"> y requieran el desempeño de </w:t>
      </w:r>
      <w:r w:rsidRPr="00134125">
        <w:rPr>
          <w:rFonts w:ascii="Arial" w:hAnsi="Arial" w:cs="Arial"/>
        </w:rPr>
        <w:t>sus atribuciones en un horario distinto al establecido</w:t>
      </w:r>
      <w:r w:rsidR="00534DE0" w:rsidRPr="00134125">
        <w:rPr>
          <w:rFonts w:ascii="Arial" w:hAnsi="Arial" w:cs="Arial"/>
        </w:rPr>
        <w:t>,</w:t>
      </w:r>
      <w:r w:rsidRPr="00134125">
        <w:rPr>
          <w:rFonts w:ascii="Arial" w:hAnsi="Arial" w:cs="Arial"/>
        </w:rPr>
        <w:t xml:space="preserve"> deberán implementar las guardias y horarios necesarios, para lo cual deberán </w:t>
      </w:r>
      <w:r w:rsidR="00C1389B" w:rsidRPr="00134125">
        <w:rPr>
          <w:rFonts w:ascii="Arial" w:hAnsi="Arial" w:cs="Arial"/>
        </w:rPr>
        <w:t xml:space="preserve">avisar </w:t>
      </w:r>
      <w:r w:rsidRPr="00134125">
        <w:rPr>
          <w:rFonts w:ascii="Arial" w:hAnsi="Arial" w:cs="Arial"/>
        </w:rPr>
        <w:t>por escrito a la Secretaría Ejecutiva.</w:t>
      </w:r>
    </w:p>
    <w:p w:rsidR="00A5659C" w:rsidRPr="00134125" w:rsidRDefault="00A5659C" w:rsidP="00A5659C">
      <w:pPr>
        <w:rPr>
          <w:rFonts w:ascii="Arial" w:hAnsi="Arial" w:cs="Arial"/>
        </w:rPr>
      </w:pPr>
      <w:r w:rsidRPr="00134125">
        <w:rPr>
          <w:rFonts w:ascii="Arial" w:hAnsi="Arial" w:cs="Arial"/>
          <w:b/>
        </w:rPr>
        <w:t xml:space="preserve">Tercero. </w:t>
      </w:r>
      <w:r w:rsidR="00FB796F" w:rsidRPr="00134125">
        <w:rPr>
          <w:rFonts w:ascii="Arial" w:hAnsi="Arial" w:cs="Arial"/>
        </w:rPr>
        <w:t>H</w:t>
      </w:r>
      <w:r w:rsidRPr="00134125">
        <w:rPr>
          <w:rFonts w:ascii="Arial" w:hAnsi="Arial" w:cs="Arial"/>
        </w:rPr>
        <w:t xml:space="preserve">asta en tanto concluya de manera definitiva el Proceso Electoral, </w:t>
      </w:r>
      <w:r w:rsidR="00FB796F" w:rsidRPr="00134125">
        <w:rPr>
          <w:rFonts w:ascii="Arial" w:hAnsi="Arial" w:cs="Arial"/>
        </w:rPr>
        <w:t xml:space="preserve">la Unidad de Correspondencia de este Instituto </w:t>
      </w:r>
      <w:r w:rsidRPr="00134125">
        <w:rPr>
          <w:rFonts w:ascii="Arial" w:hAnsi="Arial" w:cs="Arial"/>
        </w:rPr>
        <w:t xml:space="preserve">funcionará durante las veinticuatro horas </w:t>
      </w:r>
      <w:r w:rsidR="00D91D1B" w:rsidRPr="00134125">
        <w:rPr>
          <w:rFonts w:ascii="Arial" w:hAnsi="Arial" w:cs="Arial"/>
        </w:rPr>
        <w:t xml:space="preserve">durante </w:t>
      </w:r>
      <w:r w:rsidRPr="00134125">
        <w:rPr>
          <w:rFonts w:ascii="Arial" w:hAnsi="Arial" w:cs="Arial"/>
        </w:rPr>
        <w:t>todos los días de la semana.</w:t>
      </w:r>
    </w:p>
    <w:p w:rsidR="00A5659C" w:rsidRPr="00134125" w:rsidRDefault="00A5659C" w:rsidP="00A5659C">
      <w:pPr>
        <w:rPr>
          <w:rFonts w:ascii="Arial" w:hAnsi="Arial" w:cs="Arial"/>
        </w:rPr>
      </w:pPr>
      <w:r w:rsidRPr="00134125">
        <w:rPr>
          <w:rFonts w:ascii="Arial" w:hAnsi="Arial" w:cs="Arial"/>
          <w:b/>
        </w:rPr>
        <w:t xml:space="preserve">Cuarto. </w:t>
      </w:r>
      <w:r w:rsidRPr="00134125">
        <w:rPr>
          <w:rFonts w:ascii="Arial" w:hAnsi="Arial" w:cs="Arial"/>
        </w:rPr>
        <w:t xml:space="preserve">Se </w:t>
      </w:r>
      <w:r w:rsidR="00666239" w:rsidRPr="00134125">
        <w:rPr>
          <w:rFonts w:ascii="Arial" w:hAnsi="Arial" w:cs="Arial"/>
        </w:rPr>
        <w:t xml:space="preserve">instruye </w:t>
      </w:r>
      <w:r w:rsidRPr="00134125">
        <w:rPr>
          <w:rFonts w:ascii="Arial" w:hAnsi="Arial" w:cs="Arial"/>
        </w:rPr>
        <w:t xml:space="preserve">a la Secretaría Ejecutiva </w:t>
      </w:r>
      <w:r w:rsidR="00666239" w:rsidRPr="00134125">
        <w:rPr>
          <w:rFonts w:ascii="Arial" w:hAnsi="Arial" w:cs="Arial"/>
        </w:rPr>
        <w:t xml:space="preserve">haga del conocimiento de las juntas electorales distritales el contenido del presente acuerdo. Asimismo, se le faculta </w:t>
      </w:r>
      <w:r w:rsidRPr="00134125">
        <w:rPr>
          <w:rFonts w:ascii="Arial" w:hAnsi="Arial" w:cs="Arial"/>
        </w:rPr>
        <w:t>para resolver los casos no previstos en el presente acuerdo.</w:t>
      </w:r>
    </w:p>
    <w:p w:rsidR="00A5659C" w:rsidRPr="00134125" w:rsidRDefault="00A5659C" w:rsidP="00A5659C">
      <w:pPr>
        <w:pStyle w:val="Puntos"/>
        <w:spacing w:line="300" w:lineRule="auto"/>
        <w:ind w:left="0"/>
        <w:rPr>
          <w:sz w:val="23"/>
          <w:szCs w:val="23"/>
        </w:rPr>
      </w:pPr>
      <w:r w:rsidRPr="00134125">
        <w:rPr>
          <w:b/>
          <w:sz w:val="23"/>
          <w:szCs w:val="23"/>
        </w:rPr>
        <w:t xml:space="preserve">Quinto. </w:t>
      </w:r>
      <w:r w:rsidRPr="00134125">
        <w:rPr>
          <w:sz w:val="23"/>
          <w:szCs w:val="23"/>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A5659C" w:rsidRPr="00134125" w:rsidRDefault="00A5659C" w:rsidP="00A5659C">
      <w:pPr>
        <w:pStyle w:val="Puntos"/>
        <w:spacing w:line="300" w:lineRule="auto"/>
        <w:ind w:left="0"/>
        <w:rPr>
          <w:sz w:val="23"/>
          <w:szCs w:val="23"/>
        </w:rPr>
      </w:pPr>
      <w:r w:rsidRPr="00134125">
        <w:rPr>
          <w:b/>
          <w:bCs/>
          <w:sz w:val="23"/>
          <w:szCs w:val="23"/>
        </w:rPr>
        <w:lastRenderedPageBreak/>
        <w:t>Sexto.</w:t>
      </w:r>
      <w:r w:rsidRPr="00134125">
        <w:rPr>
          <w:sz w:val="23"/>
          <w:szCs w:val="23"/>
        </w:rPr>
        <w:t xml:space="preserve"> Publíquese en el Periódico Oficial del Estado, y en la página de internet del Instituto, de conformidad con lo dispuesto en el artículo 114 de la Ley Electoral y de Partidos Políticos del Estado de Tabasco.</w:t>
      </w:r>
    </w:p>
    <w:p w:rsidR="00A5659C" w:rsidRPr="00134125" w:rsidRDefault="00A5659C" w:rsidP="00A5659C">
      <w:pPr>
        <w:pStyle w:val="Puntos"/>
        <w:spacing w:line="288" w:lineRule="auto"/>
        <w:ind w:left="0"/>
        <w:rPr>
          <w:sz w:val="23"/>
          <w:szCs w:val="23"/>
        </w:rPr>
      </w:pPr>
      <w:r w:rsidRPr="00134125">
        <w:rPr>
          <w:sz w:val="23"/>
          <w:szCs w:val="23"/>
        </w:rPr>
        <w:t xml:space="preserve">El presente acuerdo fue </w:t>
      </w:r>
      <w:r w:rsidR="00D27367">
        <w:rPr>
          <w:sz w:val="23"/>
          <w:szCs w:val="23"/>
        </w:rPr>
        <w:t>aprobado</w:t>
      </w:r>
      <w:r w:rsidRPr="00134125">
        <w:rPr>
          <w:sz w:val="23"/>
          <w:szCs w:val="23"/>
        </w:rPr>
        <w:t xml:space="preserve"> en sesión </w:t>
      </w:r>
      <w:r w:rsidR="00D27367">
        <w:rPr>
          <w:sz w:val="23"/>
          <w:szCs w:val="23"/>
        </w:rPr>
        <w:t>Ordinaria</w:t>
      </w:r>
      <w:r w:rsidRPr="00134125">
        <w:rPr>
          <w:sz w:val="23"/>
          <w:szCs w:val="23"/>
        </w:rPr>
        <w:t xml:space="preserve"> efectuada el </w:t>
      </w:r>
      <w:r w:rsidR="00D27367">
        <w:rPr>
          <w:sz w:val="23"/>
          <w:szCs w:val="23"/>
        </w:rPr>
        <w:t>treinta</w:t>
      </w:r>
      <w:r w:rsidRPr="00134125">
        <w:rPr>
          <w:sz w:val="23"/>
          <w:szCs w:val="23"/>
        </w:rPr>
        <w:t xml:space="preserve"> de </w:t>
      </w:r>
      <w:r w:rsidR="00D27367">
        <w:rPr>
          <w:sz w:val="23"/>
          <w:szCs w:val="23"/>
        </w:rPr>
        <w:t>julio</w:t>
      </w:r>
      <w:r w:rsidRPr="00134125">
        <w:rPr>
          <w:sz w:val="23"/>
          <w:szCs w:val="23"/>
        </w:rPr>
        <w:t xml:space="preserve"> del año dos mil veinticuatro, por votación </w:t>
      </w:r>
      <w:r w:rsidR="00D27367">
        <w:rPr>
          <w:sz w:val="23"/>
          <w:szCs w:val="23"/>
        </w:rPr>
        <w:t>unánime</w:t>
      </w:r>
      <w:r w:rsidRPr="00134125">
        <w:rPr>
          <w:sz w:val="23"/>
          <w:szCs w:val="23"/>
        </w:rPr>
        <w:t xml:space="preserve"> de las y los Consejeros Electorales del Consejo Estatal del Instituto Electoral y de Participación Ciudadana de Tabasco: Dra. </w:t>
      </w:r>
      <w:proofErr w:type="spellStart"/>
      <w:r w:rsidRPr="00134125">
        <w:rPr>
          <w:sz w:val="23"/>
          <w:szCs w:val="23"/>
        </w:rPr>
        <w:t>Rosselvy</w:t>
      </w:r>
      <w:proofErr w:type="spellEnd"/>
      <w:r w:rsidRPr="00134125">
        <w:rPr>
          <w:sz w:val="23"/>
          <w:szCs w:val="23"/>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rsidR="00A5659C" w:rsidRPr="00134125" w:rsidRDefault="00A5659C" w:rsidP="00A5659C">
      <w:pPr>
        <w:pStyle w:val="Puntos"/>
        <w:spacing w:line="288" w:lineRule="auto"/>
        <w:ind w:left="0"/>
        <w:rPr>
          <w:sz w:val="23"/>
          <w:szCs w:val="23"/>
        </w:rPr>
      </w:pPr>
    </w:p>
    <w:p w:rsidR="00A5659C" w:rsidRPr="00134125" w:rsidRDefault="00A5659C" w:rsidP="00A5659C">
      <w:pPr>
        <w:pStyle w:val="Puntos"/>
        <w:spacing w:line="288" w:lineRule="auto"/>
        <w:ind w:left="0"/>
        <w:rPr>
          <w:sz w:val="23"/>
          <w:szCs w:val="23"/>
        </w:rPr>
      </w:pPr>
    </w:p>
    <w:p w:rsidR="00A5659C" w:rsidRPr="00134125" w:rsidRDefault="00A5659C" w:rsidP="00A5659C">
      <w:pPr>
        <w:pStyle w:val="Puntos"/>
        <w:spacing w:line="288" w:lineRule="auto"/>
        <w:ind w:left="0"/>
        <w:rPr>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A5659C" w:rsidRPr="00134125" w:rsidTr="004F7135">
        <w:tc>
          <w:tcPr>
            <w:tcW w:w="4395" w:type="dxa"/>
          </w:tcPr>
          <w:p w:rsidR="00A5659C" w:rsidRPr="00134125" w:rsidRDefault="00A5659C" w:rsidP="004F7135">
            <w:pPr>
              <w:widowControl w:val="0"/>
              <w:spacing w:before="0" w:after="0"/>
              <w:jc w:val="center"/>
              <w:rPr>
                <w:rFonts w:ascii="Arial" w:hAnsi="Arial" w:cs="Arial"/>
                <w:b/>
                <w:spacing w:val="-10"/>
              </w:rPr>
            </w:pPr>
            <w:r w:rsidRPr="00134125">
              <w:rPr>
                <w:rFonts w:ascii="Arial" w:hAnsi="Arial" w:cs="Arial"/>
                <w:b/>
                <w:spacing w:val="-10"/>
              </w:rPr>
              <w:t>MTRA. ELIZABETH NAVA GUTIÉRREZ</w:t>
            </w:r>
          </w:p>
          <w:p w:rsidR="00A5659C" w:rsidRPr="00134125" w:rsidRDefault="00A5659C" w:rsidP="004F7135">
            <w:pPr>
              <w:widowControl w:val="0"/>
              <w:spacing w:before="0" w:after="0"/>
              <w:jc w:val="center"/>
              <w:rPr>
                <w:rFonts w:ascii="Arial" w:hAnsi="Arial" w:cs="Arial"/>
                <w:b/>
              </w:rPr>
            </w:pPr>
            <w:r w:rsidRPr="00134125">
              <w:rPr>
                <w:rFonts w:ascii="Arial" w:hAnsi="Arial" w:cs="Arial"/>
                <w:b/>
                <w:spacing w:val="-10"/>
              </w:rPr>
              <w:t>CONSEJERA PRESIDENTA</w:t>
            </w:r>
          </w:p>
        </w:tc>
        <w:tc>
          <w:tcPr>
            <w:tcW w:w="278" w:type="dxa"/>
          </w:tcPr>
          <w:p w:rsidR="00A5659C" w:rsidRPr="00134125" w:rsidRDefault="00A5659C" w:rsidP="004F7135">
            <w:pPr>
              <w:widowControl w:val="0"/>
              <w:spacing w:before="0" w:after="0"/>
              <w:rPr>
                <w:rFonts w:ascii="Arial" w:hAnsi="Arial" w:cs="Arial"/>
                <w:b/>
              </w:rPr>
            </w:pPr>
          </w:p>
        </w:tc>
        <w:tc>
          <w:tcPr>
            <w:tcW w:w="4400" w:type="dxa"/>
          </w:tcPr>
          <w:p w:rsidR="00A5659C" w:rsidRPr="00134125" w:rsidRDefault="00A5659C" w:rsidP="004F7135">
            <w:pPr>
              <w:widowControl w:val="0"/>
              <w:spacing w:before="0" w:after="0"/>
              <w:jc w:val="center"/>
              <w:rPr>
                <w:rFonts w:ascii="Arial" w:hAnsi="Arial" w:cs="Arial"/>
                <w:b/>
                <w:spacing w:val="-10"/>
              </w:rPr>
            </w:pPr>
            <w:r w:rsidRPr="00134125">
              <w:rPr>
                <w:rFonts w:ascii="Arial" w:hAnsi="Arial" w:cs="Arial"/>
                <w:b/>
                <w:spacing w:val="-10"/>
              </w:rPr>
              <w:t>LIC. JORGE ALBERTO ZAVALA FRÍAS</w:t>
            </w:r>
          </w:p>
          <w:p w:rsidR="00A5659C" w:rsidRPr="00134125" w:rsidRDefault="00A5659C" w:rsidP="004F7135">
            <w:pPr>
              <w:widowControl w:val="0"/>
              <w:spacing w:before="0" w:after="0"/>
              <w:jc w:val="center"/>
              <w:rPr>
                <w:rFonts w:ascii="Arial" w:hAnsi="Arial" w:cs="Arial"/>
                <w:b/>
              </w:rPr>
            </w:pPr>
            <w:r w:rsidRPr="00134125">
              <w:rPr>
                <w:rFonts w:ascii="Arial" w:hAnsi="Arial" w:cs="Arial"/>
                <w:b/>
                <w:spacing w:val="-10"/>
              </w:rPr>
              <w:t>SECRETARIO DEL CONSEJO</w:t>
            </w:r>
          </w:p>
        </w:tc>
      </w:tr>
    </w:tbl>
    <w:p w:rsidR="00A5659C" w:rsidRPr="00134125" w:rsidRDefault="00A5659C" w:rsidP="00D27367">
      <w:pPr>
        <w:rPr>
          <w:rFonts w:ascii="Arial" w:hAnsi="Arial" w:cs="Arial"/>
        </w:rPr>
      </w:pPr>
    </w:p>
    <w:sectPr w:rsidR="00A5659C" w:rsidRPr="00134125" w:rsidSect="001778B4">
      <w:headerReference w:type="default" r:id="rId7"/>
      <w:footerReference w:type="default" r:id="rId8"/>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47B" w:rsidRDefault="0062547B" w:rsidP="00A5659C">
      <w:pPr>
        <w:spacing w:before="0" w:after="0" w:line="240" w:lineRule="auto"/>
      </w:pPr>
      <w:r>
        <w:separator/>
      </w:r>
    </w:p>
  </w:endnote>
  <w:endnote w:type="continuationSeparator" w:id="0">
    <w:p w:rsidR="0062547B" w:rsidRDefault="0062547B" w:rsidP="00A565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16FA278-4EC7-473F-A423-28CACAD03C98}"/>
    <w:embedBold r:id="rId2" w:fontKey="{FC27FAC4-2F48-45E0-A705-CAB92D354F9F}"/>
  </w:font>
  <w:font w:name="Times New Roman">
    <w:panose1 w:val="02020603050405020304"/>
    <w:charset w:val="00"/>
    <w:family w:val="roman"/>
    <w:pitch w:val="variable"/>
    <w:sig w:usb0="E0002EFF" w:usb1="C000785B" w:usb2="00000009" w:usb3="00000000" w:csb0="000001FF" w:csb1="00000000"/>
  </w:font>
  <w:font w:name="Exo">
    <w:altName w:val="Times New Roman"/>
    <w:charset w:val="00"/>
    <w:family w:val="auto"/>
    <w:pitch w:val="variable"/>
    <w:sig w:usb0="A00000EF" w:usb1="4000204B" w:usb2="00000000" w:usb3="00000000" w:csb0="00000193" w:csb1="00000000"/>
    <w:embedRegular r:id="rId3" w:fontKey="{E4D0A949-B36E-435A-909C-F8B0744749A6}"/>
    <w:embedBold r:id="rId4" w:fontKey="{0FF49DA0-BC21-4606-AE6B-F29DB35D590E}"/>
  </w:font>
  <w:font w:name="Calibri Light">
    <w:panose1 w:val="020F0302020204030204"/>
    <w:charset w:val="00"/>
    <w:family w:val="swiss"/>
    <w:pitch w:val="variable"/>
    <w:sig w:usb0="E4002EFF" w:usb1="C000247B" w:usb2="00000009" w:usb3="00000000" w:csb0="000001FF" w:csb1="00000000"/>
    <w:embedRegular r:id="rId5" w:fontKey="{0B9776A2-B104-4F46-93D7-F41EEE1BE5B5}"/>
    <w:embedItalic r:id="rId6" w:fontKey="{7D8DC726-9189-4AFB-AEA5-31131E42914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A24801A-45F1-4FF6-B120-3AEDFC42A362}"/>
  </w:font>
  <w:font w:name="Arial Narrow">
    <w:panose1 w:val="020B0606020202030204"/>
    <w:charset w:val="00"/>
    <w:family w:val="swiss"/>
    <w:pitch w:val="variable"/>
    <w:sig w:usb0="00000287" w:usb1="00000800" w:usb2="00000000" w:usb3="00000000" w:csb0="0000009F" w:csb1="00000000"/>
    <w:embedRegular r:id="rId8" w:fontKey="{CF238B16-5994-48A6-9E89-80B8D437188B}"/>
    <w:embedBold r:id="rId9" w:fontKey="{FB678C0B-991E-4CCB-B4B5-DAF05B66C77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176418228"/>
      <w:docPartObj>
        <w:docPartGallery w:val="Page Numbers (Top of Page)"/>
        <w:docPartUnique/>
      </w:docPartObj>
    </w:sdtPr>
    <w:sdtEndPr/>
    <w:sdtContent>
      <w:p w:rsidR="00A5659C" w:rsidRPr="00A5659C" w:rsidRDefault="00A5659C" w:rsidP="00A5659C">
        <w:pPr>
          <w:pStyle w:val="Piedepgina"/>
          <w:jc w:val="right"/>
          <w:rPr>
            <w:color w:val="993366"/>
            <w:sz w:val="20"/>
            <w:szCs w:val="20"/>
          </w:rPr>
        </w:pPr>
        <w:r w:rsidRPr="0084107C">
          <w:rPr>
            <w:b/>
            <w:bCs/>
            <w:color w:val="993366"/>
          </w:rPr>
          <w:t xml:space="preserve">Página </w:t>
        </w:r>
        <w:r w:rsidRPr="0084107C">
          <w:rPr>
            <w:b/>
            <w:bCs/>
            <w:color w:val="993366"/>
          </w:rPr>
          <w:fldChar w:fldCharType="begin"/>
        </w:r>
        <w:r w:rsidRPr="0084107C">
          <w:rPr>
            <w:b/>
            <w:bCs/>
            <w:color w:val="993366"/>
          </w:rPr>
          <w:instrText>PAGE</w:instrText>
        </w:r>
        <w:r w:rsidRPr="0084107C">
          <w:rPr>
            <w:b/>
            <w:bCs/>
            <w:color w:val="993366"/>
          </w:rPr>
          <w:fldChar w:fldCharType="separate"/>
        </w:r>
        <w:r w:rsidR="00BE0DB1">
          <w:rPr>
            <w:b/>
            <w:bCs/>
            <w:noProof/>
            <w:color w:val="993366"/>
          </w:rPr>
          <w:t>7</w:t>
        </w:r>
        <w:r w:rsidRPr="0084107C">
          <w:rPr>
            <w:b/>
            <w:bCs/>
            <w:color w:val="993366"/>
          </w:rPr>
          <w:fldChar w:fldCharType="end"/>
        </w:r>
        <w:r w:rsidRPr="0084107C">
          <w:rPr>
            <w:b/>
            <w:bCs/>
            <w:color w:val="993366"/>
          </w:rPr>
          <w:t xml:space="preserve"> | </w:t>
        </w:r>
        <w:r w:rsidRPr="0084107C">
          <w:rPr>
            <w:b/>
            <w:bCs/>
            <w:color w:val="993366"/>
          </w:rPr>
          <w:fldChar w:fldCharType="begin"/>
        </w:r>
        <w:r w:rsidRPr="0084107C">
          <w:rPr>
            <w:b/>
            <w:bCs/>
            <w:color w:val="993366"/>
          </w:rPr>
          <w:instrText>NUMPAGES</w:instrText>
        </w:r>
        <w:r w:rsidRPr="0084107C">
          <w:rPr>
            <w:b/>
            <w:bCs/>
            <w:color w:val="993366"/>
          </w:rPr>
          <w:fldChar w:fldCharType="separate"/>
        </w:r>
        <w:r w:rsidR="00BE0DB1">
          <w:rPr>
            <w:b/>
            <w:bCs/>
            <w:noProof/>
            <w:color w:val="993366"/>
          </w:rPr>
          <w:t>7</w:t>
        </w:r>
        <w:r w:rsidRPr="0084107C">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47B" w:rsidRDefault="0062547B" w:rsidP="00A5659C">
      <w:pPr>
        <w:spacing w:before="0" w:after="0" w:line="240" w:lineRule="auto"/>
      </w:pPr>
      <w:r>
        <w:separator/>
      </w:r>
    </w:p>
  </w:footnote>
  <w:footnote w:type="continuationSeparator" w:id="0">
    <w:p w:rsidR="0062547B" w:rsidRDefault="0062547B" w:rsidP="00A5659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A5659C" w:rsidRPr="00063338" w:rsidTr="004F7135">
      <w:tc>
        <w:tcPr>
          <w:tcW w:w="1418" w:type="dxa"/>
        </w:tcPr>
        <w:p w:rsidR="00A5659C" w:rsidRPr="00063338" w:rsidRDefault="00A5659C" w:rsidP="00A5659C">
          <w:pPr>
            <w:pStyle w:val="Encabezado"/>
            <w:ind w:left="-170"/>
            <w:jc w:val="left"/>
          </w:pPr>
          <w:r>
            <w:rPr>
              <w:b/>
              <w:noProof/>
              <w:sz w:val="32"/>
              <w:lang w:val="es-MX" w:eastAsia="es-MX"/>
            </w:rPr>
            <w:drawing>
              <wp:inline distT="0" distB="0" distL="0" distR="0" wp14:anchorId="77006957" wp14:editId="65D630FB">
                <wp:extent cx="1014331" cy="1199403"/>
                <wp:effectExtent l="0" t="0" r="0" b="1270"/>
                <wp:docPr id="25" name="Imagen 2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A5659C" w:rsidRPr="00134125" w:rsidRDefault="00A5659C" w:rsidP="00A5659C">
          <w:pPr>
            <w:pStyle w:val="Encabezado"/>
            <w:spacing w:before="720"/>
            <w:jc w:val="center"/>
            <w:rPr>
              <w:rFonts w:ascii="Arial" w:hAnsi="Arial" w:cs="Arial"/>
              <w:b/>
              <w:bCs/>
              <w:sz w:val="25"/>
              <w:szCs w:val="25"/>
            </w:rPr>
          </w:pPr>
          <w:r w:rsidRPr="00134125">
            <w:rPr>
              <w:rFonts w:ascii="Arial" w:hAnsi="Arial" w:cs="Arial"/>
              <w:b/>
              <w:bCs/>
              <w:sz w:val="25"/>
              <w:szCs w:val="25"/>
            </w:rPr>
            <w:t>INSTITUTO ELECTORAL Y DE PARTICIPACIÓN CIUDADANA DE TABASCO</w:t>
          </w:r>
        </w:p>
        <w:p w:rsidR="00A5659C" w:rsidRPr="00063338" w:rsidRDefault="00A5659C" w:rsidP="00A5659C">
          <w:pPr>
            <w:pStyle w:val="Encabezado"/>
            <w:jc w:val="center"/>
          </w:pPr>
          <w:r w:rsidRPr="00134125">
            <w:rPr>
              <w:rFonts w:ascii="Arial" w:hAnsi="Arial" w:cs="Arial"/>
              <w:sz w:val="26"/>
              <w:szCs w:val="26"/>
            </w:rPr>
            <w:t>CONSEJO ESTATAL</w:t>
          </w:r>
        </w:p>
      </w:tc>
      <w:tc>
        <w:tcPr>
          <w:tcW w:w="1701" w:type="dxa"/>
        </w:tcPr>
        <w:p w:rsidR="00A5659C" w:rsidRPr="00063338" w:rsidRDefault="00A5659C" w:rsidP="00A5659C">
          <w:pPr>
            <w:pStyle w:val="Encabezado"/>
            <w:spacing w:before="480"/>
          </w:pPr>
          <w:r>
            <w:rPr>
              <w:noProof/>
              <w:lang w:val="es-MX" w:eastAsia="es-MX"/>
            </w:rPr>
            <w:drawing>
              <wp:inline distT="0" distB="0" distL="0" distR="0" wp14:anchorId="6521E91E" wp14:editId="60F91F3B">
                <wp:extent cx="942975" cy="774065"/>
                <wp:effectExtent l="0" t="0" r="9525" b="6985"/>
                <wp:docPr id="26" name="Imagen 2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A5659C" w:rsidRPr="00134125" w:rsidRDefault="0035177A" w:rsidP="00134125">
    <w:pPr>
      <w:pStyle w:val="Encabezado"/>
      <w:jc w:val="right"/>
      <w:rPr>
        <w:rFonts w:ascii="Arial" w:hAnsi="Arial" w:cs="Arial"/>
        <w:b/>
        <w:sz w:val="24"/>
        <w:szCs w:val="24"/>
      </w:rPr>
    </w:pPr>
    <w:r>
      <w:rPr>
        <w:rFonts w:ascii="Arial" w:hAnsi="Arial" w:cs="Arial"/>
        <w:b/>
        <w:sz w:val="24"/>
        <w:szCs w:val="24"/>
      </w:rPr>
      <w:t>C</w:t>
    </w:r>
    <w:r w:rsidR="00134125" w:rsidRPr="00134125">
      <w:rPr>
        <w:rFonts w:ascii="Arial" w:hAnsi="Arial" w:cs="Arial"/>
        <w:b/>
        <w:sz w:val="24"/>
        <w:szCs w:val="24"/>
      </w:rPr>
      <w:t>E/2024/</w:t>
    </w:r>
    <w:r w:rsidR="00D27367">
      <w:rPr>
        <w:rFonts w:ascii="Arial" w:hAnsi="Arial" w:cs="Arial"/>
        <w:b/>
        <w:sz w:val="24"/>
        <w:szCs w:val="24"/>
      </w:rPr>
      <w:t>088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5306B"/>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33E"/>
    <w:rsid w:val="00034B33"/>
    <w:rsid w:val="00076832"/>
    <w:rsid w:val="00093467"/>
    <w:rsid w:val="000B28CD"/>
    <w:rsid w:val="00134125"/>
    <w:rsid w:val="00135EA8"/>
    <w:rsid w:val="001778B4"/>
    <w:rsid w:val="00191882"/>
    <w:rsid w:val="00214B41"/>
    <w:rsid w:val="0026633E"/>
    <w:rsid w:val="0030370B"/>
    <w:rsid w:val="0035177A"/>
    <w:rsid w:val="003725C7"/>
    <w:rsid w:val="003F2231"/>
    <w:rsid w:val="00534DE0"/>
    <w:rsid w:val="00555437"/>
    <w:rsid w:val="005C41FB"/>
    <w:rsid w:val="0062547B"/>
    <w:rsid w:val="00666239"/>
    <w:rsid w:val="007122CF"/>
    <w:rsid w:val="0076109D"/>
    <w:rsid w:val="007D1782"/>
    <w:rsid w:val="0080627D"/>
    <w:rsid w:val="0084590E"/>
    <w:rsid w:val="00875BB6"/>
    <w:rsid w:val="00983500"/>
    <w:rsid w:val="00990EFB"/>
    <w:rsid w:val="00A441F9"/>
    <w:rsid w:val="00A5659C"/>
    <w:rsid w:val="00B43240"/>
    <w:rsid w:val="00BE0DB1"/>
    <w:rsid w:val="00BE7720"/>
    <w:rsid w:val="00C1389B"/>
    <w:rsid w:val="00C339E1"/>
    <w:rsid w:val="00D27367"/>
    <w:rsid w:val="00D3790D"/>
    <w:rsid w:val="00D91D1B"/>
    <w:rsid w:val="00DB1E3F"/>
    <w:rsid w:val="00E3692E"/>
    <w:rsid w:val="00FB79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7553"/>
  <w15:chartTrackingRefBased/>
  <w15:docId w15:val="{633BD10D-7019-4975-84F9-29F447DC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33E"/>
    <w:pPr>
      <w:spacing w:before="240" w:after="240" w:line="276" w:lineRule="auto"/>
      <w:jc w:val="both"/>
    </w:pPr>
    <w:rPr>
      <w:rFonts w:ascii="Exo" w:hAnsi="Exo"/>
      <w:sz w:val="23"/>
      <w:szCs w:val="23"/>
      <w:lang w:val="es-ES"/>
    </w:rPr>
  </w:style>
  <w:style w:type="paragraph" w:styleId="Ttulo1">
    <w:name w:val="heading 1"/>
    <w:basedOn w:val="Normal"/>
    <w:next w:val="Normal"/>
    <w:link w:val="Ttulo1Car"/>
    <w:uiPriority w:val="9"/>
    <w:qFormat/>
    <w:rsid w:val="0026633E"/>
    <w:pPr>
      <w:numPr>
        <w:numId w:val="1"/>
      </w:numPr>
      <w:spacing w:before="600" w:after="360"/>
      <w:jc w:val="center"/>
      <w:outlineLvl w:val="0"/>
    </w:pPr>
    <w:rPr>
      <w:b/>
      <w:sz w:val="28"/>
    </w:rPr>
  </w:style>
  <w:style w:type="paragraph" w:styleId="Ttulo2">
    <w:name w:val="heading 2"/>
    <w:basedOn w:val="Normal"/>
    <w:next w:val="Normal"/>
    <w:link w:val="Ttulo2Car"/>
    <w:uiPriority w:val="9"/>
    <w:unhideWhenUsed/>
    <w:qFormat/>
    <w:rsid w:val="0026633E"/>
    <w:pPr>
      <w:numPr>
        <w:ilvl w:val="1"/>
        <w:numId w:val="1"/>
      </w:numPr>
      <w:spacing w:before="480"/>
      <w:outlineLvl w:val="1"/>
    </w:pPr>
    <w:rPr>
      <w:b/>
    </w:rPr>
  </w:style>
  <w:style w:type="paragraph" w:styleId="Ttulo3">
    <w:name w:val="heading 3"/>
    <w:basedOn w:val="Normal"/>
    <w:next w:val="Normal"/>
    <w:link w:val="Ttulo3Car"/>
    <w:uiPriority w:val="9"/>
    <w:semiHidden/>
    <w:unhideWhenUsed/>
    <w:qFormat/>
    <w:rsid w:val="007D1782"/>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D178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D178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D178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D178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D178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D178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633E"/>
    <w:rPr>
      <w:rFonts w:ascii="Exo" w:hAnsi="Exo"/>
      <w:b/>
      <w:sz w:val="28"/>
      <w:szCs w:val="23"/>
      <w:lang w:val="es-ES"/>
    </w:rPr>
  </w:style>
  <w:style w:type="character" w:customStyle="1" w:styleId="Ttulo2Car">
    <w:name w:val="Título 2 Car"/>
    <w:basedOn w:val="Fuentedeprrafopredeter"/>
    <w:link w:val="Ttulo2"/>
    <w:uiPriority w:val="9"/>
    <w:rsid w:val="0026633E"/>
    <w:rPr>
      <w:rFonts w:ascii="Exo" w:hAnsi="Exo"/>
      <w:b/>
      <w:sz w:val="23"/>
      <w:szCs w:val="23"/>
      <w:lang w:val="es-ES"/>
    </w:rPr>
  </w:style>
  <w:style w:type="paragraph" w:styleId="Encabezado">
    <w:name w:val="header"/>
    <w:basedOn w:val="Normal"/>
    <w:link w:val="EncabezadoCar"/>
    <w:uiPriority w:val="99"/>
    <w:unhideWhenUsed/>
    <w:rsid w:val="00A5659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5659C"/>
    <w:rPr>
      <w:rFonts w:ascii="Exo" w:hAnsi="Exo"/>
      <w:sz w:val="23"/>
      <w:szCs w:val="23"/>
      <w:lang w:val="es-ES"/>
    </w:rPr>
  </w:style>
  <w:style w:type="paragraph" w:styleId="Piedepgina">
    <w:name w:val="footer"/>
    <w:basedOn w:val="Normal"/>
    <w:link w:val="PiedepginaCar"/>
    <w:uiPriority w:val="99"/>
    <w:unhideWhenUsed/>
    <w:rsid w:val="00A5659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5659C"/>
    <w:rPr>
      <w:rFonts w:ascii="Exo" w:hAnsi="Exo"/>
      <w:sz w:val="23"/>
      <w:szCs w:val="23"/>
      <w:lang w:val="es-ES"/>
    </w:rPr>
  </w:style>
  <w:style w:type="table" w:styleId="Tablaconcuadrcula">
    <w:name w:val="Table Grid"/>
    <w:basedOn w:val="Tablanormal"/>
    <w:uiPriority w:val="39"/>
    <w:rsid w:val="00A56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os">
    <w:name w:val="Puntos"/>
    <w:basedOn w:val="Normal"/>
    <w:link w:val="PuntosCar"/>
    <w:qFormat/>
    <w:rsid w:val="00A5659C"/>
    <w:pPr>
      <w:spacing w:before="0" w:line="283" w:lineRule="auto"/>
      <w:ind w:left="624"/>
    </w:pPr>
    <w:rPr>
      <w:rFonts w:ascii="Arial" w:hAnsi="Arial" w:cs="Arial"/>
      <w:sz w:val="24"/>
      <w:szCs w:val="24"/>
      <w:lang w:val="es-MX"/>
    </w:rPr>
  </w:style>
  <w:style w:type="character" w:customStyle="1" w:styleId="PuntosCar">
    <w:name w:val="Puntos Car"/>
    <w:basedOn w:val="Fuentedeprrafopredeter"/>
    <w:link w:val="Puntos"/>
    <w:rsid w:val="00A5659C"/>
    <w:rPr>
      <w:rFonts w:ascii="Arial" w:hAnsi="Arial" w:cs="Arial"/>
      <w:sz w:val="24"/>
      <w:szCs w:val="24"/>
    </w:rPr>
  </w:style>
  <w:style w:type="character" w:customStyle="1" w:styleId="Ttulo3Car">
    <w:name w:val="Título 3 Car"/>
    <w:basedOn w:val="Fuentedeprrafopredeter"/>
    <w:link w:val="Ttulo3"/>
    <w:uiPriority w:val="9"/>
    <w:semiHidden/>
    <w:rsid w:val="007D1782"/>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7D1782"/>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7D1782"/>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7D1782"/>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7D1782"/>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7D1782"/>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7D1782"/>
    <w:rPr>
      <w:rFonts w:asciiTheme="majorHAnsi" w:eastAsiaTheme="majorEastAsia" w:hAnsiTheme="majorHAnsi" w:cstheme="majorBidi"/>
      <w:i/>
      <w:iCs/>
      <w:color w:val="272727" w:themeColor="text1" w:themeTint="D8"/>
      <w:sz w:val="21"/>
      <w:szCs w:val="21"/>
      <w:lang w:val="es-ES"/>
    </w:rPr>
  </w:style>
  <w:style w:type="paragraph" w:styleId="Textodeglobo">
    <w:name w:val="Balloon Text"/>
    <w:basedOn w:val="Normal"/>
    <w:link w:val="TextodegloboCar"/>
    <w:uiPriority w:val="99"/>
    <w:semiHidden/>
    <w:unhideWhenUsed/>
    <w:rsid w:val="00BE0DB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0DB1"/>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7</Pages>
  <Words>1891</Words>
  <Characters>10405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Coordinación Técnica</cp:lastModifiedBy>
  <cp:revision>31</cp:revision>
  <cp:lastPrinted>2024-07-30T17:52:00Z</cp:lastPrinted>
  <dcterms:created xsi:type="dcterms:W3CDTF">2024-07-16T17:27:00Z</dcterms:created>
  <dcterms:modified xsi:type="dcterms:W3CDTF">2024-07-30T17:55:00Z</dcterms:modified>
</cp:coreProperties>
</file>