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E73F0" w14:textId="79298F5E" w:rsidR="004B6FB2" w:rsidRPr="00267577" w:rsidRDefault="00267577" w:rsidP="003B4951">
      <w:pPr>
        <w:rPr>
          <w:b/>
          <w:sz w:val="24"/>
          <w:szCs w:val="24"/>
        </w:rPr>
      </w:pPr>
      <w:r w:rsidRPr="00267577">
        <w:rPr>
          <w:b/>
          <w:sz w:val="24"/>
          <w:szCs w:val="24"/>
        </w:rPr>
        <w:t>ACUERDO QUE EMITE EL CONSEJO ESTATAL DEL INSTITUTO ELECTORAL Y DE PARTICIPACIÓN CIUDADANA DE TABASCO, MEDIANTE EL CUAL SE DA RESPUESTA A LA SOLICITUD FORMULADA POR JUAN CARLOS AGUILAR RAMOS, ASPIRANTE A LA CANDIDATURA INDEPENDIENTE A LA DIPUTACIÓN POR EL DISTRITO 09 CON MOTIVO DEL PROCESO ELECTORAL LOCAL ORDINARIO 2023 - 2024</w:t>
      </w:r>
    </w:p>
    <w:p w14:paraId="11C2975B" w14:textId="77777777" w:rsidR="004B6FB2" w:rsidRDefault="004B6FB2" w:rsidP="004B6FB2">
      <w:r w:rsidRPr="00507065">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33"/>
        <w:gridCol w:w="4393"/>
      </w:tblGrid>
      <w:tr w:rsidR="004B6FB2" w:rsidRPr="00675C3F" w14:paraId="39D5D9EA" w14:textId="77777777" w:rsidTr="007E0A99">
        <w:trPr>
          <w:trHeight w:val="624"/>
          <w:jc w:val="center"/>
        </w:trPr>
        <w:tc>
          <w:tcPr>
            <w:tcW w:w="2042" w:type="pct"/>
            <w:shd w:val="clear" w:color="auto" w:fill="auto"/>
            <w:vAlign w:val="center"/>
          </w:tcPr>
          <w:p w14:paraId="71353760" w14:textId="77777777" w:rsidR="004B6FB2" w:rsidRPr="00267577" w:rsidRDefault="004B6FB2" w:rsidP="007E0A99">
            <w:pPr>
              <w:widowControl w:val="0"/>
              <w:spacing w:before="40" w:after="40"/>
              <w:ind w:left="57"/>
              <w:jc w:val="right"/>
              <w:rPr>
                <w:b/>
                <w:sz w:val="20"/>
                <w:szCs w:val="20"/>
              </w:rPr>
            </w:pPr>
            <w:r w:rsidRPr="00267577">
              <w:rPr>
                <w:b/>
                <w:sz w:val="20"/>
                <w:szCs w:val="20"/>
              </w:rPr>
              <w:t>Consejo Estatal:</w:t>
            </w:r>
          </w:p>
        </w:tc>
        <w:tc>
          <w:tcPr>
            <w:tcW w:w="2958" w:type="pct"/>
            <w:shd w:val="clear" w:color="auto" w:fill="auto"/>
            <w:vAlign w:val="center"/>
          </w:tcPr>
          <w:p w14:paraId="219A5C5B" w14:textId="77777777" w:rsidR="004B6FB2" w:rsidRPr="00267577" w:rsidRDefault="004B6FB2" w:rsidP="007E0A99">
            <w:pPr>
              <w:widowControl w:val="0"/>
              <w:spacing w:before="40" w:after="40"/>
              <w:ind w:left="57"/>
              <w:rPr>
                <w:sz w:val="20"/>
                <w:szCs w:val="20"/>
              </w:rPr>
            </w:pPr>
            <w:r w:rsidRPr="00267577">
              <w:rPr>
                <w:sz w:val="20"/>
                <w:szCs w:val="20"/>
              </w:rPr>
              <w:t>Consejo Estatal del Instituto Electoral y de Participación Ciudadana de Tabasco.</w:t>
            </w:r>
          </w:p>
        </w:tc>
      </w:tr>
      <w:tr w:rsidR="004B6FB2" w:rsidRPr="00675C3F" w14:paraId="3F41CF8A" w14:textId="77777777" w:rsidTr="007E0A99">
        <w:trPr>
          <w:trHeight w:val="624"/>
          <w:jc w:val="center"/>
        </w:trPr>
        <w:tc>
          <w:tcPr>
            <w:tcW w:w="2042" w:type="pct"/>
            <w:shd w:val="clear" w:color="auto" w:fill="auto"/>
            <w:vAlign w:val="center"/>
          </w:tcPr>
          <w:p w14:paraId="5C15AB17" w14:textId="77777777" w:rsidR="004B6FB2" w:rsidRPr="00267577" w:rsidRDefault="004B6FB2" w:rsidP="007E0A99">
            <w:pPr>
              <w:widowControl w:val="0"/>
              <w:spacing w:before="40" w:after="40"/>
              <w:ind w:left="57"/>
              <w:jc w:val="right"/>
              <w:rPr>
                <w:b/>
                <w:sz w:val="20"/>
                <w:szCs w:val="20"/>
              </w:rPr>
            </w:pPr>
            <w:r w:rsidRPr="00267577">
              <w:rPr>
                <w:b/>
                <w:sz w:val="20"/>
                <w:szCs w:val="20"/>
              </w:rPr>
              <w:t>Constitución Federal:</w:t>
            </w:r>
          </w:p>
        </w:tc>
        <w:tc>
          <w:tcPr>
            <w:tcW w:w="2958" w:type="pct"/>
            <w:shd w:val="clear" w:color="auto" w:fill="auto"/>
            <w:vAlign w:val="center"/>
          </w:tcPr>
          <w:p w14:paraId="46517D54" w14:textId="77777777" w:rsidR="004B6FB2" w:rsidRPr="00267577" w:rsidRDefault="004B6FB2" w:rsidP="007E0A99">
            <w:pPr>
              <w:widowControl w:val="0"/>
              <w:spacing w:before="40" w:after="40"/>
              <w:ind w:left="57"/>
              <w:rPr>
                <w:sz w:val="20"/>
                <w:szCs w:val="20"/>
              </w:rPr>
            </w:pPr>
            <w:r w:rsidRPr="00267577">
              <w:rPr>
                <w:sz w:val="20"/>
                <w:szCs w:val="20"/>
              </w:rPr>
              <w:t>Constitución Política de los Estados Unidos Mexicanos.</w:t>
            </w:r>
          </w:p>
        </w:tc>
      </w:tr>
      <w:tr w:rsidR="004B6FB2" w:rsidRPr="00675C3F" w14:paraId="3E3987D1" w14:textId="77777777" w:rsidTr="007E0A99">
        <w:trPr>
          <w:trHeight w:val="624"/>
          <w:jc w:val="center"/>
        </w:trPr>
        <w:tc>
          <w:tcPr>
            <w:tcW w:w="2042" w:type="pct"/>
            <w:shd w:val="clear" w:color="auto" w:fill="auto"/>
            <w:vAlign w:val="center"/>
          </w:tcPr>
          <w:p w14:paraId="5AC3BAAC" w14:textId="77777777" w:rsidR="004B6FB2" w:rsidRPr="00267577" w:rsidRDefault="004B6FB2" w:rsidP="007E0A99">
            <w:pPr>
              <w:widowControl w:val="0"/>
              <w:spacing w:before="40" w:after="40"/>
              <w:ind w:left="57"/>
              <w:jc w:val="right"/>
              <w:rPr>
                <w:b/>
                <w:sz w:val="20"/>
                <w:szCs w:val="20"/>
              </w:rPr>
            </w:pPr>
            <w:r w:rsidRPr="00267577">
              <w:rPr>
                <w:b/>
                <w:sz w:val="20"/>
                <w:szCs w:val="20"/>
              </w:rPr>
              <w:t>Constitución Local:</w:t>
            </w:r>
          </w:p>
        </w:tc>
        <w:tc>
          <w:tcPr>
            <w:tcW w:w="2958" w:type="pct"/>
            <w:shd w:val="clear" w:color="auto" w:fill="auto"/>
            <w:vAlign w:val="center"/>
          </w:tcPr>
          <w:p w14:paraId="21DD34A6" w14:textId="77777777" w:rsidR="004B6FB2" w:rsidRPr="00267577" w:rsidRDefault="004B6FB2" w:rsidP="007E0A99">
            <w:pPr>
              <w:widowControl w:val="0"/>
              <w:spacing w:before="40" w:after="40"/>
              <w:ind w:left="57"/>
              <w:rPr>
                <w:sz w:val="20"/>
                <w:szCs w:val="20"/>
              </w:rPr>
            </w:pPr>
            <w:r w:rsidRPr="00267577">
              <w:rPr>
                <w:sz w:val="20"/>
                <w:szCs w:val="20"/>
              </w:rPr>
              <w:t>Constitución Política del Estado Libre y Soberano de Tabasco.</w:t>
            </w:r>
          </w:p>
        </w:tc>
      </w:tr>
      <w:tr w:rsidR="004B6FB2" w:rsidRPr="00675C3F" w14:paraId="4E83DDE6" w14:textId="77777777" w:rsidTr="007E0A99">
        <w:trPr>
          <w:trHeight w:val="624"/>
          <w:jc w:val="center"/>
        </w:trPr>
        <w:tc>
          <w:tcPr>
            <w:tcW w:w="2042" w:type="pct"/>
            <w:shd w:val="clear" w:color="auto" w:fill="auto"/>
            <w:vAlign w:val="center"/>
          </w:tcPr>
          <w:p w14:paraId="401C29A7" w14:textId="77777777" w:rsidR="004B6FB2" w:rsidRPr="00267577" w:rsidRDefault="004B6FB2" w:rsidP="007E0A99">
            <w:pPr>
              <w:widowControl w:val="0"/>
              <w:spacing w:before="40" w:after="40"/>
              <w:ind w:left="57"/>
              <w:jc w:val="right"/>
              <w:rPr>
                <w:b/>
                <w:sz w:val="20"/>
                <w:szCs w:val="20"/>
              </w:rPr>
            </w:pPr>
            <w:r w:rsidRPr="00267577">
              <w:rPr>
                <w:b/>
                <w:sz w:val="20"/>
                <w:szCs w:val="20"/>
              </w:rPr>
              <w:t>INE:</w:t>
            </w:r>
          </w:p>
        </w:tc>
        <w:tc>
          <w:tcPr>
            <w:tcW w:w="2958" w:type="pct"/>
            <w:shd w:val="clear" w:color="auto" w:fill="auto"/>
            <w:vAlign w:val="center"/>
          </w:tcPr>
          <w:p w14:paraId="1376C583" w14:textId="77777777" w:rsidR="004B6FB2" w:rsidRPr="00267577" w:rsidRDefault="004B6FB2" w:rsidP="007E0A99">
            <w:pPr>
              <w:widowControl w:val="0"/>
              <w:spacing w:before="40" w:after="40"/>
              <w:ind w:left="57"/>
              <w:rPr>
                <w:sz w:val="20"/>
                <w:szCs w:val="20"/>
              </w:rPr>
            </w:pPr>
            <w:r w:rsidRPr="00267577">
              <w:rPr>
                <w:sz w:val="20"/>
                <w:szCs w:val="20"/>
              </w:rPr>
              <w:t>Instituto Nacional Electoral.</w:t>
            </w:r>
          </w:p>
        </w:tc>
      </w:tr>
      <w:tr w:rsidR="004B6FB2" w:rsidRPr="00675C3F" w14:paraId="6F02DBD4" w14:textId="77777777" w:rsidTr="007E0A99">
        <w:trPr>
          <w:trHeight w:val="624"/>
          <w:jc w:val="center"/>
        </w:trPr>
        <w:tc>
          <w:tcPr>
            <w:tcW w:w="2042" w:type="pct"/>
            <w:shd w:val="clear" w:color="auto" w:fill="auto"/>
            <w:vAlign w:val="center"/>
          </w:tcPr>
          <w:p w14:paraId="33E499F2" w14:textId="77777777" w:rsidR="004B6FB2" w:rsidRPr="00267577" w:rsidRDefault="004B6FB2" w:rsidP="007E0A99">
            <w:pPr>
              <w:widowControl w:val="0"/>
              <w:spacing w:before="40" w:after="40"/>
              <w:ind w:left="57"/>
              <w:jc w:val="right"/>
              <w:rPr>
                <w:b/>
                <w:sz w:val="20"/>
                <w:szCs w:val="20"/>
              </w:rPr>
            </w:pPr>
            <w:r w:rsidRPr="00267577">
              <w:rPr>
                <w:b/>
                <w:sz w:val="20"/>
                <w:szCs w:val="20"/>
              </w:rPr>
              <w:t>Instituto:</w:t>
            </w:r>
          </w:p>
        </w:tc>
        <w:tc>
          <w:tcPr>
            <w:tcW w:w="2958" w:type="pct"/>
            <w:shd w:val="clear" w:color="auto" w:fill="auto"/>
          </w:tcPr>
          <w:p w14:paraId="63F2A723" w14:textId="77777777" w:rsidR="004B6FB2" w:rsidRPr="00267577" w:rsidRDefault="004B6FB2" w:rsidP="007E0A99">
            <w:pPr>
              <w:widowControl w:val="0"/>
              <w:spacing w:before="40" w:after="40"/>
              <w:ind w:left="57"/>
              <w:rPr>
                <w:sz w:val="20"/>
                <w:szCs w:val="20"/>
              </w:rPr>
            </w:pPr>
            <w:r w:rsidRPr="00267577">
              <w:rPr>
                <w:sz w:val="20"/>
                <w:szCs w:val="20"/>
              </w:rPr>
              <w:t>Instituto Electoral y de Participación Ciudadana de Tabasco.</w:t>
            </w:r>
          </w:p>
        </w:tc>
      </w:tr>
      <w:tr w:rsidR="004B6FB2" w:rsidRPr="00675C3F" w14:paraId="2CA73ED0" w14:textId="77777777" w:rsidTr="007E0A99">
        <w:trPr>
          <w:trHeight w:val="624"/>
          <w:jc w:val="center"/>
        </w:trPr>
        <w:tc>
          <w:tcPr>
            <w:tcW w:w="2042" w:type="pct"/>
            <w:shd w:val="clear" w:color="auto" w:fill="auto"/>
            <w:vAlign w:val="center"/>
          </w:tcPr>
          <w:p w14:paraId="5BB8465B" w14:textId="77777777" w:rsidR="004B6FB2" w:rsidRPr="00267577" w:rsidRDefault="004B6FB2" w:rsidP="007E0A99">
            <w:pPr>
              <w:widowControl w:val="0"/>
              <w:spacing w:before="40" w:after="40"/>
              <w:ind w:left="57"/>
              <w:jc w:val="right"/>
              <w:rPr>
                <w:b/>
                <w:sz w:val="20"/>
                <w:szCs w:val="20"/>
              </w:rPr>
            </w:pPr>
            <w:r w:rsidRPr="00267577">
              <w:rPr>
                <w:b/>
                <w:sz w:val="20"/>
                <w:szCs w:val="20"/>
              </w:rPr>
              <w:t>Ley Electoral:</w:t>
            </w:r>
          </w:p>
        </w:tc>
        <w:tc>
          <w:tcPr>
            <w:tcW w:w="2958" w:type="pct"/>
            <w:shd w:val="clear" w:color="auto" w:fill="auto"/>
            <w:vAlign w:val="center"/>
          </w:tcPr>
          <w:p w14:paraId="476FF217" w14:textId="77777777" w:rsidR="004B6FB2" w:rsidRPr="00267577" w:rsidRDefault="004B6FB2" w:rsidP="007E0A99">
            <w:pPr>
              <w:widowControl w:val="0"/>
              <w:spacing w:before="40" w:after="40"/>
              <w:ind w:left="57"/>
              <w:rPr>
                <w:sz w:val="20"/>
                <w:szCs w:val="20"/>
              </w:rPr>
            </w:pPr>
            <w:r w:rsidRPr="00267577">
              <w:rPr>
                <w:sz w:val="20"/>
                <w:szCs w:val="20"/>
              </w:rPr>
              <w:t>Ley Electoral y de Partidos Políticos del Estado de Tabasco.</w:t>
            </w:r>
          </w:p>
        </w:tc>
      </w:tr>
      <w:tr w:rsidR="004B6FB2" w:rsidRPr="00675C3F" w14:paraId="564661E5" w14:textId="77777777" w:rsidTr="007E0A99">
        <w:trPr>
          <w:trHeight w:val="624"/>
          <w:jc w:val="center"/>
        </w:trPr>
        <w:tc>
          <w:tcPr>
            <w:tcW w:w="2042" w:type="pct"/>
            <w:shd w:val="clear" w:color="auto" w:fill="auto"/>
            <w:vAlign w:val="center"/>
          </w:tcPr>
          <w:p w14:paraId="27217EF7" w14:textId="77777777" w:rsidR="004B6FB2" w:rsidRPr="00267577" w:rsidRDefault="004B6FB2" w:rsidP="007E0A99">
            <w:pPr>
              <w:widowControl w:val="0"/>
              <w:spacing w:before="40" w:after="40"/>
              <w:ind w:left="57"/>
              <w:jc w:val="right"/>
              <w:rPr>
                <w:b/>
                <w:sz w:val="20"/>
                <w:szCs w:val="20"/>
              </w:rPr>
            </w:pPr>
            <w:r w:rsidRPr="00267577">
              <w:rPr>
                <w:b/>
                <w:sz w:val="20"/>
                <w:szCs w:val="20"/>
              </w:rPr>
              <w:t>Ley General:</w:t>
            </w:r>
          </w:p>
        </w:tc>
        <w:tc>
          <w:tcPr>
            <w:tcW w:w="2958" w:type="pct"/>
            <w:shd w:val="clear" w:color="auto" w:fill="auto"/>
            <w:vAlign w:val="center"/>
          </w:tcPr>
          <w:p w14:paraId="4B10958F" w14:textId="77777777" w:rsidR="004B6FB2" w:rsidRPr="00267577" w:rsidRDefault="004B6FB2" w:rsidP="007E0A99">
            <w:pPr>
              <w:widowControl w:val="0"/>
              <w:spacing w:before="40" w:after="40"/>
              <w:ind w:left="57"/>
              <w:rPr>
                <w:sz w:val="20"/>
                <w:szCs w:val="20"/>
              </w:rPr>
            </w:pPr>
            <w:r w:rsidRPr="00267577">
              <w:rPr>
                <w:sz w:val="20"/>
                <w:szCs w:val="20"/>
              </w:rPr>
              <w:t>Ley General de Instituciones y Procedimientos Electorales.</w:t>
            </w:r>
          </w:p>
        </w:tc>
      </w:tr>
      <w:tr w:rsidR="004B6FB2" w:rsidRPr="00675C3F" w14:paraId="2E7C44E4" w14:textId="77777777" w:rsidTr="007E0A99">
        <w:trPr>
          <w:trHeight w:val="624"/>
          <w:jc w:val="center"/>
        </w:trPr>
        <w:tc>
          <w:tcPr>
            <w:tcW w:w="2042" w:type="pct"/>
            <w:shd w:val="clear" w:color="auto" w:fill="auto"/>
            <w:vAlign w:val="center"/>
          </w:tcPr>
          <w:p w14:paraId="65266AF3" w14:textId="77777777" w:rsidR="004B6FB2" w:rsidRPr="00267577" w:rsidRDefault="004B6FB2" w:rsidP="007E0A99">
            <w:pPr>
              <w:spacing w:before="60" w:after="60"/>
              <w:ind w:left="57"/>
              <w:jc w:val="right"/>
              <w:rPr>
                <w:b/>
                <w:sz w:val="20"/>
                <w:szCs w:val="20"/>
              </w:rPr>
            </w:pPr>
            <w:r w:rsidRPr="00267577">
              <w:rPr>
                <w:b/>
                <w:sz w:val="20"/>
                <w:szCs w:val="20"/>
              </w:rPr>
              <w:t>Lineamientos para la verificación:</w:t>
            </w:r>
          </w:p>
        </w:tc>
        <w:tc>
          <w:tcPr>
            <w:tcW w:w="2958" w:type="pct"/>
            <w:shd w:val="clear" w:color="auto" w:fill="auto"/>
            <w:vAlign w:val="center"/>
          </w:tcPr>
          <w:p w14:paraId="0DE1E78A" w14:textId="77777777" w:rsidR="004B6FB2" w:rsidRPr="00267577" w:rsidRDefault="004B6FB2" w:rsidP="007E0A99">
            <w:pPr>
              <w:spacing w:before="60" w:after="60"/>
              <w:ind w:left="57"/>
              <w:rPr>
                <w:sz w:val="20"/>
                <w:szCs w:val="20"/>
              </w:rPr>
            </w:pPr>
            <w:r w:rsidRPr="00267577">
              <w:rPr>
                <w:sz w:val="20"/>
                <w:szCs w:val="20"/>
              </w:rPr>
              <w:t>Lineamientos para la verificación del cumplimiento del porcentaje de apoyo de la ciudadanía inscrita en la lista nominal de electores que se requiere para el registro de las candidaturas independientes en el Proceso Electoral Local 2023 – 2024 mediante el uso de la aplicación móvil “APOYO CIUDADANO-INE”,</w:t>
            </w:r>
          </w:p>
        </w:tc>
      </w:tr>
      <w:tr w:rsidR="004B6FB2" w:rsidRPr="00675C3F" w14:paraId="7B5455E9" w14:textId="77777777" w:rsidTr="007E0A99">
        <w:trPr>
          <w:trHeight w:val="624"/>
          <w:jc w:val="center"/>
        </w:trPr>
        <w:tc>
          <w:tcPr>
            <w:tcW w:w="2042" w:type="pct"/>
            <w:shd w:val="clear" w:color="auto" w:fill="auto"/>
            <w:vAlign w:val="center"/>
          </w:tcPr>
          <w:p w14:paraId="706BBBA9" w14:textId="77777777" w:rsidR="004B6FB2" w:rsidRPr="00267577" w:rsidRDefault="004B6FB2" w:rsidP="007E0A99">
            <w:pPr>
              <w:widowControl w:val="0"/>
              <w:spacing w:before="40" w:after="40"/>
              <w:ind w:left="57"/>
              <w:jc w:val="right"/>
              <w:rPr>
                <w:b/>
                <w:sz w:val="20"/>
                <w:szCs w:val="20"/>
              </w:rPr>
            </w:pPr>
            <w:r w:rsidRPr="00267577">
              <w:rPr>
                <w:b/>
                <w:sz w:val="20"/>
                <w:szCs w:val="20"/>
              </w:rPr>
              <w:t>Lineamientos:</w:t>
            </w:r>
          </w:p>
        </w:tc>
        <w:tc>
          <w:tcPr>
            <w:tcW w:w="2958" w:type="pct"/>
            <w:shd w:val="clear" w:color="auto" w:fill="auto"/>
            <w:vAlign w:val="center"/>
          </w:tcPr>
          <w:p w14:paraId="700B449E" w14:textId="77777777" w:rsidR="004B6FB2" w:rsidRPr="00267577" w:rsidRDefault="004B6FB2" w:rsidP="007E0A99">
            <w:pPr>
              <w:widowControl w:val="0"/>
              <w:spacing w:before="40" w:after="40"/>
              <w:ind w:left="57"/>
              <w:rPr>
                <w:sz w:val="20"/>
                <w:szCs w:val="20"/>
              </w:rPr>
            </w:pPr>
            <w:r w:rsidRPr="00267577">
              <w:rPr>
                <w:sz w:val="20"/>
                <w:szCs w:val="20"/>
              </w:rPr>
              <w:t>Lineamientos para la postulación y registro de candidaturas independientes con motivo del Proceso Electoral Local Ordinario 2023 – 2024</w:t>
            </w:r>
          </w:p>
        </w:tc>
      </w:tr>
      <w:tr w:rsidR="004B6FB2" w:rsidRPr="00675C3F" w14:paraId="40C9DDD0" w14:textId="77777777" w:rsidTr="007E0A99">
        <w:trPr>
          <w:trHeight w:val="624"/>
          <w:jc w:val="center"/>
        </w:trPr>
        <w:tc>
          <w:tcPr>
            <w:tcW w:w="2042" w:type="pct"/>
            <w:shd w:val="clear" w:color="auto" w:fill="auto"/>
            <w:vAlign w:val="center"/>
          </w:tcPr>
          <w:p w14:paraId="6D70B6DD" w14:textId="77777777" w:rsidR="004B6FB2" w:rsidRPr="00267577" w:rsidRDefault="004B6FB2" w:rsidP="007E0A99">
            <w:pPr>
              <w:widowControl w:val="0"/>
              <w:spacing w:before="40" w:after="40"/>
              <w:ind w:left="57"/>
              <w:jc w:val="right"/>
              <w:rPr>
                <w:b/>
                <w:sz w:val="20"/>
                <w:szCs w:val="20"/>
              </w:rPr>
            </w:pPr>
            <w:r w:rsidRPr="00267577">
              <w:rPr>
                <w:b/>
                <w:sz w:val="20"/>
                <w:szCs w:val="20"/>
              </w:rPr>
              <w:t>Proceso Electoral:</w:t>
            </w:r>
          </w:p>
        </w:tc>
        <w:tc>
          <w:tcPr>
            <w:tcW w:w="2958" w:type="pct"/>
            <w:shd w:val="clear" w:color="auto" w:fill="auto"/>
            <w:vAlign w:val="center"/>
          </w:tcPr>
          <w:p w14:paraId="182439CB" w14:textId="77777777" w:rsidR="004B6FB2" w:rsidRPr="00267577" w:rsidRDefault="004B6FB2" w:rsidP="007E0A99">
            <w:pPr>
              <w:widowControl w:val="0"/>
              <w:spacing w:before="40" w:after="40"/>
              <w:ind w:left="57"/>
              <w:rPr>
                <w:sz w:val="20"/>
                <w:szCs w:val="20"/>
              </w:rPr>
            </w:pPr>
            <w:r w:rsidRPr="00267577">
              <w:rPr>
                <w:sz w:val="20"/>
                <w:szCs w:val="20"/>
              </w:rPr>
              <w:t>Proceso Electoral Local Ordinario 2023-2024.</w:t>
            </w:r>
          </w:p>
        </w:tc>
      </w:tr>
      <w:tr w:rsidR="004B6FB2" w:rsidRPr="00675C3F" w14:paraId="050E02AC" w14:textId="77777777" w:rsidTr="007E0A99">
        <w:trPr>
          <w:trHeight w:val="624"/>
          <w:jc w:val="center"/>
        </w:trPr>
        <w:tc>
          <w:tcPr>
            <w:tcW w:w="2042" w:type="pct"/>
            <w:shd w:val="clear" w:color="auto" w:fill="auto"/>
            <w:vAlign w:val="center"/>
          </w:tcPr>
          <w:p w14:paraId="1B4F4FD4" w14:textId="77777777" w:rsidR="004B6FB2" w:rsidRPr="00267577" w:rsidRDefault="004B6FB2" w:rsidP="007E0A99">
            <w:pPr>
              <w:widowControl w:val="0"/>
              <w:spacing w:before="40" w:after="40"/>
              <w:ind w:left="57"/>
              <w:jc w:val="right"/>
              <w:rPr>
                <w:b/>
                <w:sz w:val="20"/>
                <w:szCs w:val="20"/>
              </w:rPr>
            </w:pPr>
            <w:r w:rsidRPr="00267577">
              <w:rPr>
                <w:b/>
                <w:sz w:val="20"/>
                <w:szCs w:val="20"/>
              </w:rPr>
              <w:t>Reglamento de Elecciones:</w:t>
            </w:r>
          </w:p>
        </w:tc>
        <w:tc>
          <w:tcPr>
            <w:tcW w:w="2958" w:type="pct"/>
            <w:shd w:val="clear" w:color="auto" w:fill="auto"/>
            <w:vAlign w:val="center"/>
          </w:tcPr>
          <w:p w14:paraId="4CB634A2" w14:textId="77777777" w:rsidR="004B6FB2" w:rsidRPr="00267577" w:rsidRDefault="004B6FB2" w:rsidP="007E0A99">
            <w:pPr>
              <w:widowControl w:val="0"/>
              <w:spacing w:before="40" w:after="40"/>
              <w:ind w:left="57"/>
              <w:rPr>
                <w:sz w:val="20"/>
                <w:szCs w:val="20"/>
              </w:rPr>
            </w:pPr>
            <w:r w:rsidRPr="00267577">
              <w:rPr>
                <w:sz w:val="20"/>
                <w:szCs w:val="20"/>
              </w:rPr>
              <w:t>Reglamento de Elecciones del Instituto Nacional Electoral.</w:t>
            </w:r>
          </w:p>
        </w:tc>
      </w:tr>
      <w:tr w:rsidR="004B6FB2" w:rsidRPr="00675C3F" w14:paraId="33F42595" w14:textId="77777777" w:rsidTr="007E0A99">
        <w:trPr>
          <w:trHeight w:val="624"/>
          <w:jc w:val="center"/>
        </w:trPr>
        <w:tc>
          <w:tcPr>
            <w:tcW w:w="2042" w:type="pct"/>
            <w:shd w:val="clear" w:color="auto" w:fill="auto"/>
            <w:vAlign w:val="center"/>
          </w:tcPr>
          <w:p w14:paraId="05892F78" w14:textId="77777777" w:rsidR="004B6FB2" w:rsidRPr="00267577" w:rsidRDefault="004B6FB2" w:rsidP="007E0A99">
            <w:pPr>
              <w:widowControl w:val="0"/>
              <w:spacing w:before="40" w:after="40"/>
              <w:ind w:left="57"/>
              <w:jc w:val="right"/>
              <w:rPr>
                <w:b/>
                <w:sz w:val="20"/>
                <w:szCs w:val="20"/>
              </w:rPr>
            </w:pPr>
            <w:r w:rsidRPr="00267577">
              <w:rPr>
                <w:b/>
                <w:sz w:val="20"/>
                <w:szCs w:val="20"/>
              </w:rPr>
              <w:t>Sala Superior:</w:t>
            </w:r>
          </w:p>
        </w:tc>
        <w:tc>
          <w:tcPr>
            <w:tcW w:w="2958" w:type="pct"/>
            <w:shd w:val="clear" w:color="auto" w:fill="auto"/>
            <w:vAlign w:val="center"/>
          </w:tcPr>
          <w:p w14:paraId="7AEEBDCC" w14:textId="77777777" w:rsidR="004B6FB2" w:rsidRPr="00267577" w:rsidRDefault="004B6FB2" w:rsidP="007E0A99">
            <w:pPr>
              <w:widowControl w:val="0"/>
              <w:spacing w:before="40" w:after="40"/>
              <w:ind w:left="57"/>
              <w:rPr>
                <w:sz w:val="20"/>
                <w:szCs w:val="20"/>
              </w:rPr>
            </w:pPr>
            <w:r w:rsidRPr="00267577">
              <w:rPr>
                <w:sz w:val="20"/>
                <w:szCs w:val="20"/>
              </w:rPr>
              <w:t>Sala Superior del Tribunal Electoral del Poder Judicial de la Federación.</w:t>
            </w:r>
          </w:p>
        </w:tc>
      </w:tr>
      <w:tr w:rsidR="004B6FB2" w:rsidRPr="00675C3F" w14:paraId="7D0C733F" w14:textId="77777777" w:rsidTr="007E0A99">
        <w:trPr>
          <w:trHeight w:val="624"/>
          <w:jc w:val="center"/>
        </w:trPr>
        <w:tc>
          <w:tcPr>
            <w:tcW w:w="2042" w:type="pct"/>
            <w:shd w:val="clear" w:color="auto" w:fill="auto"/>
            <w:vAlign w:val="center"/>
          </w:tcPr>
          <w:p w14:paraId="3852A351" w14:textId="77777777" w:rsidR="004B6FB2" w:rsidRPr="00267577" w:rsidRDefault="004B6FB2" w:rsidP="007E0A99">
            <w:pPr>
              <w:widowControl w:val="0"/>
              <w:spacing w:before="40" w:after="40"/>
              <w:ind w:left="57"/>
              <w:jc w:val="right"/>
              <w:rPr>
                <w:b/>
                <w:sz w:val="20"/>
                <w:szCs w:val="20"/>
              </w:rPr>
            </w:pPr>
            <w:r w:rsidRPr="00267577">
              <w:rPr>
                <w:b/>
                <w:sz w:val="20"/>
                <w:szCs w:val="20"/>
              </w:rPr>
              <w:t>Secretaría Ejecutiva:</w:t>
            </w:r>
          </w:p>
        </w:tc>
        <w:tc>
          <w:tcPr>
            <w:tcW w:w="2958" w:type="pct"/>
            <w:shd w:val="clear" w:color="auto" w:fill="auto"/>
            <w:vAlign w:val="center"/>
          </w:tcPr>
          <w:p w14:paraId="55501A44" w14:textId="77777777" w:rsidR="004B6FB2" w:rsidRPr="00267577" w:rsidRDefault="004B6FB2" w:rsidP="007E0A99">
            <w:pPr>
              <w:widowControl w:val="0"/>
              <w:spacing w:before="40" w:after="40"/>
              <w:ind w:left="57"/>
              <w:rPr>
                <w:sz w:val="20"/>
                <w:szCs w:val="20"/>
              </w:rPr>
            </w:pPr>
            <w:r w:rsidRPr="00267577">
              <w:rPr>
                <w:sz w:val="20"/>
                <w:szCs w:val="20"/>
              </w:rPr>
              <w:t>Secretaría Ejecutiva del Instituto Electoral y de Participación Ciudadana de Tabasco.</w:t>
            </w:r>
          </w:p>
        </w:tc>
      </w:tr>
      <w:tr w:rsidR="00FE532F" w:rsidRPr="00675C3F" w14:paraId="027A6BDD" w14:textId="77777777" w:rsidTr="007E0A99">
        <w:trPr>
          <w:trHeight w:val="624"/>
          <w:jc w:val="center"/>
        </w:trPr>
        <w:tc>
          <w:tcPr>
            <w:tcW w:w="2042" w:type="pct"/>
            <w:shd w:val="clear" w:color="auto" w:fill="auto"/>
            <w:vAlign w:val="center"/>
          </w:tcPr>
          <w:p w14:paraId="06AB72ED" w14:textId="40146E21" w:rsidR="00FE532F" w:rsidRPr="00267577" w:rsidRDefault="00FE532F" w:rsidP="007E0A99">
            <w:pPr>
              <w:widowControl w:val="0"/>
              <w:spacing w:before="40" w:after="40"/>
              <w:ind w:left="57"/>
              <w:jc w:val="right"/>
              <w:rPr>
                <w:b/>
                <w:sz w:val="20"/>
                <w:szCs w:val="20"/>
              </w:rPr>
            </w:pPr>
            <w:r w:rsidRPr="00267577">
              <w:rPr>
                <w:b/>
                <w:sz w:val="20"/>
                <w:szCs w:val="20"/>
              </w:rPr>
              <w:t>Tribunal Local:</w:t>
            </w:r>
          </w:p>
        </w:tc>
        <w:tc>
          <w:tcPr>
            <w:tcW w:w="2958" w:type="pct"/>
            <w:shd w:val="clear" w:color="auto" w:fill="auto"/>
            <w:vAlign w:val="center"/>
          </w:tcPr>
          <w:p w14:paraId="7A64A77D" w14:textId="40140277" w:rsidR="00FE532F" w:rsidRPr="00267577" w:rsidRDefault="00FE532F" w:rsidP="00FE532F">
            <w:pPr>
              <w:widowControl w:val="0"/>
              <w:spacing w:before="40" w:after="40"/>
              <w:ind w:left="57"/>
              <w:rPr>
                <w:sz w:val="20"/>
                <w:szCs w:val="20"/>
              </w:rPr>
            </w:pPr>
            <w:r w:rsidRPr="00267577">
              <w:rPr>
                <w:sz w:val="20"/>
                <w:szCs w:val="20"/>
              </w:rPr>
              <w:t>Tribunal Electoral de Tabasco.</w:t>
            </w:r>
          </w:p>
        </w:tc>
      </w:tr>
    </w:tbl>
    <w:p w14:paraId="61AE4234" w14:textId="77777777" w:rsidR="004B6FB2" w:rsidRPr="00267577" w:rsidRDefault="004B6FB2" w:rsidP="004B6FB2">
      <w:pPr>
        <w:pStyle w:val="Ttulo2"/>
        <w:rPr>
          <w:sz w:val="23"/>
        </w:rPr>
      </w:pPr>
      <w:r w:rsidRPr="00267577">
        <w:rPr>
          <w:sz w:val="23"/>
        </w:rPr>
        <w:t>Homologación de plazos y fechas en los Procesos Electorales Locales Concurrentes</w:t>
      </w:r>
    </w:p>
    <w:p w14:paraId="752EAAB7" w14:textId="77777777" w:rsidR="004B6FB2" w:rsidRPr="00267577" w:rsidRDefault="004B6FB2" w:rsidP="004B6FB2">
      <w:r w:rsidRPr="00267577">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1A5828EA" w14:textId="77777777" w:rsidR="004B6FB2" w:rsidRPr="00267577" w:rsidRDefault="004B6FB2" w:rsidP="004B6FB2">
      <w:pPr>
        <w:pStyle w:val="Ttulo2"/>
        <w:rPr>
          <w:sz w:val="23"/>
        </w:rPr>
      </w:pPr>
      <w:r w:rsidRPr="00267577">
        <w:rPr>
          <w:sz w:val="23"/>
        </w:rPr>
        <w:t xml:space="preserve">Plan Integral y Calendario de Coordinación </w:t>
      </w:r>
    </w:p>
    <w:p w14:paraId="43266B5B" w14:textId="77777777" w:rsidR="004B6FB2" w:rsidRPr="00267577" w:rsidRDefault="004B6FB2" w:rsidP="004B6FB2">
      <w:r w:rsidRPr="00267577">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33F14D70" w14:textId="77777777" w:rsidR="004B6FB2" w:rsidRPr="00267577" w:rsidRDefault="004B6FB2" w:rsidP="004B6FB2">
      <w:pPr>
        <w:pStyle w:val="Ttulo2"/>
        <w:rPr>
          <w:sz w:val="23"/>
        </w:rPr>
      </w:pPr>
      <w:r w:rsidRPr="00267577">
        <w:rPr>
          <w:sz w:val="23"/>
        </w:rPr>
        <w:t>Lineamientos para la verificación</w:t>
      </w:r>
    </w:p>
    <w:p w14:paraId="4B349130" w14:textId="77777777" w:rsidR="004B6FB2" w:rsidRPr="00267577" w:rsidRDefault="004B6FB2" w:rsidP="004B6FB2">
      <w:r w:rsidRPr="00267577">
        <w:t>El 25 de agosto de 2023, el Consejo General del INE emitió el acuerdo INE/CG494/2023 por el que se aprobaron los Lineamientos para la verificación del cumplimiento del porcentaje de apoyo de la ciudadanía inscrita en la lista nominal de electores que se requiere para el registro de las candidaturas independientes en el Proceso Electoral Local 2023 – 2024 mediante el uso de la aplicación móvil “Apoyo Ciudadano-INE”.</w:t>
      </w:r>
    </w:p>
    <w:p w14:paraId="3AB2AD90" w14:textId="77777777" w:rsidR="004B6FB2" w:rsidRPr="00267577" w:rsidRDefault="004B6FB2" w:rsidP="004B6FB2">
      <w:pPr>
        <w:pStyle w:val="Ttulo2"/>
        <w:rPr>
          <w:sz w:val="23"/>
        </w:rPr>
      </w:pPr>
      <w:r w:rsidRPr="00267577">
        <w:rPr>
          <w:sz w:val="23"/>
        </w:rPr>
        <w:t>Lineamientos para candidaturas independientes</w:t>
      </w:r>
    </w:p>
    <w:p w14:paraId="73B93FF5" w14:textId="77777777" w:rsidR="004B6FB2" w:rsidRPr="00267577" w:rsidRDefault="004B6FB2" w:rsidP="004B6FB2">
      <w:pPr>
        <w:spacing w:line="300" w:lineRule="auto"/>
      </w:pPr>
      <w:r w:rsidRPr="00267577">
        <w:t>El 29 de septiembre de 2023, el Consejo Estatal mediante acuerdo CE/2023/022 aprobó los Lineamientos que tienen como propósito establecer las reglas, criterios y procedimientos a los que deberán ajustarse las personas que pretendan postularse bajo las modalidades de candidaturas independientes.</w:t>
      </w:r>
    </w:p>
    <w:p w14:paraId="24D78142" w14:textId="77777777" w:rsidR="004B6FB2" w:rsidRPr="00267577" w:rsidRDefault="004B6FB2" w:rsidP="004B6FB2">
      <w:pPr>
        <w:pStyle w:val="Ttulo2"/>
        <w:rPr>
          <w:sz w:val="23"/>
        </w:rPr>
      </w:pPr>
      <w:r w:rsidRPr="00267577">
        <w:rPr>
          <w:sz w:val="23"/>
        </w:rPr>
        <w:t>Inicio del Proceso Electoral</w:t>
      </w:r>
    </w:p>
    <w:p w14:paraId="7A868023" w14:textId="77777777" w:rsidR="004B6FB2" w:rsidRPr="00267577" w:rsidRDefault="004B6FB2" w:rsidP="004B6FB2">
      <w:r w:rsidRPr="00267577">
        <w:t>El 6 de octubre de la presente anualidad, el Consejo Estatal de conformidad con el artículo 111 de la Ley Electoral declaró el inicio del Proceso Electoral por el que se renovarán los cargos relativos a la Gubernatura del Estado, Diputaciones Locales, Presidencias Municipales y Regidurías.</w:t>
      </w:r>
    </w:p>
    <w:p w14:paraId="14EEC3A4" w14:textId="77777777" w:rsidR="004B6FB2" w:rsidRPr="00267577" w:rsidRDefault="004B6FB2" w:rsidP="004B6FB2">
      <w:pPr>
        <w:pStyle w:val="Ttulo2"/>
        <w:rPr>
          <w:sz w:val="23"/>
        </w:rPr>
      </w:pPr>
      <w:r w:rsidRPr="00267577">
        <w:rPr>
          <w:sz w:val="23"/>
        </w:rPr>
        <w:t>Período de obtención del apoyo de la ciudadanía</w:t>
      </w:r>
    </w:p>
    <w:p w14:paraId="26D4270C" w14:textId="77777777" w:rsidR="004B6FB2" w:rsidRPr="00267577" w:rsidRDefault="004B6FB2" w:rsidP="004B6FB2">
      <w:pPr>
        <w:rPr>
          <w:b/>
          <w:bCs/>
        </w:rPr>
      </w:pPr>
      <w:r w:rsidRPr="00267577">
        <w:rPr>
          <w:bCs/>
        </w:rPr>
        <w:t xml:space="preserve">En ejercicio de la facultad de atracción, el 20 de julio de 2023, </w:t>
      </w:r>
      <w:r w:rsidRPr="00267577">
        <w:t xml:space="preserve">el Consejo General del INE aprobó el acuerdo INE/CG446/2023 relativo al Plan Integral y los calendarios de coordinación de los Procesos Electorales Locales concurrentes con el Federal 2023 – 2024, por lo que, homologó los plazos para la obtención del apoyo de la ciudadanía; y en consecuencia el Consejo Estatal aprobó el acuerdo CE/2023/021 relativo al calendario electoral del propio Instituto, estableciendo que, el período para que las personas aspirantes a una candidatura independiente a la Gubernatura del Estado obtengan el apoyo de la ciudadanía, </w:t>
      </w:r>
      <w:r w:rsidRPr="00267577">
        <w:rPr>
          <w:b/>
        </w:rPr>
        <w:t>iniciaría el 15 de noviembre de 2023 y concluiría el 3 de enero de 2024.</w:t>
      </w:r>
    </w:p>
    <w:p w14:paraId="33EAC13D" w14:textId="77777777" w:rsidR="004B6FB2" w:rsidRPr="00267577" w:rsidRDefault="004B6FB2" w:rsidP="004B6FB2">
      <w:pPr>
        <w:pStyle w:val="Ttulo2"/>
        <w:rPr>
          <w:sz w:val="23"/>
        </w:rPr>
      </w:pPr>
      <w:r w:rsidRPr="00267577">
        <w:rPr>
          <w:sz w:val="23"/>
        </w:rPr>
        <w:t>Convocatoria para la renovación del Poder Ejecutivo, Legislativo y los Ayuntamientos</w:t>
      </w:r>
    </w:p>
    <w:p w14:paraId="50041EBF" w14:textId="77777777" w:rsidR="004B6FB2" w:rsidRPr="00267577" w:rsidRDefault="004B6FB2" w:rsidP="004B6FB2">
      <w:r w:rsidRPr="00267577">
        <w:t>El 20 de octubre de 2023, mediante acuerdo CE/2023/035, el Consejo Estatal expidió la convocatoria para renovar a las y los integrantes de los Poderes Ejecutivo, Legislativo y los Ayuntamientos del Estado, con motivo del Proceso Electoral.</w:t>
      </w:r>
    </w:p>
    <w:p w14:paraId="491C5A35" w14:textId="77777777" w:rsidR="004B6FB2" w:rsidRPr="00267577" w:rsidRDefault="004B6FB2" w:rsidP="004B6FB2">
      <w:pPr>
        <w:pStyle w:val="Ttulo2"/>
        <w:rPr>
          <w:sz w:val="23"/>
        </w:rPr>
      </w:pPr>
      <w:r w:rsidRPr="00267577">
        <w:rPr>
          <w:sz w:val="23"/>
        </w:rPr>
        <w:t>Jornada Electoral</w:t>
      </w:r>
    </w:p>
    <w:p w14:paraId="5FBD6E68" w14:textId="77777777" w:rsidR="004B6FB2" w:rsidRPr="00267577" w:rsidRDefault="004B6FB2" w:rsidP="004B6FB2">
      <w:r w:rsidRPr="00267577">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72F60553" w14:textId="77777777" w:rsidR="004B6FB2" w:rsidRPr="00267577" w:rsidRDefault="004B6FB2" w:rsidP="004B6FB2">
      <w:pPr>
        <w:pStyle w:val="Ttulo1"/>
        <w:rPr>
          <w:sz w:val="23"/>
        </w:rPr>
      </w:pPr>
      <w:r w:rsidRPr="00267577">
        <w:rPr>
          <w:sz w:val="23"/>
        </w:rPr>
        <w:t>Considerando</w:t>
      </w:r>
    </w:p>
    <w:p w14:paraId="63373E6E" w14:textId="77777777" w:rsidR="004B6FB2" w:rsidRPr="00267577" w:rsidRDefault="004B6FB2" w:rsidP="004B6FB2">
      <w:pPr>
        <w:pStyle w:val="Ttulo2"/>
        <w:rPr>
          <w:sz w:val="23"/>
        </w:rPr>
      </w:pPr>
      <w:r w:rsidRPr="00267577">
        <w:rPr>
          <w:sz w:val="23"/>
        </w:rPr>
        <w:t xml:space="preserve">Fines del Instituto </w:t>
      </w:r>
    </w:p>
    <w:p w14:paraId="5962F6C6" w14:textId="77777777" w:rsidR="004B6FB2" w:rsidRPr="00267577" w:rsidRDefault="004B6FB2" w:rsidP="004B6FB2">
      <w:r w:rsidRPr="00267577">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44A1EA96" w14:textId="77777777" w:rsidR="004B6FB2" w:rsidRPr="00267577" w:rsidRDefault="004B6FB2" w:rsidP="004B6FB2">
      <w:r w:rsidRPr="00267577">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12B16279" w14:textId="77777777" w:rsidR="004B6FB2" w:rsidRPr="00267577" w:rsidRDefault="004B6FB2" w:rsidP="004B6FB2">
      <w:pPr>
        <w:pStyle w:val="Ttulo2"/>
        <w:rPr>
          <w:sz w:val="23"/>
        </w:rPr>
      </w:pPr>
      <w:r w:rsidRPr="00267577">
        <w:rPr>
          <w:sz w:val="23"/>
        </w:rPr>
        <w:t xml:space="preserve">Órgano Superior de Dirección del Instituto </w:t>
      </w:r>
    </w:p>
    <w:p w14:paraId="3A1B779A" w14:textId="77777777" w:rsidR="004B6FB2" w:rsidRPr="00267577" w:rsidRDefault="004B6FB2" w:rsidP="004B6FB2">
      <w:r w:rsidRPr="00267577">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14:paraId="4AC818E6" w14:textId="77777777" w:rsidR="004B6FB2" w:rsidRPr="00267577" w:rsidRDefault="004B6FB2" w:rsidP="004B6FB2">
      <w:pPr>
        <w:pStyle w:val="Ttulo2"/>
        <w:rPr>
          <w:sz w:val="23"/>
        </w:rPr>
      </w:pPr>
      <w:r w:rsidRPr="00267577">
        <w:rPr>
          <w:sz w:val="23"/>
        </w:rPr>
        <w:t>Integración del Órgano de Dirección Superior</w:t>
      </w:r>
    </w:p>
    <w:p w14:paraId="7970141B" w14:textId="77777777" w:rsidR="004B6FB2" w:rsidRPr="00267577" w:rsidRDefault="004B6FB2" w:rsidP="004B6FB2">
      <w:r w:rsidRPr="00267577">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5BC046DE" w14:textId="77777777" w:rsidR="004B6FB2" w:rsidRPr="00267577" w:rsidRDefault="004B6FB2" w:rsidP="004B6FB2">
      <w:pPr>
        <w:pStyle w:val="Ttulo2"/>
        <w:rPr>
          <w:sz w:val="23"/>
        </w:rPr>
      </w:pPr>
      <w:r w:rsidRPr="00267577">
        <w:rPr>
          <w:sz w:val="23"/>
        </w:rPr>
        <w:t xml:space="preserve">Competencia del Consejo Estatal </w:t>
      </w:r>
    </w:p>
    <w:p w14:paraId="3A1582F4" w14:textId="77777777" w:rsidR="008C15FD" w:rsidRPr="00267577" w:rsidRDefault="008C15FD" w:rsidP="008C15FD">
      <w:r w:rsidRPr="00267577">
        <w:t>Que, de conformidad con el artículo 115 numeral 1 fracciones XII y XV de la Ley Electoral, el Consejo Estatal es competente para orientar a las ciudadanas y ciudadanos en la entidad para el ejercicio de sus derechos y cumplimiento de sus obligaciones político-electorales y llevar a cabo las actividades necesarias para la preparación de la jornada electoral; asimismo, en términos del artículo 288 numeral 3 del ordenamiento señalado, es competente para realizar ajustes a los plazos establecidos para garantizar los actos tendentes a recabar el apoyo de la ciudadanía.</w:t>
      </w:r>
    </w:p>
    <w:p w14:paraId="0E96FF71" w14:textId="77777777" w:rsidR="004B6FB2" w:rsidRPr="00267577" w:rsidRDefault="004B6FB2" w:rsidP="004B6FB2">
      <w:r w:rsidRPr="00267577">
        <w:t>Acorde a lo anterior, el artículo 115, numeral 2 de la Ley Electoral,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51D254D0" w14:textId="77777777" w:rsidR="004B6FB2" w:rsidRPr="00267577" w:rsidRDefault="004B6FB2" w:rsidP="004B6FB2">
      <w:pPr>
        <w:pStyle w:val="Ttulo2"/>
        <w:rPr>
          <w:sz w:val="23"/>
        </w:rPr>
      </w:pPr>
      <w:r w:rsidRPr="00267577">
        <w:rPr>
          <w:sz w:val="23"/>
        </w:rPr>
        <w:t>Derecho de la ciudadanía a postularse de manera independiente a cargos de elección popular</w:t>
      </w:r>
    </w:p>
    <w:p w14:paraId="0D0C8356" w14:textId="77777777" w:rsidR="004B6FB2" w:rsidRPr="00267577" w:rsidRDefault="004B6FB2" w:rsidP="004B6FB2">
      <w:r w:rsidRPr="00267577">
        <w:t>Que, de conformidad con los artículos 35 fracción II de la Constitución Federal, 7 fracción I y 9 apartado “A” fracción II de la Constitución local, es un derecho de la ciudadanía votar en las elecciones populares y solicitar por sí misma su registro como candidatas o candidatos de manera independiente a cargos de elección popular por el principio de mayoría relativa. cumpliendo con los requisitos, condiciones y términos que determine la legislación</w:t>
      </w:r>
    </w:p>
    <w:p w14:paraId="34173091" w14:textId="77777777" w:rsidR="004B6FB2" w:rsidRPr="00267577" w:rsidRDefault="004B6FB2" w:rsidP="004B6FB2">
      <w:r w:rsidRPr="00267577">
        <w:t>Además, en términos del artículo 116 fracción IV, incisos k) y p) de la Constitución Federal y 9 apartado “A” fracción III de la Constitución local, conforme a las bases establecidas en la propia Constitución y las leyes generales en la materia, las Constituciones y leyes de los estados en materia electoral garantizarán que se regule el régimen aplicable a la postulación, registro, derechos y obligaciones de las personas candidatas independientes, garantizando su derecho al financiamiento público y al acceso a la radio y la televisión, fijando las bases y requisitos para que en las elecciones la ciudadanía solicite su registro como candidatas o candidatos para poder ser votados en forma independiente a todos los cargos de elección popular, en los términos del artículo 35 de la Constitución Federal.</w:t>
      </w:r>
    </w:p>
    <w:p w14:paraId="78AEF899" w14:textId="77777777" w:rsidR="004B6FB2" w:rsidRPr="00267577" w:rsidRDefault="004B6FB2" w:rsidP="004B6FB2">
      <w:pPr>
        <w:pStyle w:val="Ttulo2"/>
        <w:rPr>
          <w:sz w:val="23"/>
        </w:rPr>
      </w:pPr>
      <w:r w:rsidRPr="00267577">
        <w:rPr>
          <w:sz w:val="23"/>
        </w:rPr>
        <w:t>Regulación de las candidaturas independientes</w:t>
      </w:r>
    </w:p>
    <w:p w14:paraId="6B84022F" w14:textId="77777777" w:rsidR="004B6FB2" w:rsidRPr="00267577" w:rsidRDefault="004B6FB2" w:rsidP="004B6FB2">
      <w:r w:rsidRPr="00267577">
        <w:t>Que, el artículo 280, numeral 4 de la Ley Electoral establece que, el derecho de la ciudadanía de solicitar su registro para cargos de elección popular de manera independiente a los partidos políticos se sujetará a los requisitos, condiciones y términos establecidos en la Constitución Federal, la Constitución local, la Ley General y en la propia Ley.</w:t>
      </w:r>
    </w:p>
    <w:p w14:paraId="4254C7F9" w14:textId="77777777" w:rsidR="004B6FB2" w:rsidRPr="00267577" w:rsidRDefault="004B6FB2" w:rsidP="004B6FB2">
      <w:pPr>
        <w:pStyle w:val="Ttulo2"/>
        <w:rPr>
          <w:sz w:val="23"/>
        </w:rPr>
      </w:pPr>
      <w:r w:rsidRPr="00267577">
        <w:rPr>
          <w:sz w:val="23"/>
        </w:rPr>
        <w:t>Registro individual de candidaturas independientes</w:t>
      </w:r>
    </w:p>
    <w:p w14:paraId="498881E2" w14:textId="77777777" w:rsidR="004B6FB2" w:rsidRPr="00267577" w:rsidRDefault="004B6FB2" w:rsidP="004B6FB2">
      <w:r w:rsidRPr="00267577">
        <w:t>Que, de conformidad con el artículo 281, numeral 1 de la Ley Electoral, sólo se registrará una candidatura independiente para cada cargo de elección popular por el principio de mayoría relativa. El registro será individual, por fórmula o planilla, según corresponda.</w:t>
      </w:r>
    </w:p>
    <w:p w14:paraId="14EBA08F" w14:textId="77777777" w:rsidR="004B6FB2" w:rsidRPr="00267577" w:rsidRDefault="004B6FB2" w:rsidP="004B6FB2">
      <w:r w:rsidRPr="00267577">
        <w:t>De existir más de una persona aspirante, fórmula o planilla a un mismo cargo de elección popular, será registrada la que obtenga el mayor número de respaldos de la ciudadanía, en cantidad superior al porcentaje señalado para cada cargo, de acuerdo con lo que establece el numeral 2 del artículo en cita.</w:t>
      </w:r>
    </w:p>
    <w:p w14:paraId="2E7B3F2E" w14:textId="77777777" w:rsidR="004B6FB2" w:rsidRPr="00267577" w:rsidRDefault="004B6FB2" w:rsidP="004B6FB2">
      <w:r w:rsidRPr="00267577">
        <w:t>Asimismo, como lo establece el numeral 3 del artículo 281 de la Ley Electoral, las candidaturas independientes tendrán los mismos derechos y obligaciones que las postuladas por partidos políticos, con las particularidades y salvedades que la Ley Electoral establece.</w:t>
      </w:r>
    </w:p>
    <w:p w14:paraId="49338826" w14:textId="77777777" w:rsidR="004B6FB2" w:rsidRPr="00267577" w:rsidRDefault="004B6FB2" w:rsidP="004B6FB2">
      <w:pPr>
        <w:pStyle w:val="Ttulo2"/>
        <w:rPr>
          <w:sz w:val="23"/>
        </w:rPr>
      </w:pPr>
      <w:r w:rsidRPr="00267577">
        <w:rPr>
          <w:sz w:val="23"/>
        </w:rPr>
        <w:t>Requisitos para participar y registrarse en candidaturas independientes</w:t>
      </w:r>
    </w:p>
    <w:p w14:paraId="58FAFBBC" w14:textId="77777777" w:rsidR="004B6FB2" w:rsidRPr="00267577" w:rsidRDefault="004B6FB2" w:rsidP="004B6FB2">
      <w:r w:rsidRPr="00267577">
        <w:t xml:space="preserve">Que, el artículo 282 numeral 1 de la Ley Electoral dispone que, la ciudadanía que cumpla con los requisitos, condiciones y términos de ley tendrá derecho a participar y, en su caso, a ser registrada en las candidaturas independientes para ocupar los siguientes cargos de elección popular: </w:t>
      </w:r>
    </w:p>
    <w:p w14:paraId="2F9844A6" w14:textId="77777777" w:rsidR="004B6FB2" w:rsidRPr="00267577" w:rsidRDefault="004B6FB2" w:rsidP="004B6FB2">
      <w:pPr>
        <w:pStyle w:val="Prrafodelista"/>
        <w:numPr>
          <w:ilvl w:val="0"/>
          <w:numId w:val="4"/>
        </w:numPr>
        <w:spacing w:before="0" w:after="0"/>
        <w:ind w:left="1077"/>
        <w:contextualSpacing w:val="0"/>
      </w:pPr>
      <w:r w:rsidRPr="00267577">
        <w:t>Gobernador del Estado de Tabasco, y</w:t>
      </w:r>
    </w:p>
    <w:p w14:paraId="7F8E569D" w14:textId="77777777" w:rsidR="004B6FB2" w:rsidRPr="00267577" w:rsidRDefault="004B6FB2" w:rsidP="004B6FB2">
      <w:pPr>
        <w:pStyle w:val="Prrafodelista"/>
        <w:numPr>
          <w:ilvl w:val="0"/>
          <w:numId w:val="4"/>
        </w:numPr>
        <w:spacing w:before="0" w:after="0"/>
        <w:ind w:left="1077"/>
        <w:contextualSpacing w:val="0"/>
      </w:pPr>
      <w:r w:rsidRPr="00267577">
        <w:t>Diputados y regidores por el principio de mayoría relativa.</w:t>
      </w:r>
    </w:p>
    <w:p w14:paraId="129DBBBA" w14:textId="77777777" w:rsidR="004B6FB2" w:rsidRPr="00267577" w:rsidRDefault="004B6FB2" w:rsidP="004B6FB2">
      <w:pPr>
        <w:pStyle w:val="Ttulo2"/>
        <w:rPr>
          <w:sz w:val="23"/>
        </w:rPr>
      </w:pPr>
      <w:r w:rsidRPr="00267577">
        <w:rPr>
          <w:sz w:val="23"/>
        </w:rPr>
        <w:t>Proceso de selección de candidaturas independientes</w:t>
      </w:r>
    </w:p>
    <w:p w14:paraId="48377742" w14:textId="77777777" w:rsidR="004B6FB2" w:rsidRPr="00267577" w:rsidRDefault="004B6FB2" w:rsidP="004B6FB2">
      <w:r w:rsidRPr="00267577">
        <w:t xml:space="preserve">Que, en términos del artículo 285 numeral 1 de la Ley Electoral el proceso de selección de candidaturas independientes comprende las etapas siguientes: </w:t>
      </w:r>
    </w:p>
    <w:p w14:paraId="12E6EAA8" w14:textId="77777777" w:rsidR="004B6FB2" w:rsidRPr="00267577" w:rsidRDefault="004B6FB2" w:rsidP="004B6FB2">
      <w:pPr>
        <w:pStyle w:val="Prrafodelista"/>
        <w:numPr>
          <w:ilvl w:val="0"/>
          <w:numId w:val="5"/>
        </w:numPr>
        <w:spacing w:before="0" w:after="0"/>
        <w:ind w:left="1077"/>
        <w:contextualSpacing w:val="0"/>
      </w:pPr>
      <w:r w:rsidRPr="00267577">
        <w:t>De la convocatoria;</w:t>
      </w:r>
    </w:p>
    <w:p w14:paraId="3FC4F40A" w14:textId="77777777" w:rsidR="004B6FB2" w:rsidRPr="00267577" w:rsidRDefault="004B6FB2" w:rsidP="004B6FB2">
      <w:pPr>
        <w:pStyle w:val="Prrafodelista"/>
        <w:numPr>
          <w:ilvl w:val="0"/>
          <w:numId w:val="5"/>
        </w:numPr>
        <w:spacing w:before="0" w:after="0"/>
        <w:ind w:left="1077"/>
        <w:contextualSpacing w:val="0"/>
      </w:pPr>
      <w:r w:rsidRPr="00267577">
        <w:t>De los actos previos al registro de candidaturas independientes;</w:t>
      </w:r>
    </w:p>
    <w:p w14:paraId="01D308A4" w14:textId="77777777" w:rsidR="004B6FB2" w:rsidRPr="00267577" w:rsidRDefault="004B6FB2" w:rsidP="004B6FB2">
      <w:pPr>
        <w:pStyle w:val="Prrafodelista"/>
        <w:numPr>
          <w:ilvl w:val="0"/>
          <w:numId w:val="5"/>
        </w:numPr>
        <w:spacing w:before="0" w:after="0"/>
        <w:ind w:left="1077"/>
        <w:contextualSpacing w:val="0"/>
      </w:pPr>
      <w:r w:rsidRPr="00267577">
        <w:t>De la obtención del apoyo de la ciudadanía, y</w:t>
      </w:r>
    </w:p>
    <w:p w14:paraId="17FF295D" w14:textId="77777777" w:rsidR="004B6FB2" w:rsidRPr="00267577" w:rsidRDefault="004B6FB2" w:rsidP="004B6FB2">
      <w:pPr>
        <w:pStyle w:val="Prrafodelista"/>
        <w:numPr>
          <w:ilvl w:val="0"/>
          <w:numId w:val="5"/>
        </w:numPr>
        <w:spacing w:before="0" w:after="0"/>
        <w:ind w:left="1077"/>
        <w:contextualSpacing w:val="0"/>
      </w:pPr>
      <w:r w:rsidRPr="00267577">
        <w:t>Del registro de candidaturas independientes.</w:t>
      </w:r>
    </w:p>
    <w:p w14:paraId="32E28797" w14:textId="77777777" w:rsidR="004B6FB2" w:rsidRPr="00267577" w:rsidRDefault="004B6FB2" w:rsidP="004B6FB2">
      <w:pPr>
        <w:pStyle w:val="Ttulo2"/>
        <w:rPr>
          <w:sz w:val="23"/>
        </w:rPr>
      </w:pPr>
      <w:r w:rsidRPr="00267577">
        <w:rPr>
          <w:sz w:val="23"/>
        </w:rPr>
        <w:t>Convocatoria al proceso de selección de candidaturas independientes</w:t>
      </w:r>
    </w:p>
    <w:p w14:paraId="37787C2E" w14:textId="77777777" w:rsidR="004B6FB2" w:rsidRPr="00267577" w:rsidRDefault="004B6FB2" w:rsidP="004B6FB2">
      <w:r w:rsidRPr="00267577">
        <w:t>Que, de acuerdo con el artículo 286 numerales 1 y 2 de la Ley Electoral, el apartado de la Convocatoria para las elecciones ordinarias, relativo a la ciudadanía interesada en postularse en las candidaturas independientes, deberá señalar los cargos de elección popular a los que pueden aspirar, los requisitos que deben cumplir, la documentación comprobatoria requerida, la fecha de inicio del plazo para recabar el apoyo de la ciudadanía correspondiente, los topes de gastos que pueden erogar y los formatos para ello, siendo obligación del Instituto, dar amplia difusión a su contenido.</w:t>
      </w:r>
    </w:p>
    <w:p w14:paraId="2440BFC3" w14:textId="77777777" w:rsidR="004B6FB2" w:rsidRPr="00267577" w:rsidRDefault="004B6FB2" w:rsidP="004B6FB2">
      <w:pPr>
        <w:pStyle w:val="Ttulo2"/>
        <w:rPr>
          <w:sz w:val="23"/>
        </w:rPr>
      </w:pPr>
      <w:r w:rsidRPr="00267577">
        <w:rPr>
          <w:sz w:val="23"/>
        </w:rPr>
        <w:t>Actos previos al registro de candidaturas independientes</w:t>
      </w:r>
    </w:p>
    <w:p w14:paraId="63096784" w14:textId="77777777" w:rsidR="004B6FB2" w:rsidRPr="00267577" w:rsidRDefault="004B6FB2" w:rsidP="004B6FB2">
      <w:r w:rsidRPr="00267577">
        <w:t>Que, el artículo 287 numerales 1 y 2 de la Ley Electoral dispone que, la ciudadanía que pretenda postular su candidatura independiente a un cargo de elección popular del orden local deberá informarlo al Instituto por escrito en el formato que éste determine.  En todo caso, la manifestación de la intención para postular una candidatura independiente a la Gubernatura, diputaciones y regidurías se realizará a partir del día siguiente al en que se emita la Convocatoria y hasta la fecha señalada como inicio del periodo para recabar el apoyo de la ciudadanía, ante la persona titular de la Secretaría Ejecutiva.</w:t>
      </w:r>
    </w:p>
    <w:p w14:paraId="7AD51E52" w14:textId="77777777" w:rsidR="004B6FB2" w:rsidRPr="00267577" w:rsidRDefault="004B6FB2" w:rsidP="004B6FB2">
      <w:r w:rsidRPr="00267577">
        <w:t>Además, conforme al numeral 3 del artículo en cita, una vez hecha la comunicación que antecede y recibida la constancia respectiva, las y los ciudadanos adquirirán la calidad de aspirantes. Dicha constancia se entregará a todas las personas aspirantes que hayan cumplido los requisitos de ley, dentro de los dos días anteriores al señalado como inicio del periodo para recabar el apoyo de la ciudadanía.</w:t>
      </w:r>
    </w:p>
    <w:p w14:paraId="5CF93B27" w14:textId="77777777" w:rsidR="004B6FB2" w:rsidRPr="00267577" w:rsidRDefault="004B6FB2" w:rsidP="004B6FB2">
      <w:pPr>
        <w:pStyle w:val="Ttulo2"/>
        <w:rPr>
          <w:sz w:val="23"/>
        </w:rPr>
      </w:pPr>
      <w:r w:rsidRPr="00267577">
        <w:rPr>
          <w:sz w:val="23"/>
        </w:rPr>
        <w:t>Requisitos adjuntos a la manifestación de intención</w:t>
      </w:r>
    </w:p>
    <w:p w14:paraId="605F41AD" w14:textId="77777777" w:rsidR="004B6FB2" w:rsidRPr="00267577" w:rsidRDefault="004B6FB2" w:rsidP="004B6FB2">
      <w:r w:rsidRPr="00267577">
        <w:t>Que, el artículo 287 de la Ley Electoral, pero en sus numerales 4, 5 y 6, señalan que, con la manifestación de intención, la persona aspirante a una candidatura independiente deberá presentar la documentación que acredite la creación de una persona jurídico-colectiva constituida en asociación civil, la cual deberá tener el mismo tratamiento que un partido político en el régimen fiscal.</w:t>
      </w:r>
    </w:p>
    <w:p w14:paraId="41676303" w14:textId="77777777" w:rsidR="004B6FB2" w:rsidRPr="00267577" w:rsidRDefault="004B6FB2" w:rsidP="004B6FB2">
      <w:r w:rsidRPr="00267577">
        <w:t>En ese tenor, el Instituto Estatal establecerá el modelo único de estatutos de la asociación civil. De la misma manera, la persona solicitante deberá acreditar su alta ante el Sistema de Administración Tributaria y anexar los datos de las cuentas bancarias abiertas a nombre de la persona jurídico-colectiva para recibir el financiamiento público y privado correspondiente, conforme a los lineamientos, reglas y criterios que establezca el INE.</w:t>
      </w:r>
    </w:p>
    <w:p w14:paraId="364E49C6" w14:textId="77777777" w:rsidR="004B6FB2" w:rsidRPr="00267577" w:rsidRDefault="004B6FB2" w:rsidP="004B6FB2">
      <w:r w:rsidRPr="00267577">
        <w:t>Adicionalmente, la asociación civil deberá estar constituida con por lo menos la persona aspirante a la candidatura independiente, su representante legal y la persona encargada de la administración de los recursos de la candidatura independiente.</w:t>
      </w:r>
    </w:p>
    <w:p w14:paraId="7471090B" w14:textId="77777777" w:rsidR="004B6FB2" w:rsidRPr="00267577" w:rsidRDefault="004B6FB2" w:rsidP="004B6FB2">
      <w:pPr>
        <w:pStyle w:val="Ttulo2"/>
        <w:rPr>
          <w:sz w:val="23"/>
        </w:rPr>
      </w:pPr>
      <w:r w:rsidRPr="00267577">
        <w:rPr>
          <w:sz w:val="23"/>
        </w:rPr>
        <w:t>Actos tendentes para recabar u obtener el apoyo de la ciudadanía</w:t>
      </w:r>
    </w:p>
    <w:p w14:paraId="2F74DC37" w14:textId="77777777" w:rsidR="004B6FB2" w:rsidRPr="00267577" w:rsidRDefault="004B6FB2" w:rsidP="004B6FB2">
      <w:r w:rsidRPr="00267577">
        <w:t>Que, el artículo 288 numeral 1 de la Ley Electoral establece que, a partir del día siguiente de la fecha en que las personas obtengan la calidad de aspirantes, éstas podrán realizar actos tendentes a recabar el porcentaje de apoyo de la ciudadanía requerido, por medios diversos a la radio y la televisión, siempre que los mismos no constituyan actos anticipados de campaña.</w:t>
      </w:r>
    </w:p>
    <w:p w14:paraId="3130EF24" w14:textId="77777777" w:rsidR="004B6FB2" w:rsidRPr="00267577" w:rsidRDefault="004B6FB2" w:rsidP="004B6FB2">
      <w:r w:rsidRPr="00267577">
        <w:t>De conformidad con el numeral 2 del artículo en cita, los actos tendentes a recabar el apoyo de la ciudadanía, se sujetarán a los siguientes plazos, según corresponda:</w:t>
      </w:r>
    </w:p>
    <w:p w14:paraId="3D5304A8" w14:textId="77777777" w:rsidR="004B6FB2" w:rsidRPr="00267577" w:rsidRDefault="004B6FB2" w:rsidP="004B6FB2">
      <w:pPr>
        <w:pStyle w:val="Prrafodelista"/>
        <w:numPr>
          <w:ilvl w:val="0"/>
          <w:numId w:val="6"/>
        </w:numPr>
        <w:ind w:left="720"/>
        <w:contextualSpacing w:val="0"/>
      </w:pPr>
      <w:r w:rsidRPr="00267577">
        <w:t>Las personas aspirantes a la candidatura independiente para la Gubernatura del Estado contarán con cincuenta días; y</w:t>
      </w:r>
    </w:p>
    <w:p w14:paraId="34E66CEF" w14:textId="77777777" w:rsidR="004B6FB2" w:rsidRPr="00267577" w:rsidRDefault="004B6FB2" w:rsidP="004B6FB2">
      <w:pPr>
        <w:pStyle w:val="Prrafodelista"/>
        <w:numPr>
          <w:ilvl w:val="0"/>
          <w:numId w:val="6"/>
        </w:numPr>
        <w:ind w:left="720"/>
        <w:contextualSpacing w:val="0"/>
      </w:pPr>
      <w:r w:rsidRPr="00267577">
        <w:t>Las personas aspirantes a las candidaturas independientes para las diputaciones o regidurías contarán con treinta días.</w:t>
      </w:r>
    </w:p>
    <w:p w14:paraId="06EDE6BE" w14:textId="77777777" w:rsidR="004B6FB2" w:rsidRPr="00267577" w:rsidRDefault="004B6FB2" w:rsidP="004B6FB2">
      <w:r w:rsidRPr="00267577">
        <w:t>Ahora bien, el artículo 289 numeral 1 del ordenamiento en cita, define a los actos tendentes a recabar el apoyo de la ciudadanía, como el conjunto de reuniones públicas, asambleas, marchas y todas aquellas actividades dirigidas a la ciudadanía en general, en el ámbito del estado, distrito o municipio, según corresponda, que realizan las personas aspirantes con el objeto de obtener el apoyo de la ciudadanía en los porcentajes requeridos.</w:t>
      </w:r>
    </w:p>
    <w:p w14:paraId="6FB9B94C" w14:textId="77777777" w:rsidR="004B6FB2" w:rsidRPr="00267577" w:rsidRDefault="004B6FB2" w:rsidP="004B6FB2">
      <w:pPr>
        <w:pStyle w:val="Ttulo2"/>
        <w:rPr>
          <w:sz w:val="23"/>
        </w:rPr>
      </w:pPr>
      <w:r w:rsidRPr="00267577">
        <w:rPr>
          <w:sz w:val="23"/>
        </w:rPr>
        <w:t>Uso de la aplicación móvil</w:t>
      </w:r>
    </w:p>
    <w:p w14:paraId="4306943E" w14:textId="77777777" w:rsidR="004B6FB2" w:rsidRPr="00267577" w:rsidRDefault="004B6FB2" w:rsidP="004B6FB2">
      <w:r w:rsidRPr="00267577">
        <w:t>Que, en términos del artículo 15 de los Lineamientos, las personas aspirantes a candidaturas independientes para obtener o recabar el apoyo de la ciudadanía de las personas aspirantes a candidaturas independientes, así como para llevar un registro de las personas auxiliares de éstas y verificar el estado registral de la ciudadanía que les respalda, utilizarán la herramienta tecnológica implementada por el INE de acuerdo con los Lineamientos que al efecto emita.</w:t>
      </w:r>
    </w:p>
    <w:p w14:paraId="6E71DD45" w14:textId="77777777" w:rsidR="004B6FB2" w:rsidRPr="00267577" w:rsidRDefault="004B6FB2" w:rsidP="004B6FB2">
      <w:r w:rsidRPr="00267577">
        <w:t>Además, deberán sujetarse a: los procedimientos para el uso de la aplicación móvil para recabar el apoyo de la ciudadanía, la forma en que la Dirección Ejecutiva del Registro Federal de Electores del INE remitirá los resultados de la compulsa a los organismos electorales para verificar el porcentaje de apoyo de la ciudadanía obtenido por cada persona aspirante, el ejercicio de la garantía de audiencia de las personas aspirantes a candidaturas Independientes, los procedimientos de revisión y clarificación de los registros de apoyo de la ciudadanía, así como los criterios para no considerar válidos tales registros, de conformidad con los Lineamientos emitidos por el INE.</w:t>
      </w:r>
    </w:p>
    <w:p w14:paraId="21429C99" w14:textId="77777777" w:rsidR="004B6FB2" w:rsidRPr="00267577" w:rsidRDefault="004B6FB2" w:rsidP="004B6FB2">
      <w:pPr>
        <w:pStyle w:val="Ttulo2"/>
        <w:rPr>
          <w:sz w:val="23"/>
        </w:rPr>
      </w:pPr>
      <w:r w:rsidRPr="00267577">
        <w:rPr>
          <w:sz w:val="23"/>
        </w:rPr>
        <w:t>Porcentajes de apoyo de la ciudadanía</w:t>
      </w:r>
    </w:p>
    <w:p w14:paraId="137E6F3A" w14:textId="77777777" w:rsidR="004B6FB2" w:rsidRPr="00267577" w:rsidRDefault="004B6FB2" w:rsidP="004B6FB2">
      <w:r w:rsidRPr="00267577">
        <w:t>Que, de conformidad con el artículo 16 de los Lineamientos y conforme a las razones expuestas en el acuerdo CE/2023/022, las personas que aspiren a una candidatura independiente deberán obtener el apoyo o respaldo ciudadano, según el cargo al que aspire, de conformidad con lo siguiente:</w:t>
      </w:r>
    </w:p>
    <w:p w14:paraId="747DCF25" w14:textId="77777777" w:rsidR="004B6FB2" w:rsidRPr="00267577" w:rsidRDefault="004B6FB2" w:rsidP="004B6FB2">
      <w:pPr>
        <w:pStyle w:val="Prrafodelista"/>
        <w:numPr>
          <w:ilvl w:val="0"/>
          <w:numId w:val="7"/>
        </w:numPr>
        <w:ind w:left="510" w:hanging="510"/>
        <w:contextualSpacing w:val="0"/>
        <w:rPr>
          <w:rFonts w:eastAsia="Arial Unicode MS"/>
        </w:rPr>
      </w:pPr>
      <w:r w:rsidRPr="00267577">
        <w:rPr>
          <w:rFonts w:eastAsia="Arial Unicode MS"/>
        </w:rPr>
        <w:t xml:space="preserve">Para la candidatura a la Gubernatura del Estado de Tabasco, el apoyo o respaldo ciudadano deberá contener, cuando menos, la firma de una cantidad de personas ciudadanas equivalente al </w:t>
      </w:r>
      <w:r w:rsidRPr="00267577">
        <w:rPr>
          <w:rFonts w:eastAsia="Arial Unicode MS"/>
          <w:b/>
        </w:rPr>
        <w:t>2% (dos por ciento)</w:t>
      </w:r>
      <w:r w:rsidRPr="00267577">
        <w:rPr>
          <w:rFonts w:eastAsia="Arial Unicode MS"/>
        </w:rPr>
        <w:t xml:space="preserve"> del padrón electoral del Estado con corte al 31 de agosto del año previo al de la elección; </w:t>
      </w:r>
    </w:p>
    <w:p w14:paraId="1980BECC" w14:textId="77777777" w:rsidR="004B6FB2" w:rsidRPr="00267577" w:rsidRDefault="004B6FB2" w:rsidP="004B6FB2">
      <w:pPr>
        <w:pStyle w:val="Prrafodelista"/>
        <w:numPr>
          <w:ilvl w:val="0"/>
          <w:numId w:val="7"/>
        </w:numPr>
        <w:ind w:left="510" w:hanging="510"/>
        <w:contextualSpacing w:val="0"/>
        <w:rPr>
          <w:rFonts w:eastAsia="Arial Unicode MS"/>
        </w:rPr>
      </w:pPr>
      <w:r w:rsidRPr="00267577">
        <w:rPr>
          <w:rFonts w:eastAsia="Arial Unicode MS"/>
        </w:rPr>
        <w:t xml:space="preserve">Para las candidaturas a diputaciones de mayoría relativa, la cédula de respaldo deberá contener, cuando menos, la firma de una cantidad de personas ciudadanas equivalente al </w:t>
      </w:r>
      <w:r w:rsidRPr="00267577">
        <w:rPr>
          <w:rFonts w:eastAsia="Arial Unicode MS"/>
          <w:b/>
        </w:rPr>
        <w:t>2% (dos por ciento)</w:t>
      </w:r>
      <w:r w:rsidRPr="00267577">
        <w:rPr>
          <w:rFonts w:eastAsia="Arial Unicode MS"/>
        </w:rPr>
        <w:t xml:space="preserve"> del padrón electoral correspondiente al distrito de que se trate, con corte al 31 de agosto del año previo al de la elección; y </w:t>
      </w:r>
    </w:p>
    <w:p w14:paraId="7B24516D" w14:textId="77777777" w:rsidR="004B6FB2" w:rsidRPr="00267577" w:rsidRDefault="004B6FB2" w:rsidP="004B6FB2">
      <w:pPr>
        <w:pStyle w:val="Prrafodelista"/>
        <w:numPr>
          <w:ilvl w:val="0"/>
          <w:numId w:val="7"/>
        </w:numPr>
        <w:ind w:left="510" w:hanging="510"/>
        <w:contextualSpacing w:val="0"/>
        <w:rPr>
          <w:rFonts w:eastAsia="Arial Unicode MS"/>
        </w:rPr>
      </w:pPr>
      <w:r w:rsidRPr="00267577">
        <w:rPr>
          <w:rFonts w:eastAsia="Arial Unicode MS"/>
        </w:rPr>
        <w:t>Para las candidaturas a presidencias municipales y regidurías de mayoría relativa, la cédula de respaldo deberá contener, cuando menos, la firma de una cantidad de personas ciudadanas equivalente al</w:t>
      </w:r>
      <w:r w:rsidRPr="00267577">
        <w:rPr>
          <w:rFonts w:eastAsia="Arial Unicode MS"/>
          <w:b/>
        </w:rPr>
        <w:t xml:space="preserve"> 2% (dos por ciento)</w:t>
      </w:r>
      <w:r w:rsidRPr="00267577">
        <w:rPr>
          <w:rFonts w:eastAsia="Arial Unicode MS"/>
        </w:rPr>
        <w:t xml:space="preserve"> del padrón electoral correspondiente al municipio de que se trate con corte al 31 de agosto del año previo al de la elección.</w:t>
      </w:r>
    </w:p>
    <w:p w14:paraId="3B54C114" w14:textId="77777777" w:rsidR="004B6FB2" w:rsidRPr="00267577" w:rsidRDefault="004B6FB2" w:rsidP="004B6FB2">
      <w:pPr>
        <w:pStyle w:val="Ttulo2"/>
        <w:rPr>
          <w:sz w:val="23"/>
        </w:rPr>
      </w:pPr>
      <w:r w:rsidRPr="00267577">
        <w:rPr>
          <w:sz w:val="23"/>
        </w:rPr>
        <w:t>Verificación del porcentaje de apoyo de la ciudadanía</w:t>
      </w:r>
    </w:p>
    <w:p w14:paraId="3D7FE71F" w14:textId="77777777" w:rsidR="004B6FB2" w:rsidRPr="00267577" w:rsidRDefault="004B6FB2" w:rsidP="004B6FB2">
      <w:r w:rsidRPr="00267577">
        <w:t>Que, el artículo 302 de la Ley Electoral dispone que, una vez que se cumplan los demás requisitos establecidos en esta Ley, el Instituto solicitará al INE que, por conducto de la Dirección Ejecutiva del Registro Federal de Electores verifique que se haya reunido el porcentaje de apoyo de la ciudadanía que corresponda según la elección de que se trate, constatando que las y los ciudadanos aparecen en el padrón electoral que corresponda. Dicha verificación se ajustará a los lineamientos que, en su caso, emita el INE, o al convenio que al efecto se celebre entre ambas instituciones.</w:t>
      </w:r>
    </w:p>
    <w:p w14:paraId="6ED25558" w14:textId="77777777" w:rsidR="004B6FB2" w:rsidRPr="00267577" w:rsidRDefault="004B6FB2" w:rsidP="004B6FB2">
      <w:r w:rsidRPr="00267577">
        <w:t>En ese tenor, el artículo 290 numeral 1 del Reglamento de Elecciones dispone que el procedimiento técnico-jurídico para verificar que se haya reunido el porcentaje de apoyo de la ciudadanía requerido, según el tipo de elección, será el que se establezca en los lineamientos aprobados para tal efecto, en el que se priorizará la utilización de medidas tecnológicas avanzadas al alcance del INE; lo anterior, a efecto de dotar de certeza el proceso de verificación.</w:t>
      </w:r>
    </w:p>
    <w:p w14:paraId="1620FCF1" w14:textId="77777777" w:rsidR="004B6FB2" w:rsidRPr="00267577" w:rsidRDefault="004B6FB2" w:rsidP="004B6FB2">
      <w:r w:rsidRPr="00267577">
        <w:t>Conforme al numeral 2 del artículo citado, en los lineamientos correspondientes se señalarán las instancias, los plazos, el procedimiento para recabar el apoyo de la ciudadanía, la presentación ante la autoridad electoral, el procedimiento que se seguirá para verificar el porcentaje de apoyo presentado, el derecho de audiencia de las y los aspirantes, así como los criterios para no computar dicho apoyo.</w:t>
      </w:r>
    </w:p>
    <w:p w14:paraId="0A9479A7" w14:textId="75089761" w:rsidR="004B6FB2" w:rsidRPr="00267577" w:rsidRDefault="004B6FB2" w:rsidP="004B6FB2">
      <w:pPr>
        <w:pStyle w:val="Ttulo2"/>
        <w:rPr>
          <w:sz w:val="23"/>
        </w:rPr>
      </w:pPr>
      <w:r w:rsidRPr="00267577">
        <w:rPr>
          <w:sz w:val="23"/>
        </w:rPr>
        <w:t>Solicitud de</w:t>
      </w:r>
      <w:r w:rsidR="00E066B9" w:rsidRPr="00267577">
        <w:rPr>
          <w:sz w:val="23"/>
        </w:rPr>
        <w:t>l</w:t>
      </w:r>
      <w:r w:rsidR="00334C80" w:rsidRPr="00267577">
        <w:rPr>
          <w:sz w:val="23"/>
        </w:rPr>
        <w:t xml:space="preserve"> </w:t>
      </w:r>
      <w:r w:rsidRPr="00267577">
        <w:rPr>
          <w:sz w:val="23"/>
        </w:rPr>
        <w:t xml:space="preserve">aspirante </w:t>
      </w:r>
      <w:r w:rsidR="00E066B9" w:rsidRPr="00267577">
        <w:rPr>
          <w:sz w:val="23"/>
        </w:rPr>
        <w:t xml:space="preserve">a </w:t>
      </w:r>
      <w:r w:rsidRPr="00267577">
        <w:rPr>
          <w:sz w:val="23"/>
        </w:rPr>
        <w:t>candidatura independiente</w:t>
      </w:r>
    </w:p>
    <w:p w14:paraId="174B5782" w14:textId="2F80C1B1" w:rsidR="00B06250" w:rsidRPr="00267577" w:rsidRDefault="00334C80" w:rsidP="00E066B9">
      <w:r w:rsidRPr="00267577">
        <w:t xml:space="preserve">Que, </w:t>
      </w:r>
      <w:r w:rsidR="00E066B9" w:rsidRPr="00267577">
        <w:t>el ciudadano Juan Carlos Aguilar Ramos, aspirante a la candidatura independiente</w:t>
      </w:r>
      <w:r w:rsidRPr="00267577">
        <w:t xml:space="preserve"> a </w:t>
      </w:r>
      <w:r w:rsidR="00E066B9" w:rsidRPr="00267577">
        <w:t>la</w:t>
      </w:r>
      <w:r w:rsidR="00875A4D" w:rsidRPr="00267577">
        <w:t xml:space="preserve"> d</w:t>
      </w:r>
      <w:r w:rsidR="00E066B9" w:rsidRPr="00267577">
        <w:t>iputación por el distrito</w:t>
      </w:r>
      <w:r w:rsidRPr="00267577">
        <w:t xml:space="preserve"> </w:t>
      </w:r>
      <w:r w:rsidR="003279E9" w:rsidRPr="00267577">
        <w:t>0</w:t>
      </w:r>
      <w:r w:rsidR="00E066B9" w:rsidRPr="00267577">
        <w:t xml:space="preserve">9, presentó </w:t>
      </w:r>
      <w:r w:rsidR="004B6FB2" w:rsidRPr="00267577">
        <w:t xml:space="preserve">escrito solicitando </w:t>
      </w:r>
      <w:r w:rsidR="00E066B9" w:rsidRPr="00267577">
        <w:t xml:space="preserve">prórroga o </w:t>
      </w:r>
      <w:r w:rsidR="004B6FB2" w:rsidRPr="00267577">
        <w:t xml:space="preserve">ampliación </w:t>
      </w:r>
      <w:r w:rsidR="00E066B9" w:rsidRPr="00267577">
        <w:t xml:space="preserve">hasta por 7 días </w:t>
      </w:r>
      <w:r w:rsidR="004B6FB2" w:rsidRPr="00267577">
        <w:t xml:space="preserve">del plazo para la obtención del apoyo de la ciudadanía, </w:t>
      </w:r>
      <w:r w:rsidR="00E066B9" w:rsidRPr="00267577">
        <w:t>pues desde en su consideración, en la convocatoria no se previó la pérdida de días por la entrega de material y equipo de las aplicaciones para el registro de los apoyos ciudadanos, lo cual debió realizarse de manera previa al inicio del período para la obtención del apoyo mencionado.</w:t>
      </w:r>
    </w:p>
    <w:p w14:paraId="1960D345" w14:textId="77777777" w:rsidR="003C5E81" w:rsidRPr="00267577" w:rsidRDefault="003C5E81" w:rsidP="003C5E81">
      <w:r w:rsidRPr="00267577">
        <w:t>Al respecto, este Consejo Estatal considera que los argumentos expuestos por el aspirante no justifican la procedencia de la ampliación o prórroga del plazo para la obtención del apoyo de la ciudadanía solicitada.</w:t>
      </w:r>
    </w:p>
    <w:p w14:paraId="3295C5A0" w14:textId="77777777" w:rsidR="003C5E81" w:rsidRPr="00267577" w:rsidRDefault="003C5E81" w:rsidP="003C5E81">
      <w:r w:rsidRPr="00267577">
        <w:t xml:space="preserve">En ese contexto, la Sala Superior de la interpretación de los artículos 1 y 35 fracción II de la Constitución Federal sostiene que cuando se actualicen circunstancias </w:t>
      </w:r>
      <w:r w:rsidRPr="00267577">
        <w:rPr>
          <w:b/>
        </w:rPr>
        <w:t>particulares y extraordinarias que trasciendan al ejercicio del derecho a ser votado</w:t>
      </w:r>
      <w:r w:rsidRPr="00267577">
        <w:t xml:space="preserve">, en su modalidad de registro de candidaturas de forma independiente y coloquen al aspirante en una posición de desventaja, éstas dan lugar a que se prorrogue el periodo para la obtención del apoyo de la ciudadanía en un lapso adicional al equivalente al tiempo que estuvo impedido para recabarlo. Criterio que consta en la tesis IX/2019 con rubro: </w:t>
      </w:r>
      <w:r w:rsidRPr="00267577">
        <w:rPr>
          <w:b/>
        </w:rPr>
        <w:t>“CANDIDATURAS INDEPENDIENTES. PROCEDE LA AMPLIACIÓN DEL PLAZO PARA LA OBTENCIÓN DEL APOYO CIUDADANO CUANDO POR CAUSAS AJENAS AL ASPIRANTE NO GOZA DE LA TOTALIDAD DEL MISMO”.</w:t>
      </w:r>
    </w:p>
    <w:p w14:paraId="36CB5082" w14:textId="77777777" w:rsidR="003C5E81" w:rsidRPr="00267577" w:rsidRDefault="003C5E81" w:rsidP="003C5E81">
      <w:r w:rsidRPr="00267577">
        <w:t>Así, la Sala Superior ha sostenido que, las autoridades electorales deben interpretar y aplicar la normativa aplicable a la obtención del apoyo de la ciudadanía, de tal forma que, se atiendan a las circunstancias particulares y extraordinarias que concurren con el aspirante, a fin de que éste cuente con el plazo íntegro que determine el propio organismo electoral para recolectar los apoyos ciudadanos correspondientes</w:t>
      </w:r>
      <w:r w:rsidRPr="00267577">
        <w:rPr>
          <w:rStyle w:val="Refdenotaalpie"/>
        </w:rPr>
        <w:footnoteReference w:id="1"/>
      </w:r>
      <w:r w:rsidRPr="00267577">
        <w:t>.</w:t>
      </w:r>
    </w:p>
    <w:p w14:paraId="30DC6CB6" w14:textId="4A937950" w:rsidR="003C5E81" w:rsidRPr="00267577" w:rsidRDefault="003C5E81" w:rsidP="003C5E81">
      <w:r w:rsidRPr="00267577">
        <w:t>Es decir, si durante la fase de recolección de apoyo de la ciudadanía surgen hechos o situaciones ajenas al aspirante a la candidatura independiente que le impidan contar con la totalidad del plazo legalmente establecido para recabarlo, en contravención a su derecho de participar plenamente y en condiciones de igualdad, es procedente interpretar y aplicar de la manera más favorable a la persona el marco normativo respectivo a fin de reparar la violación a su derecho.</w:t>
      </w:r>
    </w:p>
    <w:p w14:paraId="7B58F8DF" w14:textId="3B6CB1DB" w:rsidR="008D104C" w:rsidRPr="00267577" w:rsidRDefault="008D104C" w:rsidP="008D104C">
      <w:r w:rsidRPr="00267577">
        <w:t xml:space="preserve">En el caso particular y conforme a las constancias que integran el expediente del aspirante Juan Carlos Aguilar Ramos se advierte que la manifestación de intención la presentó </w:t>
      </w:r>
      <w:r w:rsidRPr="00267577">
        <w:rPr>
          <w:b/>
        </w:rPr>
        <w:t>el 5 de diciembre de 2023 a las 20:02 horas</w:t>
      </w:r>
      <w:r w:rsidRPr="00267577">
        <w:t xml:space="preserve"> (veinte horas con dos minutos); no obstante, debido a la inconsistencia derivada de la revisión hecha por la Coordinación de Prerrogativas y Partidos Políticos, el 5 de diciembre de 2023, la Secretaría Ejecutiva mediante oficio SE/</w:t>
      </w:r>
      <w:r w:rsidR="00985C9E" w:rsidRPr="00267577">
        <w:t>1521</w:t>
      </w:r>
      <w:r w:rsidRPr="00267577">
        <w:t>/2023 lo requirió para que en un plazo de 48 horas subsanara la omisión, en su caso.</w:t>
      </w:r>
    </w:p>
    <w:p w14:paraId="1F508637" w14:textId="2C3D76BB" w:rsidR="008D104C" w:rsidRPr="00267577" w:rsidRDefault="008D104C" w:rsidP="008D104C">
      <w:r w:rsidRPr="00267577">
        <w:t xml:space="preserve">En ese contexto, fue hasta las 16:46 horas (dieciséis horas con cuarenta y seis minutos) del 8 de diciembre de 2023, que </w:t>
      </w:r>
      <w:r w:rsidR="00CD1A60" w:rsidRPr="00267577">
        <w:t xml:space="preserve">Juan Carlos Aguilar Ramos </w:t>
      </w:r>
      <w:r w:rsidRPr="00267577">
        <w:t>regularizó su situación, mediante escrito presentado ante el Instituto; es decir, lo hizo una vez iniciado el período de captación del apoyo de la ciudadanía. No obstante, ante el incumplimiento deficiente, la</w:t>
      </w:r>
      <w:r w:rsidR="00985C9E" w:rsidRPr="00267577">
        <w:t xml:space="preserve"> Secretaría Ejecutiva, mediante oficio SE/1553/2023, </w:t>
      </w:r>
      <w:r w:rsidRPr="00267577">
        <w:t>de nueva cuenta requirió al aspirante para que cumpliera con la totalidad de los requisitos, lo cual realizó hasta el 9 de diciembre de 2023, fecha en la que también se le hizo entrega de la constancia que lo acredita como aspirante.</w:t>
      </w:r>
    </w:p>
    <w:p w14:paraId="6F39A18D" w14:textId="77777777" w:rsidR="008D104C" w:rsidRPr="00267577" w:rsidRDefault="008D104C" w:rsidP="008D104C">
      <w:r w:rsidRPr="00267577">
        <w:t>Al respecto, el artículo 12 de los Lineamientos señalan que, una vez recibida la documentación, la Secretaría Ejecutiva verificará dentro de las 24 horas siguientes que la manifestación de intención se encuentre integrada conforme a lo establecido en el propio Lineamiento.</w:t>
      </w:r>
    </w:p>
    <w:p w14:paraId="10F7998F" w14:textId="77777777" w:rsidR="008D104C" w:rsidRPr="00267577" w:rsidRDefault="008D104C" w:rsidP="008D104C">
      <w:r w:rsidRPr="00267577">
        <w:t>Si de la revisión efectuada resulta que la ciudadana o ciudadano interesado no acompañó la documentación e información completa, la Secretaría Ejecutiva requerirá a la ciudadana o ciudadano interesado para que, en un término de 48 horas siguientes al requerimiento remita la documentación o información faltante.</w:t>
      </w:r>
    </w:p>
    <w:p w14:paraId="05CAB5D4" w14:textId="77777777" w:rsidR="008D104C" w:rsidRPr="00267577" w:rsidRDefault="008D104C" w:rsidP="008D104C">
      <w:r w:rsidRPr="00267577">
        <w:t>De no recibirse respuesta al requerimiento dentro del plazo señalado, o que en este no se remita la documentación o información solicitada, la manifestación de intención será desechada. La ciudadana o el ciudadano interesado, podrá presentar una nueva manifestación de intención, siempre y cuando se exhiba dentro de los plazos establecidos en la Convocatoria correspondiente.</w:t>
      </w:r>
    </w:p>
    <w:p w14:paraId="4CAE464E" w14:textId="2D679F96" w:rsidR="008D104C" w:rsidRPr="00267577" w:rsidRDefault="008D104C" w:rsidP="008D104C">
      <w:r w:rsidRPr="00267577">
        <w:t xml:space="preserve">Con base en lo anterior se desprende que, la presentación de la manifestación de intención </w:t>
      </w:r>
      <w:r w:rsidR="00F97E9F" w:rsidRPr="00267577">
        <w:t xml:space="preserve">se presentó </w:t>
      </w:r>
      <w:r w:rsidRPr="00267577">
        <w:t>al límite del plazo establecido para tal efecto y las omisiones en que incurrió el propio aspirante, fueron las causas que motivaron la entrega extemporánea de la constancia que lo acredita con tal calidad; pues en términos de los artículos 287 numeral 3 de la Ley Electoral y 13 de los Lineamientos, la Secretaría Ejecutiva expedirá la constancia respectiva, una vez que la manifestación de intención de las y los interesados cumpla con los requisitos establecidos en la propia Ley Electoral.</w:t>
      </w:r>
    </w:p>
    <w:p w14:paraId="54CBF254" w14:textId="07CE6934" w:rsidR="008D104C" w:rsidRPr="00267577" w:rsidRDefault="008D104C" w:rsidP="008D104C">
      <w:pPr>
        <w:rPr>
          <w:b/>
        </w:rPr>
      </w:pPr>
      <w:r w:rsidRPr="00267577">
        <w:t xml:space="preserve">En ese tenor, no se trató de una circunstancia extraordinaria que afecte su derecho; ni una omisión por parte del órgano electoral; en todo caso, el aspirante estuvo en posibilidad de manifestar su intención a partir del día siguiente en que este Consejo Estatal expidió la convocatoria para la renovación de los cargos de elección popular que corresponden a este Proceso Electoral; </w:t>
      </w:r>
      <w:r w:rsidRPr="00267577">
        <w:rPr>
          <w:b/>
        </w:rPr>
        <w:t>no obstante, su presentación la realizó hasta el último día del plazo establecido y presentando irregularidades en la documentación que exigen las disposiciones legales.</w:t>
      </w:r>
    </w:p>
    <w:p w14:paraId="6E0CD19C" w14:textId="3E0D9368" w:rsidR="007A1501" w:rsidRPr="00267577" w:rsidRDefault="00F97E9F" w:rsidP="003C5E81">
      <w:r w:rsidRPr="00267577">
        <w:t xml:space="preserve">Por otra parte, </w:t>
      </w:r>
      <w:r w:rsidR="003C5E81" w:rsidRPr="00267577">
        <w:t>el artículo 287 numeral 3 de la Ley Electoral establece que, la calidad de aspirante se adquiere, una vez que la persona interesada manifiesta su intención en términos del numeral 1 de dicho artículo y recibida la constancia respectiva.</w:t>
      </w:r>
    </w:p>
    <w:p w14:paraId="6272D9D9" w14:textId="00E4232E" w:rsidR="003C5E81" w:rsidRPr="00267577" w:rsidRDefault="00F97E9F" w:rsidP="003C5E81">
      <w:r w:rsidRPr="00267577">
        <w:t>Asimismo</w:t>
      </w:r>
      <w:r w:rsidR="003C5E81" w:rsidRPr="00267577">
        <w:t>, el artículo 288 numeral 1 del ordenamiento mencionado refiere que, a partir del día siguiente de la fecha en que obtengan la calidad de aspirantes, éstos podrán realizar actos tendentes a recabar el porcentaje de apoyo ciudadano requerido, por medios diversos a la radio y la televisión, siempre que los mismos no constituyan actos anticipados de campaña.</w:t>
      </w:r>
    </w:p>
    <w:p w14:paraId="19413D7E" w14:textId="3AF6E8E5" w:rsidR="007A1501" w:rsidRPr="00267577" w:rsidRDefault="007A1501" w:rsidP="007A1501">
      <w:r w:rsidRPr="00267577">
        <w:t>En esa tesitura, conforme al artículo 8 inciso e) de los Lineamientos de Verificación corresponde a este Instituto dar de alta en el portal web</w:t>
      </w:r>
      <w:r w:rsidRPr="00267577">
        <w:rPr>
          <w:rStyle w:val="Refdenotaalpie"/>
        </w:rPr>
        <w:footnoteReference w:id="2"/>
      </w:r>
      <w:r w:rsidRPr="00267577">
        <w:t xml:space="preserve"> (Sistema de captación de datos para procesos de participación ciudadana y actores políticos del INE) a las personas aspirantes a candidaturas independientes; para ello, el artículo 10 de los Lineami</w:t>
      </w:r>
      <w:r w:rsidR="00F97E9F" w:rsidRPr="00267577">
        <w:t>entos de Verificación establece</w:t>
      </w:r>
      <w:r w:rsidRPr="00267577">
        <w:t xml:space="preserve"> que las personas aspirantes tienen la obligación de proporcionar al organismo electoral los datos que se le requieran para tener acceso al portal mencionado.</w:t>
      </w:r>
    </w:p>
    <w:p w14:paraId="4DD2316E" w14:textId="7E6D64D7" w:rsidR="007E0A99" w:rsidRPr="00267577" w:rsidRDefault="007E0A99" w:rsidP="003C5E81">
      <w:r w:rsidRPr="00267577">
        <w:t xml:space="preserve">De la interpretación a las disposiciones señaladas se advierte que, para que esta autoridad realice el alta en el portal web se requieren dos elementos: a) que la persona interesada adquiera la calidad de aspirante; y, b) una vez que adquieran la calidad de aspirante, deberán proporcionar los datos e información para tal efecto. </w:t>
      </w:r>
    </w:p>
    <w:p w14:paraId="722E3E15" w14:textId="05A9A9B5" w:rsidR="007E0A99" w:rsidRPr="00267577" w:rsidRDefault="007E0A99" w:rsidP="007E0A99">
      <w:r w:rsidRPr="00267577">
        <w:t xml:space="preserve">En el caso de los auxiliares, el artículo 10 de los Lineamientos de Verificación </w:t>
      </w:r>
      <w:r w:rsidR="00F97E9F" w:rsidRPr="00267577">
        <w:t xml:space="preserve">refiere </w:t>
      </w:r>
      <w:r w:rsidRPr="00267577">
        <w:t xml:space="preserve">que el alta en el portal web de las personas que fungirán como auxiliares para la captación del apoyo de la ciudadanía es obligación </w:t>
      </w:r>
      <w:r w:rsidR="005D41D6" w:rsidRPr="00267577">
        <w:t>de las personas aspirantes</w:t>
      </w:r>
      <w:r w:rsidRPr="00267577">
        <w:t xml:space="preserve"> de conformidad con lo establecido en el Protocolo y en los Manuales de Usuario</w:t>
      </w:r>
      <w:r w:rsidR="00055B1C" w:rsidRPr="00267577">
        <w:t>.</w:t>
      </w:r>
    </w:p>
    <w:p w14:paraId="5C98E08B" w14:textId="6418F0C8" w:rsidR="00532454" w:rsidRPr="00267577" w:rsidRDefault="00532454" w:rsidP="007E0A99">
      <w:r w:rsidRPr="00267577">
        <w:t>En ese contexto, en consideración de este órgano electoral no existe violación alguna al principio de legalidad en virtud de que, el alta</w:t>
      </w:r>
      <w:r w:rsidR="00F97E9F" w:rsidRPr="00267577">
        <w:t>, registro</w:t>
      </w:r>
      <w:r w:rsidRPr="00267577">
        <w:t xml:space="preserve"> o lo que el aspirante denomina la entrega del “material y equipo” se </w:t>
      </w:r>
      <w:r w:rsidR="001D71A3" w:rsidRPr="00267577">
        <w:t xml:space="preserve">realizó </w:t>
      </w:r>
      <w:r w:rsidRPr="00267577">
        <w:t xml:space="preserve">de acuerdo con </w:t>
      </w:r>
      <w:r w:rsidR="0013730E" w:rsidRPr="00267577">
        <w:t xml:space="preserve">el procedimiento previsto en </w:t>
      </w:r>
      <w:r w:rsidRPr="00267577">
        <w:t xml:space="preserve">los Lineamientos de Verificación </w:t>
      </w:r>
      <w:r w:rsidR="0013730E" w:rsidRPr="00267577">
        <w:t xml:space="preserve">y </w:t>
      </w:r>
      <w:r w:rsidRPr="00267577">
        <w:t>una vez que éste adquirió la calidad de aspirante</w:t>
      </w:r>
      <w:r w:rsidR="00F97E9F" w:rsidRPr="00267577">
        <w:t>; de ahí que no se advierta alguna circunstancia extraordinaria que justifique la ampliación del plazo.</w:t>
      </w:r>
    </w:p>
    <w:p w14:paraId="41AD3F3C" w14:textId="6AA97EBD" w:rsidR="00532454" w:rsidRPr="00267577" w:rsidRDefault="00532454" w:rsidP="004D1AC7">
      <w:r w:rsidRPr="00267577">
        <w:t>Conforme a lo anterior, este órgano electoral considera improcedente otorgar la prórroga del plazo para recabar u obtener el apoyo de la ciudadanía solicitada por</w:t>
      </w:r>
      <w:r w:rsidRPr="00267577">
        <w:rPr>
          <w:b/>
        </w:rPr>
        <w:t xml:space="preserve"> </w:t>
      </w:r>
      <w:r w:rsidR="00A06EB7" w:rsidRPr="00267577">
        <w:t>Juan Carlos Aguilar Ramos</w:t>
      </w:r>
      <w:r w:rsidRPr="00267577">
        <w:t>, en virtud de que</w:t>
      </w:r>
      <w:r w:rsidR="004D1AC7" w:rsidRPr="00267577">
        <w:t xml:space="preserve">, no </w:t>
      </w:r>
      <w:r w:rsidR="00AB2BA0" w:rsidRPr="00267577">
        <w:t xml:space="preserve">existen </w:t>
      </w:r>
      <w:r w:rsidRPr="00267577">
        <w:t>circunstancias extraordinarias que le causen vulneración o afectación alguna a su derecho de obtener apoyo de la ciudadanía o que lo coloque en una posición de desventaja durante el proceso de selección de candidaturas independientes.</w:t>
      </w:r>
    </w:p>
    <w:p w14:paraId="088DBB30" w14:textId="77777777" w:rsidR="004C716B" w:rsidRPr="00267577" w:rsidRDefault="004C716B" w:rsidP="004C716B">
      <w:r w:rsidRPr="00267577">
        <w:t>Sobre la base de las consideraciones señaladas, este Consejo Estatal emite el siguiente:</w:t>
      </w:r>
    </w:p>
    <w:p w14:paraId="4052D02B" w14:textId="77777777" w:rsidR="004C716B" w:rsidRPr="00267577" w:rsidRDefault="004C716B" w:rsidP="004C716B">
      <w:pPr>
        <w:pStyle w:val="Ttulo1"/>
        <w:rPr>
          <w:sz w:val="24"/>
          <w:szCs w:val="24"/>
        </w:rPr>
      </w:pPr>
      <w:r w:rsidRPr="00267577">
        <w:rPr>
          <w:sz w:val="24"/>
          <w:szCs w:val="24"/>
        </w:rPr>
        <w:t>Acuerdo</w:t>
      </w:r>
    </w:p>
    <w:p w14:paraId="2271292A" w14:textId="34CE1255" w:rsidR="00134662" w:rsidRDefault="004C716B" w:rsidP="00F82ECD">
      <w:r w:rsidRPr="00287FFB">
        <w:rPr>
          <w:b/>
          <w:bCs/>
        </w:rPr>
        <w:t>Primero.</w:t>
      </w:r>
      <w:r w:rsidRPr="00287FFB">
        <w:t xml:space="preserve"> Se </w:t>
      </w:r>
      <w:r w:rsidR="00134662">
        <w:t xml:space="preserve">declara </w:t>
      </w:r>
      <w:r w:rsidR="00134662" w:rsidRPr="0081439C">
        <w:t xml:space="preserve">improcedente </w:t>
      </w:r>
      <w:r w:rsidR="00134662">
        <w:t>la solicitud de</w:t>
      </w:r>
      <w:r w:rsidR="00F82ECD">
        <w:t>l</w:t>
      </w:r>
      <w:r w:rsidR="00134662">
        <w:t xml:space="preserve"> </w:t>
      </w:r>
      <w:r w:rsidR="00F82ECD">
        <w:t>ciudadano</w:t>
      </w:r>
      <w:r w:rsidR="00134662">
        <w:t xml:space="preserve"> </w:t>
      </w:r>
      <w:r w:rsidR="00F82ECD">
        <w:t>Juan Carlos Aguilar Ramos, aspirante</w:t>
      </w:r>
      <w:r w:rsidR="00134662">
        <w:t xml:space="preserve"> a </w:t>
      </w:r>
      <w:r w:rsidR="00F82ECD" w:rsidRPr="00F82ECD">
        <w:t xml:space="preserve">la candidatura independiente a la diputación por el distrito </w:t>
      </w:r>
      <w:r w:rsidR="003279E9">
        <w:t>0</w:t>
      </w:r>
      <w:r w:rsidR="00F82ECD" w:rsidRPr="00F82ECD">
        <w:t xml:space="preserve">9 con motivo del Proceso Electoral Local Ordinario 2023 </w:t>
      </w:r>
      <w:r w:rsidR="00F82ECD">
        <w:t>–</w:t>
      </w:r>
      <w:r w:rsidR="00F82ECD" w:rsidRPr="00F82ECD">
        <w:t xml:space="preserve"> 2024</w:t>
      </w:r>
      <w:r w:rsidR="00F82ECD">
        <w:t xml:space="preserve"> </w:t>
      </w:r>
      <w:r w:rsidR="00134662">
        <w:t xml:space="preserve">relativa a la prórroga de </w:t>
      </w:r>
      <w:r w:rsidR="00F82ECD">
        <w:t xml:space="preserve">7 </w:t>
      </w:r>
      <w:r w:rsidR="00134662">
        <w:t>días para el período relativo a la obtención del apoyo de la ciudadanía.</w:t>
      </w:r>
    </w:p>
    <w:p w14:paraId="4A508508" w14:textId="665B0233" w:rsidR="004C716B" w:rsidRPr="00287FFB" w:rsidRDefault="004C716B" w:rsidP="004C716B">
      <w:r w:rsidRPr="00287FFB">
        <w:rPr>
          <w:b/>
          <w:bCs/>
        </w:rPr>
        <w:t xml:space="preserve">Segundo. </w:t>
      </w:r>
      <w:r w:rsidRPr="00287FFB">
        <w:t>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0E0C664A" w14:textId="07E7B5AE" w:rsidR="004C716B" w:rsidRPr="00287FFB" w:rsidRDefault="00134662" w:rsidP="004C716B">
      <w:r>
        <w:rPr>
          <w:b/>
          <w:bCs/>
        </w:rPr>
        <w:t>Tercero</w:t>
      </w:r>
      <w:r w:rsidR="004C716B" w:rsidRPr="00287FFB">
        <w:rPr>
          <w:b/>
          <w:bCs/>
        </w:rPr>
        <w:t xml:space="preserve">. </w:t>
      </w:r>
      <w:r w:rsidR="004C716B" w:rsidRPr="00287FFB">
        <w:t>De conformidad con lo dispuesto en el artículo 114 de la Ley Electoral y de Partidos Políticos del Estado de Tabasco publíquese el contenido del presente acuerdo en el Periódico Oficial del Estado y en la página de internet del Instituto.</w:t>
      </w:r>
    </w:p>
    <w:p w14:paraId="0CBCEB52" w14:textId="49A0F763" w:rsidR="004C716B" w:rsidRPr="00287FFB" w:rsidRDefault="004C716B" w:rsidP="004C716B">
      <w:pPr>
        <w:pStyle w:val="Puntos"/>
        <w:spacing w:before="240" w:line="288" w:lineRule="auto"/>
        <w:ind w:left="0"/>
        <w:rPr>
          <w:sz w:val="23"/>
          <w:szCs w:val="23"/>
        </w:rPr>
      </w:pPr>
      <w:r w:rsidRPr="00287FFB">
        <w:rPr>
          <w:sz w:val="23"/>
          <w:szCs w:val="23"/>
        </w:rPr>
        <w:t xml:space="preserve">El presente acuerdo fue </w:t>
      </w:r>
      <w:r w:rsidR="00267577">
        <w:rPr>
          <w:sz w:val="23"/>
          <w:szCs w:val="23"/>
        </w:rPr>
        <w:t xml:space="preserve">aprobado </w:t>
      </w:r>
      <w:r w:rsidRPr="00287FFB">
        <w:rPr>
          <w:sz w:val="23"/>
          <w:szCs w:val="23"/>
        </w:rPr>
        <w:t>en sesión</w:t>
      </w:r>
      <w:r w:rsidR="00267577">
        <w:rPr>
          <w:sz w:val="23"/>
          <w:szCs w:val="23"/>
        </w:rPr>
        <w:t xml:space="preserve"> extraordinaria</w:t>
      </w:r>
      <w:r w:rsidRPr="00287FFB">
        <w:rPr>
          <w:sz w:val="23"/>
          <w:szCs w:val="23"/>
        </w:rPr>
        <w:t xml:space="preserve"> efectuada el</w:t>
      </w:r>
      <w:r w:rsidR="00267577">
        <w:rPr>
          <w:sz w:val="23"/>
          <w:szCs w:val="23"/>
        </w:rPr>
        <w:t xml:space="preserve"> 30 </w:t>
      </w:r>
      <w:r w:rsidRPr="00287FFB">
        <w:rPr>
          <w:sz w:val="23"/>
          <w:szCs w:val="23"/>
        </w:rPr>
        <w:t xml:space="preserve">de </w:t>
      </w:r>
      <w:r w:rsidR="00267577">
        <w:rPr>
          <w:sz w:val="23"/>
          <w:szCs w:val="23"/>
        </w:rPr>
        <w:t>diciembre</w:t>
      </w:r>
      <w:r w:rsidRPr="00287FFB">
        <w:rPr>
          <w:sz w:val="23"/>
          <w:szCs w:val="23"/>
        </w:rPr>
        <w:t xml:space="preserve"> del año dos mil veintitrés, por votación </w:t>
      </w:r>
      <w:r w:rsidR="00267577">
        <w:rPr>
          <w:sz w:val="23"/>
          <w:szCs w:val="23"/>
        </w:rPr>
        <w:t>unánime</w:t>
      </w:r>
      <w:r w:rsidRPr="00287FFB">
        <w:rPr>
          <w:sz w:val="23"/>
          <w:szCs w:val="23"/>
        </w:rPr>
        <w:t xml:space="preserve"> de las y los Consejeros Electorales del Consejo Estatal del Instituto Electoral y de Participación Ciudadana de Tabasco: Dra. </w:t>
      </w:r>
      <w:proofErr w:type="spellStart"/>
      <w:r w:rsidRPr="00287FFB">
        <w:rPr>
          <w:sz w:val="23"/>
          <w:szCs w:val="23"/>
        </w:rPr>
        <w:t>Rosselvy</w:t>
      </w:r>
      <w:proofErr w:type="spellEnd"/>
      <w:r w:rsidRPr="00287FFB">
        <w:rPr>
          <w:sz w:val="23"/>
          <w:szCs w:val="23"/>
        </w:rPr>
        <w:t xml:space="preserve"> del Carmen Domínguez Arévalo, Licda. María Elvia Magaña Sandoval, Mtro. Juan Correa López, M.D. Víctor Humberto Mejía Naranjo, Lic. Hernán González Sala, Lic. Vladimir Hernández Venegas y la Consejera Presidenta, Mtra. Elizabeth Nava Gutiérrez.</w:t>
      </w:r>
    </w:p>
    <w:p w14:paraId="469C5260" w14:textId="77777777" w:rsidR="004C716B" w:rsidRPr="00287FFB" w:rsidRDefault="004C716B" w:rsidP="004C716B">
      <w:pPr>
        <w:pStyle w:val="Puntos"/>
        <w:spacing w:before="240" w:line="288" w:lineRule="auto"/>
        <w:ind w:left="0"/>
        <w:rPr>
          <w:sz w:val="23"/>
          <w:szCs w:val="23"/>
        </w:rPr>
      </w:pPr>
    </w:p>
    <w:p w14:paraId="052498B3" w14:textId="17E89B7D" w:rsidR="004C716B" w:rsidRDefault="004C716B" w:rsidP="004C716B">
      <w:pPr>
        <w:pStyle w:val="Puntos"/>
        <w:spacing w:before="240" w:line="288" w:lineRule="auto"/>
        <w:ind w:left="0"/>
        <w:rPr>
          <w:sz w:val="23"/>
          <w:szCs w:val="23"/>
        </w:rPr>
      </w:pPr>
    </w:p>
    <w:p w14:paraId="51A1CD18" w14:textId="77777777" w:rsidR="00A14B3C" w:rsidRPr="00287FFB" w:rsidRDefault="00A14B3C" w:rsidP="004C716B">
      <w:pPr>
        <w:pStyle w:val="Puntos"/>
        <w:spacing w:before="240" w:line="288" w:lineRule="auto"/>
        <w:ind w:left="0"/>
        <w:rPr>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4C716B" w:rsidRPr="00287FFB" w14:paraId="4C5DF0C8" w14:textId="77777777" w:rsidTr="007E0A99">
        <w:tc>
          <w:tcPr>
            <w:tcW w:w="4395" w:type="dxa"/>
          </w:tcPr>
          <w:p w14:paraId="6802CE3C" w14:textId="77777777" w:rsidR="004C716B" w:rsidRPr="00287FFB" w:rsidRDefault="004C716B" w:rsidP="007E0A99">
            <w:pPr>
              <w:widowControl w:val="0"/>
              <w:spacing w:before="0" w:after="0"/>
              <w:jc w:val="center"/>
              <w:rPr>
                <w:b/>
                <w:spacing w:val="-10"/>
              </w:rPr>
            </w:pPr>
            <w:r w:rsidRPr="00287FFB">
              <w:rPr>
                <w:b/>
                <w:spacing w:val="-10"/>
              </w:rPr>
              <w:t>MTRA. ELIZABETH NAVA GUTIÉRREZ</w:t>
            </w:r>
          </w:p>
          <w:p w14:paraId="4EAED160" w14:textId="77777777" w:rsidR="004C716B" w:rsidRPr="00287FFB" w:rsidRDefault="004C716B" w:rsidP="007E0A99">
            <w:pPr>
              <w:widowControl w:val="0"/>
              <w:spacing w:before="0" w:after="0"/>
              <w:jc w:val="center"/>
              <w:rPr>
                <w:b/>
              </w:rPr>
            </w:pPr>
            <w:r w:rsidRPr="00287FFB">
              <w:rPr>
                <w:b/>
                <w:spacing w:val="-10"/>
              </w:rPr>
              <w:t>CONSEJERA PRESIDENTA</w:t>
            </w:r>
          </w:p>
        </w:tc>
        <w:tc>
          <w:tcPr>
            <w:tcW w:w="278" w:type="dxa"/>
          </w:tcPr>
          <w:p w14:paraId="23A33A33" w14:textId="77777777" w:rsidR="004C716B" w:rsidRPr="00287FFB" w:rsidRDefault="004C716B" w:rsidP="007E0A99">
            <w:pPr>
              <w:widowControl w:val="0"/>
              <w:spacing w:before="0" w:after="0"/>
              <w:rPr>
                <w:b/>
              </w:rPr>
            </w:pPr>
          </w:p>
        </w:tc>
        <w:tc>
          <w:tcPr>
            <w:tcW w:w="4400" w:type="dxa"/>
          </w:tcPr>
          <w:p w14:paraId="47FC86B3" w14:textId="77777777" w:rsidR="004C716B" w:rsidRPr="00287FFB" w:rsidRDefault="004C716B" w:rsidP="007E0A99">
            <w:pPr>
              <w:widowControl w:val="0"/>
              <w:spacing w:before="0" w:after="0"/>
              <w:jc w:val="center"/>
              <w:rPr>
                <w:b/>
                <w:spacing w:val="-10"/>
              </w:rPr>
            </w:pPr>
            <w:r w:rsidRPr="00287FFB">
              <w:rPr>
                <w:b/>
                <w:spacing w:val="-10"/>
              </w:rPr>
              <w:t>LIC. JORGE ALBERTO ZAVALA FRÍAS</w:t>
            </w:r>
          </w:p>
          <w:p w14:paraId="3DC86881" w14:textId="77777777" w:rsidR="004C716B" w:rsidRPr="00287FFB" w:rsidRDefault="004C716B" w:rsidP="007E0A99">
            <w:pPr>
              <w:widowControl w:val="0"/>
              <w:spacing w:before="0" w:after="0"/>
              <w:jc w:val="center"/>
              <w:rPr>
                <w:b/>
              </w:rPr>
            </w:pPr>
            <w:r w:rsidRPr="00287FFB">
              <w:rPr>
                <w:b/>
                <w:spacing w:val="-10"/>
              </w:rPr>
              <w:t>SECRETARIO DEL CONSEJO</w:t>
            </w:r>
          </w:p>
        </w:tc>
      </w:tr>
    </w:tbl>
    <w:p w14:paraId="00FBEA95" w14:textId="3070C4A6" w:rsidR="009560A8" w:rsidRDefault="009560A8" w:rsidP="00B06250">
      <w:bookmarkStart w:id="0" w:name="_GoBack"/>
      <w:bookmarkEnd w:id="0"/>
    </w:p>
    <w:sectPr w:rsidR="009560A8" w:rsidSect="00DE5972">
      <w:headerReference w:type="default" r:id="rId8"/>
      <w:footerReference w:type="default" r:id="rId9"/>
      <w:pgSz w:w="12240" w:h="15840" w:code="1"/>
      <w:pgMar w:top="1418" w:right="1608" w:bottom="1276"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308C8" w14:textId="77777777" w:rsidR="00584A1E" w:rsidRDefault="00584A1E" w:rsidP="004062C8">
      <w:pPr>
        <w:spacing w:before="0" w:after="0" w:line="240" w:lineRule="auto"/>
      </w:pPr>
      <w:r>
        <w:separator/>
      </w:r>
    </w:p>
  </w:endnote>
  <w:endnote w:type="continuationSeparator" w:id="0">
    <w:p w14:paraId="16D582B0" w14:textId="77777777" w:rsidR="00584A1E" w:rsidRDefault="00584A1E" w:rsidP="004062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1500774585"/>
      <w:docPartObj>
        <w:docPartGallery w:val="Page Numbers (Top of Page)"/>
        <w:docPartUnique/>
      </w:docPartObj>
    </w:sdtPr>
    <w:sdtEndPr/>
    <w:sdtContent>
      <w:p w14:paraId="70ADCBFC" w14:textId="488DC3A8" w:rsidR="007E0A99" w:rsidRPr="00FC394E" w:rsidRDefault="007E0A99" w:rsidP="00FC394E">
        <w:pPr>
          <w:pStyle w:val="Piedepgina"/>
          <w:jc w:val="right"/>
          <w:rPr>
            <w:color w:val="993366"/>
            <w:sz w:val="20"/>
            <w:szCs w:val="20"/>
          </w:rPr>
        </w:pPr>
        <w:r w:rsidRPr="00346812">
          <w:rPr>
            <w:b/>
            <w:bCs/>
            <w:color w:val="993366"/>
            <w:lang w:val="es-ES"/>
          </w:rPr>
          <w:t xml:space="preserve">Página </w:t>
        </w:r>
        <w:r w:rsidRPr="00346812">
          <w:rPr>
            <w:b/>
            <w:bCs/>
            <w:color w:val="993366"/>
          </w:rPr>
          <w:fldChar w:fldCharType="begin"/>
        </w:r>
        <w:r w:rsidRPr="00346812">
          <w:rPr>
            <w:b/>
            <w:bCs/>
            <w:color w:val="993366"/>
          </w:rPr>
          <w:instrText>PAGE</w:instrText>
        </w:r>
        <w:r w:rsidRPr="00346812">
          <w:rPr>
            <w:b/>
            <w:bCs/>
            <w:color w:val="993366"/>
          </w:rPr>
          <w:fldChar w:fldCharType="separate"/>
        </w:r>
        <w:r w:rsidR="00DE5972">
          <w:rPr>
            <w:b/>
            <w:bCs/>
            <w:noProof/>
            <w:color w:val="993366"/>
          </w:rPr>
          <w:t>15</w:t>
        </w:r>
        <w:r w:rsidRPr="00346812">
          <w:rPr>
            <w:b/>
            <w:bCs/>
            <w:color w:val="993366"/>
          </w:rPr>
          <w:fldChar w:fldCharType="end"/>
        </w:r>
        <w:r w:rsidRPr="00346812">
          <w:rPr>
            <w:b/>
            <w:bCs/>
            <w:color w:val="993366"/>
            <w:lang w:val="es-ES"/>
          </w:rPr>
          <w:t xml:space="preserve"> | </w:t>
        </w:r>
        <w:r w:rsidRPr="00346812">
          <w:rPr>
            <w:b/>
            <w:bCs/>
            <w:color w:val="993366"/>
          </w:rPr>
          <w:fldChar w:fldCharType="begin"/>
        </w:r>
        <w:r w:rsidRPr="00346812">
          <w:rPr>
            <w:b/>
            <w:bCs/>
            <w:color w:val="993366"/>
          </w:rPr>
          <w:instrText>NUMPAGES</w:instrText>
        </w:r>
        <w:r w:rsidRPr="00346812">
          <w:rPr>
            <w:b/>
            <w:bCs/>
            <w:color w:val="993366"/>
          </w:rPr>
          <w:fldChar w:fldCharType="separate"/>
        </w:r>
        <w:r w:rsidR="00DE5972">
          <w:rPr>
            <w:b/>
            <w:bCs/>
            <w:noProof/>
            <w:color w:val="993366"/>
          </w:rPr>
          <w:t>15</w:t>
        </w:r>
        <w:r w:rsidRPr="00346812">
          <w:rPr>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C77D3" w14:textId="77777777" w:rsidR="00584A1E" w:rsidRDefault="00584A1E" w:rsidP="004062C8">
      <w:pPr>
        <w:spacing w:before="0" w:after="0" w:line="240" w:lineRule="auto"/>
      </w:pPr>
      <w:r>
        <w:separator/>
      </w:r>
    </w:p>
  </w:footnote>
  <w:footnote w:type="continuationSeparator" w:id="0">
    <w:p w14:paraId="44D2D01E" w14:textId="77777777" w:rsidR="00584A1E" w:rsidRDefault="00584A1E" w:rsidP="004062C8">
      <w:pPr>
        <w:spacing w:before="0" w:after="0" w:line="240" w:lineRule="auto"/>
      </w:pPr>
      <w:r>
        <w:continuationSeparator/>
      </w:r>
    </w:p>
  </w:footnote>
  <w:footnote w:id="1">
    <w:p w14:paraId="163AA512" w14:textId="77777777" w:rsidR="007E0A99" w:rsidRPr="00BF279C" w:rsidRDefault="007E0A99" w:rsidP="003C5E81">
      <w:pPr>
        <w:pStyle w:val="Textonotapie"/>
        <w:rPr>
          <w:sz w:val="16"/>
          <w:lang w:val="es-ES"/>
        </w:rPr>
      </w:pPr>
      <w:r w:rsidRPr="00BF279C">
        <w:rPr>
          <w:rStyle w:val="Refdenotaalpie"/>
          <w:sz w:val="16"/>
        </w:rPr>
        <w:footnoteRef/>
      </w:r>
      <w:r w:rsidRPr="00BF279C">
        <w:rPr>
          <w:sz w:val="16"/>
        </w:rPr>
        <w:t xml:space="preserve"> </w:t>
      </w:r>
      <w:r w:rsidRPr="00BF279C">
        <w:rPr>
          <w:caps/>
          <w:color w:val="000000"/>
          <w:sz w:val="16"/>
        </w:rPr>
        <w:t>SUP-JDC-50/2018</w:t>
      </w:r>
    </w:p>
  </w:footnote>
  <w:footnote w:id="2">
    <w:p w14:paraId="5DEC9437" w14:textId="77777777" w:rsidR="007E0A99" w:rsidRPr="00DB6CB9" w:rsidRDefault="007E0A99" w:rsidP="007A1501">
      <w:pPr>
        <w:pStyle w:val="Textonotapie"/>
        <w:rPr>
          <w:sz w:val="16"/>
          <w:lang w:val="es-ES"/>
        </w:rPr>
      </w:pPr>
      <w:r w:rsidRPr="00DB6CB9">
        <w:rPr>
          <w:rStyle w:val="Refdenotaalpie"/>
          <w:sz w:val="16"/>
        </w:rPr>
        <w:footnoteRef/>
      </w:r>
      <w:r w:rsidRPr="00DB6CB9">
        <w:rPr>
          <w:sz w:val="16"/>
        </w:rPr>
        <w:t xml:space="preserve"> De acuerdo con el artículo 1, inciso cc) de los Lineamientos de Verificación, el portal web es el Componente del Sistema de Captación de Datos para Procesos de Participación Ciudadana y Actores Políticos, que permite el registro de las personas aspirantes a Candidaturas Independientes por parte del organismo electoral, la administración del registro de personas auxiliares por parte de las personas aspirantes, así como la consulta de los reportes estadísticos y nominativos relacionados con los registros de apoyo de la ciudadanía, incluyendo los estatus del resultado de la revisión en Mesa de Control y el desahogo</w:t>
      </w:r>
      <w:r>
        <w:rPr>
          <w:sz w:val="16"/>
        </w:rPr>
        <w:t xml:space="preserve"> de Garantía de Audiencia.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7E0A99" w:rsidRPr="00063338" w14:paraId="126822FA" w14:textId="77777777" w:rsidTr="007E0A99">
      <w:tc>
        <w:tcPr>
          <w:tcW w:w="1418" w:type="dxa"/>
        </w:tcPr>
        <w:p w14:paraId="36458658" w14:textId="77777777" w:rsidR="007E0A99" w:rsidRPr="00063338" w:rsidRDefault="007E0A99" w:rsidP="004062C8">
          <w:pPr>
            <w:pStyle w:val="Encabezado"/>
            <w:ind w:left="-170"/>
            <w:jc w:val="left"/>
          </w:pPr>
          <w:r>
            <w:rPr>
              <w:b/>
              <w:noProof/>
              <w:sz w:val="32"/>
              <w:lang w:eastAsia="es-MX"/>
            </w:rPr>
            <w:drawing>
              <wp:inline distT="0" distB="0" distL="0" distR="0" wp14:anchorId="40129BF9" wp14:editId="24F6806B">
                <wp:extent cx="1014331" cy="1199403"/>
                <wp:effectExtent l="0" t="0" r="0" b="1270"/>
                <wp:docPr id="3" name="Imagen 3"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243FC0CD" w14:textId="77777777" w:rsidR="007E0A99" w:rsidRPr="00507065" w:rsidRDefault="007E0A99" w:rsidP="004062C8">
          <w:pPr>
            <w:pStyle w:val="Encabezado"/>
            <w:spacing w:before="720"/>
            <w:jc w:val="center"/>
            <w:rPr>
              <w:b/>
              <w:bCs/>
              <w:sz w:val="25"/>
              <w:szCs w:val="25"/>
            </w:rPr>
          </w:pPr>
          <w:r w:rsidRPr="00507065">
            <w:rPr>
              <w:b/>
              <w:bCs/>
              <w:sz w:val="25"/>
              <w:szCs w:val="25"/>
            </w:rPr>
            <w:t>INSTITUTO ELECTORAL Y DE PARTICIPACIÓN CIUDADANA DE TABASCO</w:t>
          </w:r>
        </w:p>
        <w:p w14:paraId="3CD4425A" w14:textId="77777777" w:rsidR="007E0A99" w:rsidRPr="00063338" w:rsidRDefault="007E0A99" w:rsidP="004062C8">
          <w:pPr>
            <w:pStyle w:val="Encabezado"/>
            <w:jc w:val="center"/>
          </w:pPr>
          <w:r w:rsidRPr="00507065">
            <w:rPr>
              <w:sz w:val="26"/>
              <w:szCs w:val="26"/>
            </w:rPr>
            <w:t>CONSEJO ESTATAL</w:t>
          </w:r>
        </w:p>
      </w:tc>
      <w:tc>
        <w:tcPr>
          <w:tcW w:w="1701" w:type="dxa"/>
        </w:tcPr>
        <w:p w14:paraId="36025448" w14:textId="77777777" w:rsidR="007E0A99" w:rsidRPr="00063338" w:rsidRDefault="007E0A99" w:rsidP="004062C8">
          <w:pPr>
            <w:pStyle w:val="Encabezado"/>
            <w:spacing w:before="480"/>
          </w:pPr>
          <w:r>
            <w:rPr>
              <w:noProof/>
              <w:lang w:eastAsia="es-MX"/>
            </w:rPr>
            <w:drawing>
              <wp:inline distT="0" distB="0" distL="0" distR="0" wp14:anchorId="1FA93DFF" wp14:editId="3ABC3129">
                <wp:extent cx="921600" cy="756000"/>
                <wp:effectExtent l="0" t="0" r="0" b="6350"/>
                <wp:docPr id="4" name="Imagen 4"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775F8F3F" w14:textId="27454CC2" w:rsidR="007E0A99" w:rsidRDefault="00DE5972" w:rsidP="00DE5972">
    <w:pPr>
      <w:pStyle w:val="Encabezado"/>
      <w:jc w:val="right"/>
      <w:rPr>
        <w:b/>
        <w:sz w:val="24"/>
        <w:szCs w:val="24"/>
      </w:rPr>
    </w:pPr>
    <w:r w:rsidRPr="00DE5972">
      <w:rPr>
        <w:b/>
        <w:sz w:val="24"/>
        <w:szCs w:val="24"/>
      </w:rPr>
      <w:t>CE/2023/071</w:t>
    </w:r>
  </w:p>
  <w:p w14:paraId="289E85D8" w14:textId="77777777" w:rsidR="00DE5972" w:rsidRPr="00DE5972" w:rsidRDefault="00DE5972" w:rsidP="00DE5972">
    <w:pPr>
      <w:pStyle w:val="Encabezado"/>
      <w:jc w:val="right"/>
      <w:rPr>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7DD"/>
    <w:multiLevelType w:val="hybridMultilevel"/>
    <w:tmpl w:val="B16E59AA"/>
    <w:lvl w:ilvl="0" w:tplc="FF642A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741A4B"/>
    <w:multiLevelType w:val="multilevel"/>
    <w:tmpl w:val="B10822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8AB0113"/>
    <w:multiLevelType w:val="hybridMultilevel"/>
    <w:tmpl w:val="706A21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C0243B"/>
    <w:multiLevelType w:val="hybridMultilevel"/>
    <w:tmpl w:val="A9780B92"/>
    <w:lvl w:ilvl="0" w:tplc="FF642A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F626578"/>
    <w:multiLevelType w:val="multilevel"/>
    <w:tmpl w:val="87ECF7E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5036677A"/>
    <w:multiLevelType w:val="hybridMultilevel"/>
    <w:tmpl w:val="8BBE59B0"/>
    <w:lvl w:ilvl="0" w:tplc="FF642A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8F84F7E"/>
    <w:multiLevelType w:val="hybridMultilevel"/>
    <w:tmpl w:val="9ABEEE10"/>
    <w:lvl w:ilvl="0" w:tplc="FAB6E0C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6DA68E4"/>
    <w:multiLevelType w:val="hybridMultilevel"/>
    <w:tmpl w:val="706A21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5"/>
  </w:num>
  <w:num w:numId="5">
    <w:abstractNumId w:val="0"/>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035"/>
    <w:rsid w:val="00002237"/>
    <w:rsid w:val="00030BA7"/>
    <w:rsid w:val="00055B1C"/>
    <w:rsid w:val="000807EB"/>
    <w:rsid w:val="000A6C71"/>
    <w:rsid w:val="000D5C9B"/>
    <w:rsid w:val="000E2918"/>
    <w:rsid w:val="00113FD6"/>
    <w:rsid w:val="00114093"/>
    <w:rsid w:val="00115ED6"/>
    <w:rsid w:val="00134662"/>
    <w:rsid w:val="0013730E"/>
    <w:rsid w:val="00163939"/>
    <w:rsid w:val="00166B96"/>
    <w:rsid w:val="001960E1"/>
    <w:rsid w:val="001A1472"/>
    <w:rsid w:val="001D71A3"/>
    <w:rsid w:val="00225C13"/>
    <w:rsid w:val="00267577"/>
    <w:rsid w:val="002709CE"/>
    <w:rsid w:val="002748CE"/>
    <w:rsid w:val="002A61CB"/>
    <w:rsid w:val="002D7715"/>
    <w:rsid w:val="002E0351"/>
    <w:rsid w:val="00301E55"/>
    <w:rsid w:val="00310836"/>
    <w:rsid w:val="003279E9"/>
    <w:rsid w:val="00334C80"/>
    <w:rsid w:val="003A5FA0"/>
    <w:rsid w:val="003B4951"/>
    <w:rsid w:val="003C170D"/>
    <w:rsid w:val="003C5E81"/>
    <w:rsid w:val="003C6613"/>
    <w:rsid w:val="003C6C3B"/>
    <w:rsid w:val="004062C8"/>
    <w:rsid w:val="00426287"/>
    <w:rsid w:val="004875A9"/>
    <w:rsid w:val="004B6FB2"/>
    <w:rsid w:val="004C716B"/>
    <w:rsid w:val="004D1AC7"/>
    <w:rsid w:val="004E4F3A"/>
    <w:rsid w:val="00532454"/>
    <w:rsid w:val="00562B8F"/>
    <w:rsid w:val="00577CFF"/>
    <w:rsid w:val="00584A1E"/>
    <w:rsid w:val="005C0CCD"/>
    <w:rsid w:val="005D41D6"/>
    <w:rsid w:val="00604DA0"/>
    <w:rsid w:val="00613A3B"/>
    <w:rsid w:val="00667DEE"/>
    <w:rsid w:val="00681B4D"/>
    <w:rsid w:val="0071630D"/>
    <w:rsid w:val="00736867"/>
    <w:rsid w:val="00756AD9"/>
    <w:rsid w:val="007603A8"/>
    <w:rsid w:val="007729E4"/>
    <w:rsid w:val="007737BB"/>
    <w:rsid w:val="007908AA"/>
    <w:rsid w:val="007A0C12"/>
    <w:rsid w:val="007A1501"/>
    <w:rsid w:val="007B0FFA"/>
    <w:rsid w:val="007B5FE1"/>
    <w:rsid w:val="007E0733"/>
    <w:rsid w:val="007E0A99"/>
    <w:rsid w:val="0081781E"/>
    <w:rsid w:val="008576CF"/>
    <w:rsid w:val="00875A4D"/>
    <w:rsid w:val="008954C8"/>
    <w:rsid w:val="00896035"/>
    <w:rsid w:val="008A4965"/>
    <w:rsid w:val="008C15FD"/>
    <w:rsid w:val="008D104C"/>
    <w:rsid w:val="008D448D"/>
    <w:rsid w:val="008D525B"/>
    <w:rsid w:val="00903BE3"/>
    <w:rsid w:val="00924CB4"/>
    <w:rsid w:val="009560A8"/>
    <w:rsid w:val="00985C9E"/>
    <w:rsid w:val="009A2E16"/>
    <w:rsid w:val="009D2449"/>
    <w:rsid w:val="00A06EB7"/>
    <w:rsid w:val="00A14B3C"/>
    <w:rsid w:val="00A46A67"/>
    <w:rsid w:val="00A51BB0"/>
    <w:rsid w:val="00A55CF7"/>
    <w:rsid w:val="00AB2BA0"/>
    <w:rsid w:val="00AE077D"/>
    <w:rsid w:val="00AE195F"/>
    <w:rsid w:val="00AF3E51"/>
    <w:rsid w:val="00B06250"/>
    <w:rsid w:val="00B23B60"/>
    <w:rsid w:val="00B24B39"/>
    <w:rsid w:val="00B81A93"/>
    <w:rsid w:val="00BF276D"/>
    <w:rsid w:val="00C57EF2"/>
    <w:rsid w:val="00CC4648"/>
    <w:rsid w:val="00CC4C9A"/>
    <w:rsid w:val="00CD1A60"/>
    <w:rsid w:val="00CD590C"/>
    <w:rsid w:val="00D067F4"/>
    <w:rsid w:val="00D1670D"/>
    <w:rsid w:val="00D30F50"/>
    <w:rsid w:val="00D31E13"/>
    <w:rsid w:val="00D606DD"/>
    <w:rsid w:val="00D97EF2"/>
    <w:rsid w:val="00DA0646"/>
    <w:rsid w:val="00DB3364"/>
    <w:rsid w:val="00DB6CB9"/>
    <w:rsid w:val="00DE5972"/>
    <w:rsid w:val="00E066B9"/>
    <w:rsid w:val="00E14044"/>
    <w:rsid w:val="00E32024"/>
    <w:rsid w:val="00E534E2"/>
    <w:rsid w:val="00E86CDB"/>
    <w:rsid w:val="00E97B18"/>
    <w:rsid w:val="00EC3600"/>
    <w:rsid w:val="00EC799E"/>
    <w:rsid w:val="00F51770"/>
    <w:rsid w:val="00F800C1"/>
    <w:rsid w:val="00F82ECD"/>
    <w:rsid w:val="00F902A7"/>
    <w:rsid w:val="00F97E9F"/>
    <w:rsid w:val="00FC394E"/>
    <w:rsid w:val="00FE2D60"/>
    <w:rsid w:val="00FE532F"/>
    <w:rsid w:val="00FF73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8A2F9"/>
  <w15:chartTrackingRefBased/>
  <w15:docId w15:val="{E62934E1-FD0B-436E-AAC1-31280DF3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250"/>
    <w:pPr>
      <w:spacing w:before="240" w:after="240" w:line="288" w:lineRule="auto"/>
      <w:jc w:val="both"/>
    </w:pPr>
    <w:rPr>
      <w:rFonts w:ascii="Arial" w:hAnsi="Arial" w:cs="Arial"/>
      <w:sz w:val="23"/>
      <w:szCs w:val="23"/>
    </w:rPr>
  </w:style>
  <w:style w:type="paragraph" w:styleId="Ttulo1">
    <w:name w:val="heading 1"/>
    <w:basedOn w:val="Normal"/>
    <w:next w:val="Normal"/>
    <w:link w:val="Ttulo1Car"/>
    <w:uiPriority w:val="9"/>
    <w:qFormat/>
    <w:rsid w:val="004B6FB2"/>
    <w:pPr>
      <w:keepNext/>
      <w:keepLines/>
      <w:numPr>
        <w:numId w:val="3"/>
      </w:numPr>
      <w:spacing w:before="600" w:after="480"/>
      <w:ind w:left="431" w:hanging="431"/>
      <w:jc w:val="center"/>
      <w:outlineLvl w:val="0"/>
    </w:pPr>
    <w:rPr>
      <w:rFonts w:eastAsiaTheme="majorEastAsia"/>
      <w:b/>
      <w:bCs/>
      <w:kern w:val="2"/>
      <w:sz w:val="28"/>
      <w14:ligatures w14:val="standardContextual"/>
    </w:rPr>
  </w:style>
  <w:style w:type="paragraph" w:styleId="Ttulo2">
    <w:name w:val="heading 2"/>
    <w:basedOn w:val="Normal"/>
    <w:next w:val="Normal"/>
    <w:link w:val="Ttulo2Car"/>
    <w:uiPriority w:val="9"/>
    <w:unhideWhenUsed/>
    <w:qFormat/>
    <w:rsid w:val="004B6FB2"/>
    <w:pPr>
      <w:keepNext/>
      <w:keepLines/>
      <w:numPr>
        <w:ilvl w:val="1"/>
        <w:numId w:val="3"/>
      </w:numPr>
      <w:spacing w:before="480"/>
      <w:ind w:left="578" w:hanging="578"/>
      <w:outlineLvl w:val="1"/>
    </w:pPr>
    <w:rPr>
      <w:rFonts w:eastAsiaTheme="majorEastAsia"/>
      <w:b/>
      <w:bCs/>
      <w:kern w:val="2"/>
      <w:sz w:val="24"/>
      <w14:ligatures w14:val="standardContextual"/>
    </w:rPr>
  </w:style>
  <w:style w:type="paragraph" w:styleId="Ttulo3">
    <w:name w:val="heading 3"/>
    <w:basedOn w:val="Normal"/>
    <w:next w:val="Normal"/>
    <w:link w:val="Ttulo3Car"/>
    <w:uiPriority w:val="9"/>
    <w:unhideWhenUsed/>
    <w:qFormat/>
    <w:rsid w:val="004B6FB2"/>
    <w:pPr>
      <w:keepNext/>
      <w:keepLines/>
      <w:numPr>
        <w:ilvl w:val="2"/>
        <w:numId w:val="3"/>
      </w:numPr>
      <w:spacing w:before="600"/>
      <w:outlineLvl w:val="2"/>
    </w:pPr>
    <w:rPr>
      <w:rFonts w:eastAsiaTheme="majorEastAsia"/>
      <w:b/>
      <w:bCs/>
      <w:kern w:val="2"/>
      <w:sz w:val="24"/>
      <w:szCs w:val="24"/>
      <w14:ligatures w14:val="standardContextual"/>
    </w:rPr>
  </w:style>
  <w:style w:type="paragraph" w:styleId="Ttulo4">
    <w:name w:val="heading 4"/>
    <w:basedOn w:val="Normal"/>
    <w:next w:val="Normal"/>
    <w:link w:val="Ttulo4Car"/>
    <w:uiPriority w:val="9"/>
    <w:semiHidden/>
    <w:unhideWhenUsed/>
    <w:qFormat/>
    <w:rsid w:val="004B6FB2"/>
    <w:pPr>
      <w:keepNext/>
      <w:keepLines/>
      <w:numPr>
        <w:ilvl w:val="3"/>
        <w:numId w:val="3"/>
      </w:numPr>
      <w:spacing w:before="40" w:after="0"/>
      <w:outlineLvl w:val="3"/>
    </w:pPr>
    <w:rPr>
      <w:rFonts w:asciiTheme="majorHAnsi" w:eastAsiaTheme="majorEastAsia" w:hAnsiTheme="majorHAnsi" w:cstheme="majorBidi"/>
      <w:i/>
      <w:iCs/>
      <w:color w:val="2E74B5" w:themeColor="accent1" w:themeShade="BF"/>
      <w:kern w:val="2"/>
      <w:sz w:val="24"/>
      <w:szCs w:val="24"/>
      <w14:ligatures w14:val="standardContextual"/>
    </w:rPr>
  </w:style>
  <w:style w:type="paragraph" w:styleId="Ttulo5">
    <w:name w:val="heading 5"/>
    <w:basedOn w:val="Normal"/>
    <w:next w:val="Normal"/>
    <w:link w:val="Ttulo5Car"/>
    <w:uiPriority w:val="9"/>
    <w:semiHidden/>
    <w:unhideWhenUsed/>
    <w:qFormat/>
    <w:rsid w:val="004B6FB2"/>
    <w:pPr>
      <w:keepNext/>
      <w:keepLines/>
      <w:numPr>
        <w:ilvl w:val="4"/>
        <w:numId w:val="3"/>
      </w:numPr>
      <w:spacing w:before="40" w:after="0"/>
      <w:outlineLvl w:val="4"/>
    </w:pPr>
    <w:rPr>
      <w:rFonts w:asciiTheme="majorHAnsi" w:eastAsiaTheme="majorEastAsia" w:hAnsiTheme="majorHAnsi" w:cstheme="majorBidi"/>
      <w:color w:val="2E74B5" w:themeColor="accent1" w:themeShade="BF"/>
      <w:kern w:val="2"/>
      <w:sz w:val="24"/>
      <w:szCs w:val="24"/>
      <w14:ligatures w14:val="standardContextual"/>
    </w:rPr>
  </w:style>
  <w:style w:type="paragraph" w:styleId="Ttulo6">
    <w:name w:val="heading 6"/>
    <w:basedOn w:val="Normal"/>
    <w:next w:val="Normal"/>
    <w:link w:val="Ttulo6Car"/>
    <w:uiPriority w:val="9"/>
    <w:semiHidden/>
    <w:unhideWhenUsed/>
    <w:qFormat/>
    <w:rsid w:val="004B6FB2"/>
    <w:pPr>
      <w:keepNext/>
      <w:keepLines/>
      <w:numPr>
        <w:ilvl w:val="5"/>
        <w:numId w:val="3"/>
      </w:numPr>
      <w:spacing w:before="40" w:after="0"/>
      <w:outlineLvl w:val="5"/>
    </w:pPr>
    <w:rPr>
      <w:rFonts w:asciiTheme="majorHAnsi" w:eastAsiaTheme="majorEastAsia" w:hAnsiTheme="majorHAnsi" w:cstheme="majorBidi"/>
      <w:color w:val="1F4D78" w:themeColor="accent1" w:themeShade="7F"/>
      <w:kern w:val="2"/>
      <w:sz w:val="24"/>
      <w:szCs w:val="24"/>
      <w14:ligatures w14:val="standardContextual"/>
    </w:rPr>
  </w:style>
  <w:style w:type="paragraph" w:styleId="Ttulo7">
    <w:name w:val="heading 7"/>
    <w:basedOn w:val="Normal"/>
    <w:next w:val="Normal"/>
    <w:link w:val="Ttulo7Car"/>
    <w:uiPriority w:val="9"/>
    <w:semiHidden/>
    <w:unhideWhenUsed/>
    <w:qFormat/>
    <w:rsid w:val="004B6FB2"/>
    <w:pPr>
      <w:keepNext/>
      <w:keepLines/>
      <w:numPr>
        <w:ilvl w:val="6"/>
        <w:numId w:val="3"/>
      </w:numPr>
      <w:spacing w:before="40" w:after="0"/>
      <w:outlineLvl w:val="6"/>
    </w:pPr>
    <w:rPr>
      <w:rFonts w:asciiTheme="majorHAnsi" w:eastAsiaTheme="majorEastAsia" w:hAnsiTheme="majorHAnsi" w:cstheme="majorBidi"/>
      <w:i/>
      <w:iCs/>
      <w:color w:val="1F4D78" w:themeColor="accent1" w:themeShade="7F"/>
      <w:kern w:val="2"/>
      <w:sz w:val="24"/>
      <w:szCs w:val="24"/>
      <w14:ligatures w14:val="standardContextual"/>
    </w:rPr>
  </w:style>
  <w:style w:type="paragraph" w:styleId="Ttulo8">
    <w:name w:val="heading 8"/>
    <w:basedOn w:val="Normal"/>
    <w:next w:val="Normal"/>
    <w:link w:val="Ttulo8Car"/>
    <w:uiPriority w:val="9"/>
    <w:semiHidden/>
    <w:unhideWhenUsed/>
    <w:qFormat/>
    <w:rsid w:val="004B6FB2"/>
    <w:pPr>
      <w:keepNext/>
      <w:keepLines/>
      <w:numPr>
        <w:ilvl w:val="7"/>
        <w:numId w:val="3"/>
      </w:numPr>
      <w:spacing w:before="40" w:after="0"/>
      <w:outlineLvl w:val="7"/>
    </w:pPr>
    <w:rPr>
      <w:rFonts w:asciiTheme="majorHAnsi" w:eastAsiaTheme="majorEastAsia" w:hAnsiTheme="majorHAnsi" w:cstheme="majorBidi"/>
      <w:color w:val="272727" w:themeColor="text1" w:themeTint="D8"/>
      <w:kern w:val="2"/>
      <w:sz w:val="21"/>
      <w:szCs w:val="21"/>
      <w14:ligatures w14:val="standardContextual"/>
    </w:rPr>
  </w:style>
  <w:style w:type="paragraph" w:styleId="Ttulo9">
    <w:name w:val="heading 9"/>
    <w:basedOn w:val="Normal"/>
    <w:next w:val="Normal"/>
    <w:link w:val="Ttulo9Car"/>
    <w:uiPriority w:val="9"/>
    <w:semiHidden/>
    <w:unhideWhenUsed/>
    <w:qFormat/>
    <w:rsid w:val="004B6FB2"/>
    <w:pPr>
      <w:keepNext/>
      <w:keepLines/>
      <w:numPr>
        <w:ilvl w:val="8"/>
        <w:numId w:val="3"/>
      </w:numPr>
      <w:spacing w:before="40" w:after="0"/>
      <w:outlineLvl w:val="8"/>
    </w:pPr>
    <w:rPr>
      <w:rFonts w:asciiTheme="majorHAnsi" w:eastAsiaTheme="majorEastAsia" w:hAnsiTheme="majorHAnsi" w:cstheme="majorBidi"/>
      <w:i/>
      <w:iCs/>
      <w:color w:val="272727" w:themeColor="text1" w:themeTint="D8"/>
      <w:kern w:val="2"/>
      <w:sz w:val="21"/>
      <w:szCs w:val="21"/>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96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AB List 1,Bullet Points,Bullet List,FooterText,numbered,Paragraphe de liste1,List Paragraph1,Bulletr List Paragraph,CNBV Parrafo1"/>
    <w:basedOn w:val="Normal"/>
    <w:link w:val="PrrafodelistaCar"/>
    <w:uiPriority w:val="34"/>
    <w:qFormat/>
    <w:rsid w:val="00B06250"/>
    <w:pPr>
      <w:ind w:left="720"/>
      <w:contextualSpacing/>
    </w:pPr>
  </w:style>
  <w:style w:type="character" w:customStyle="1" w:styleId="Ttulo1Car">
    <w:name w:val="Título 1 Car"/>
    <w:basedOn w:val="Fuentedeprrafopredeter"/>
    <w:link w:val="Ttulo1"/>
    <w:uiPriority w:val="9"/>
    <w:rsid w:val="004B6FB2"/>
    <w:rPr>
      <w:rFonts w:ascii="Arial" w:eastAsiaTheme="majorEastAsia" w:hAnsi="Arial" w:cs="Arial"/>
      <w:b/>
      <w:bCs/>
      <w:kern w:val="2"/>
      <w:sz w:val="28"/>
      <w:szCs w:val="23"/>
      <w14:ligatures w14:val="standardContextual"/>
    </w:rPr>
  </w:style>
  <w:style w:type="character" w:customStyle="1" w:styleId="Ttulo2Car">
    <w:name w:val="Título 2 Car"/>
    <w:basedOn w:val="Fuentedeprrafopredeter"/>
    <w:link w:val="Ttulo2"/>
    <w:uiPriority w:val="9"/>
    <w:rsid w:val="004B6FB2"/>
    <w:rPr>
      <w:rFonts w:ascii="Arial" w:eastAsiaTheme="majorEastAsia" w:hAnsi="Arial" w:cs="Arial"/>
      <w:b/>
      <w:bCs/>
      <w:kern w:val="2"/>
      <w:sz w:val="24"/>
      <w:szCs w:val="23"/>
      <w14:ligatures w14:val="standardContextual"/>
    </w:rPr>
  </w:style>
  <w:style w:type="character" w:customStyle="1" w:styleId="Ttulo3Car">
    <w:name w:val="Título 3 Car"/>
    <w:basedOn w:val="Fuentedeprrafopredeter"/>
    <w:link w:val="Ttulo3"/>
    <w:uiPriority w:val="9"/>
    <w:rsid w:val="004B6FB2"/>
    <w:rPr>
      <w:rFonts w:ascii="Arial" w:eastAsiaTheme="majorEastAsia" w:hAnsi="Arial" w:cs="Arial"/>
      <w:b/>
      <w:bCs/>
      <w:kern w:val="2"/>
      <w:sz w:val="24"/>
      <w:szCs w:val="24"/>
      <w14:ligatures w14:val="standardContextual"/>
    </w:rPr>
  </w:style>
  <w:style w:type="character" w:customStyle="1" w:styleId="Ttulo4Car">
    <w:name w:val="Título 4 Car"/>
    <w:basedOn w:val="Fuentedeprrafopredeter"/>
    <w:link w:val="Ttulo4"/>
    <w:uiPriority w:val="9"/>
    <w:semiHidden/>
    <w:rsid w:val="004B6FB2"/>
    <w:rPr>
      <w:rFonts w:asciiTheme="majorHAnsi" w:eastAsiaTheme="majorEastAsia" w:hAnsiTheme="majorHAnsi" w:cstheme="majorBidi"/>
      <w:i/>
      <w:iCs/>
      <w:color w:val="2E74B5" w:themeColor="accent1" w:themeShade="BF"/>
      <w:kern w:val="2"/>
      <w:sz w:val="24"/>
      <w:szCs w:val="24"/>
      <w14:ligatures w14:val="standardContextual"/>
    </w:rPr>
  </w:style>
  <w:style w:type="character" w:customStyle="1" w:styleId="Ttulo5Car">
    <w:name w:val="Título 5 Car"/>
    <w:basedOn w:val="Fuentedeprrafopredeter"/>
    <w:link w:val="Ttulo5"/>
    <w:uiPriority w:val="9"/>
    <w:semiHidden/>
    <w:rsid w:val="004B6FB2"/>
    <w:rPr>
      <w:rFonts w:asciiTheme="majorHAnsi" w:eastAsiaTheme="majorEastAsia" w:hAnsiTheme="majorHAnsi" w:cstheme="majorBidi"/>
      <w:color w:val="2E74B5" w:themeColor="accent1" w:themeShade="BF"/>
      <w:kern w:val="2"/>
      <w:sz w:val="24"/>
      <w:szCs w:val="24"/>
      <w14:ligatures w14:val="standardContextual"/>
    </w:rPr>
  </w:style>
  <w:style w:type="character" w:customStyle="1" w:styleId="Ttulo6Car">
    <w:name w:val="Título 6 Car"/>
    <w:basedOn w:val="Fuentedeprrafopredeter"/>
    <w:link w:val="Ttulo6"/>
    <w:uiPriority w:val="9"/>
    <w:semiHidden/>
    <w:rsid w:val="004B6FB2"/>
    <w:rPr>
      <w:rFonts w:asciiTheme="majorHAnsi" w:eastAsiaTheme="majorEastAsia" w:hAnsiTheme="majorHAnsi" w:cstheme="majorBidi"/>
      <w:color w:val="1F4D78" w:themeColor="accent1" w:themeShade="7F"/>
      <w:kern w:val="2"/>
      <w:sz w:val="24"/>
      <w:szCs w:val="24"/>
      <w14:ligatures w14:val="standardContextual"/>
    </w:rPr>
  </w:style>
  <w:style w:type="character" w:customStyle="1" w:styleId="Ttulo7Car">
    <w:name w:val="Título 7 Car"/>
    <w:basedOn w:val="Fuentedeprrafopredeter"/>
    <w:link w:val="Ttulo7"/>
    <w:uiPriority w:val="9"/>
    <w:semiHidden/>
    <w:rsid w:val="004B6FB2"/>
    <w:rPr>
      <w:rFonts w:asciiTheme="majorHAnsi" w:eastAsiaTheme="majorEastAsia" w:hAnsiTheme="majorHAnsi" w:cstheme="majorBidi"/>
      <w:i/>
      <w:iCs/>
      <w:color w:val="1F4D78" w:themeColor="accent1" w:themeShade="7F"/>
      <w:kern w:val="2"/>
      <w:sz w:val="24"/>
      <w:szCs w:val="24"/>
      <w14:ligatures w14:val="standardContextual"/>
    </w:rPr>
  </w:style>
  <w:style w:type="character" w:customStyle="1" w:styleId="Ttulo8Car">
    <w:name w:val="Título 8 Car"/>
    <w:basedOn w:val="Fuentedeprrafopredeter"/>
    <w:link w:val="Ttulo8"/>
    <w:uiPriority w:val="9"/>
    <w:semiHidden/>
    <w:rsid w:val="004B6FB2"/>
    <w:rPr>
      <w:rFonts w:asciiTheme="majorHAnsi" w:eastAsiaTheme="majorEastAsia" w:hAnsiTheme="majorHAnsi" w:cstheme="majorBidi"/>
      <w:color w:val="272727" w:themeColor="text1" w:themeTint="D8"/>
      <w:kern w:val="2"/>
      <w:sz w:val="21"/>
      <w:szCs w:val="21"/>
      <w14:ligatures w14:val="standardContextual"/>
    </w:rPr>
  </w:style>
  <w:style w:type="character" w:customStyle="1" w:styleId="Ttulo9Car">
    <w:name w:val="Título 9 Car"/>
    <w:basedOn w:val="Fuentedeprrafopredeter"/>
    <w:link w:val="Ttulo9"/>
    <w:uiPriority w:val="9"/>
    <w:semiHidden/>
    <w:rsid w:val="004B6FB2"/>
    <w:rPr>
      <w:rFonts w:asciiTheme="majorHAnsi" w:eastAsiaTheme="majorEastAsia" w:hAnsiTheme="majorHAnsi" w:cstheme="majorBidi"/>
      <w:i/>
      <w:iCs/>
      <w:color w:val="272727" w:themeColor="text1" w:themeTint="D8"/>
      <w:kern w:val="2"/>
      <w:sz w:val="21"/>
      <w:szCs w:val="21"/>
      <w14:ligatures w14:val="standardContextual"/>
    </w:rPr>
  </w:style>
  <w:style w:type="character" w:customStyle="1" w:styleId="PrrafodelistaCar">
    <w:name w:val="Párrafo de lista Car"/>
    <w:aliases w:val="AB List 1 Car,Bullet Points Car,Bullet List Car,FooterText Car,numbered Car,Paragraphe de liste1 Car,List Paragraph1 Car,Bulletr List Paragraph Car,CNBV Parrafo1 Car"/>
    <w:link w:val="Prrafodelista"/>
    <w:uiPriority w:val="34"/>
    <w:rsid w:val="004B6FB2"/>
    <w:rPr>
      <w:rFonts w:ascii="Arial" w:hAnsi="Arial" w:cs="Arial"/>
      <w:sz w:val="23"/>
      <w:szCs w:val="23"/>
    </w:rPr>
  </w:style>
  <w:style w:type="character" w:styleId="Refdecomentario">
    <w:name w:val="annotation reference"/>
    <w:basedOn w:val="Fuentedeprrafopredeter"/>
    <w:uiPriority w:val="99"/>
    <w:semiHidden/>
    <w:unhideWhenUsed/>
    <w:rsid w:val="004B6FB2"/>
    <w:rPr>
      <w:sz w:val="16"/>
      <w:szCs w:val="16"/>
    </w:rPr>
  </w:style>
  <w:style w:type="paragraph" w:styleId="Textocomentario">
    <w:name w:val="annotation text"/>
    <w:basedOn w:val="Normal"/>
    <w:link w:val="TextocomentarioCar"/>
    <w:uiPriority w:val="99"/>
    <w:semiHidden/>
    <w:unhideWhenUsed/>
    <w:rsid w:val="004B6FB2"/>
    <w:pPr>
      <w:spacing w:line="240" w:lineRule="auto"/>
    </w:pPr>
    <w:rPr>
      <w:rFonts w:asciiTheme="majorHAnsi" w:hAnsiTheme="majorHAnsi" w:cstheme="majorHAnsi"/>
      <w:kern w:val="2"/>
      <w:sz w:val="20"/>
      <w:szCs w:val="20"/>
      <w14:ligatures w14:val="standardContextual"/>
    </w:rPr>
  </w:style>
  <w:style w:type="character" w:customStyle="1" w:styleId="TextocomentarioCar">
    <w:name w:val="Texto comentario Car"/>
    <w:basedOn w:val="Fuentedeprrafopredeter"/>
    <w:link w:val="Textocomentario"/>
    <w:uiPriority w:val="99"/>
    <w:semiHidden/>
    <w:rsid w:val="004B6FB2"/>
    <w:rPr>
      <w:rFonts w:asciiTheme="majorHAnsi" w:hAnsiTheme="majorHAnsi" w:cstheme="majorHAnsi"/>
      <w:kern w:val="2"/>
      <w:sz w:val="20"/>
      <w:szCs w:val="20"/>
      <w14:ligatures w14:val="standardContextual"/>
    </w:rPr>
  </w:style>
  <w:style w:type="paragraph" w:styleId="Encabezado">
    <w:name w:val="header"/>
    <w:basedOn w:val="Normal"/>
    <w:link w:val="EncabezadoCar"/>
    <w:uiPriority w:val="99"/>
    <w:unhideWhenUsed/>
    <w:rsid w:val="004062C8"/>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4062C8"/>
    <w:rPr>
      <w:rFonts w:ascii="Arial" w:hAnsi="Arial" w:cs="Arial"/>
      <w:sz w:val="23"/>
      <w:szCs w:val="23"/>
    </w:rPr>
  </w:style>
  <w:style w:type="paragraph" w:styleId="Piedepgina">
    <w:name w:val="footer"/>
    <w:basedOn w:val="Normal"/>
    <w:link w:val="PiedepginaCar"/>
    <w:uiPriority w:val="99"/>
    <w:unhideWhenUsed/>
    <w:rsid w:val="004062C8"/>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4062C8"/>
    <w:rPr>
      <w:rFonts w:ascii="Arial" w:hAnsi="Arial" w:cs="Arial"/>
      <w:sz w:val="23"/>
      <w:szCs w:val="23"/>
    </w:rPr>
  </w:style>
  <w:style w:type="paragraph" w:customStyle="1" w:styleId="Puntos">
    <w:name w:val="Puntos"/>
    <w:basedOn w:val="Normal"/>
    <w:link w:val="PuntosCar"/>
    <w:qFormat/>
    <w:rsid w:val="004C716B"/>
    <w:pPr>
      <w:spacing w:before="0" w:line="283" w:lineRule="auto"/>
      <w:ind w:left="624"/>
    </w:pPr>
    <w:rPr>
      <w:sz w:val="24"/>
      <w:szCs w:val="24"/>
    </w:rPr>
  </w:style>
  <w:style w:type="character" w:customStyle="1" w:styleId="PuntosCar">
    <w:name w:val="Puntos Car"/>
    <w:basedOn w:val="Fuentedeprrafopredeter"/>
    <w:link w:val="Puntos"/>
    <w:rsid w:val="004C716B"/>
    <w:rPr>
      <w:rFonts w:ascii="Arial" w:hAnsi="Arial" w:cs="Arial"/>
      <w:sz w:val="24"/>
      <w:szCs w:val="24"/>
    </w:rPr>
  </w:style>
  <w:style w:type="paragraph" w:styleId="Textodeglobo">
    <w:name w:val="Balloon Text"/>
    <w:basedOn w:val="Normal"/>
    <w:link w:val="TextodegloboCar"/>
    <w:uiPriority w:val="99"/>
    <w:semiHidden/>
    <w:unhideWhenUsed/>
    <w:rsid w:val="00875A4D"/>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5A4D"/>
    <w:rPr>
      <w:rFonts w:ascii="Segoe UI" w:hAnsi="Segoe UI" w:cs="Segoe UI"/>
      <w:sz w:val="18"/>
      <w:szCs w:val="18"/>
    </w:rPr>
  </w:style>
  <w:style w:type="paragraph" w:styleId="Textonotapie">
    <w:name w:val="footnote text"/>
    <w:basedOn w:val="Normal"/>
    <w:link w:val="TextonotapieCar"/>
    <w:uiPriority w:val="99"/>
    <w:semiHidden/>
    <w:unhideWhenUsed/>
    <w:rsid w:val="00002237"/>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002237"/>
    <w:rPr>
      <w:rFonts w:ascii="Arial" w:hAnsi="Arial" w:cs="Arial"/>
      <w:sz w:val="20"/>
      <w:szCs w:val="20"/>
    </w:rPr>
  </w:style>
  <w:style w:type="character" w:styleId="Refdenotaalpie">
    <w:name w:val="footnote reference"/>
    <w:basedOn w:val="Fuentedeprrafopredeter"/>
    <w:uiPriority w:val="99"/>
    <w:semiHidden/>
    <w:unhideWhenUsed/>
    <w:rsid w:val="000022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F4827-39FB-4FA9-8F59-01CC7FFCF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4720</Words>
  <Characters>25961</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6</cp:revision>
  <cp:lastPrinted>2023-12-31T01:24:00Z</cp:lastPrinted>
  <dcterms:created xsi:type="dcterms:W3CDTF">2023-12-30T00:00:00Z</dcterms:created>
  <dcterms:modified xsi:type="dcterms:W3CDTF">2023-12-31T01:26:00Z</dcterms:modified>
</cp:coreProperties>
</file>