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3F0" w14:textId="18034792" w:rsidR="004B6FB2" w:rsidRPr="009D0284" w:rsidRDefault="009D0284" w:rsidP="003B4951">
      <w:pPr>
        <w:rPr>
          <w:b/>
          <w:sz w:val="24"/>
          <w:szCs w:val="24"/>
        </w:rPr>
      </w:pPr>
      <w:r w:rsidRPr="009D0284">
        <w:rPr>
          <w:b/>
          <w:sz w:val="24"/>
          <w:szCs w:val="24"/>
        </w:rPr>
        <w:t>ACUERDO QUE EMITE EL CONSEJO ESTATAL DEL INSTITUTO ELECTORAL Y DE PARTICIPACIÓN CIUDADANA DE TABASCO, MEDIANTE EL CUAL SE DA RESPUESTA A LA SOLICITUD FORMULADA POR AGUSTÍN PÉREZ CONTRERAS, ASPIRANTE A LA CANDIDATURA INDEPENDIENTE A LA PRESIDENCIA MUNICIPAL DE NACAJUCA, TABASCO CON MOTIVO DEL PROCESO ELECTORAL LOCAL ORDINARIO 2023 - 2024</w:t>
      </w:r>
    </w:p>
    <w:p w14:paraId="11C2975B" w14:textId="77777777" w:rsidR="004B6FB2" w:rsidRDefault="004B6FB2" w:rsidP="004B6FB2">
      <w:r w:rsidRPr="00507065">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B6FB2" w:rsidRPr="00675C3F" w14:paraId="39D5D9EA" w14:textId="77777777" w:rsidTr="007E0A99">
        <w:trPr>
          <w:trHeight w:val="624"/>
          <w:jc w:val="center"/>
        </w:trPr>
        <w:tc>
          <w:tcPr>
            <w:tcW w:w="2042" w:type="pct"/>
            <w:shd w:val="clear" w:color="auto" w:fill="auto"/>
            <w:vAlign w:val="center"/>
          </w:tcPr>
          <w:p w14:paraId="71353760" w14:textId="77777777" w:rsidR="004B6FB2" w:rsidRPr="009D0284" w:rsidRDefault="004B6FB2" w:rsidP="007E0A99">
            <w:pPr>
              <w:widowControl w:val="0"/>
              <w:spacing w:before="40" w:after="40"/>
              <w:ind w:left="57"/>
              <w:jc w:val="right"/>
              <w:rPr>
                <w:b/>
                <w:sz w:val="20"/>
                <w:szCs w:val="20"/>
              </w:rPr>
            </w:pPr>
            <w:r w:rsidRPr="009D0284">
              <w:rPr>
                <w:b/>
                <w:sz w:val="20"/>
                <w:szCs w:val="20"/>
              </w:rPr>
              <w:t>Consejo Estatal:</w:t>
            </w:r>
          </w:p>
        </w:tc>
        <w:tc>
          <w:tcPr>
            <w:tcW w:w="2958" w:type="pct"/>
            <w:shd w:val="clear" w:color="auto" w:fill="auto"/>
            <w:vAlign w:val="center"/>
          </w:tcPr>
          <w:p w14:paraId="219A5C5B" w14:textId="77777777" w:rsidR="004B6FB2" w:rsidRPr="009D0284" w:rsidRDefault="004B6FB2" w:rsidP="007E0A99">
            <w:pPr>
              <w:widowControl w:val="0"/>
              <w:spacing w:before="40" w:after="40"/>
              <w:ind w:left="57"/>
              <w:rPr>
                <w:sz w:val="20"/>
                <w:szCs w:val="20"/>
              </w:rPr>
            </w:pPr>
            <w:r w:rsidRPr="009D0284">
              <w:rPr>
                <w:sz w:val="20"/>
                <w:szCs w:val="20"/>
              </w:rPr>
              <w:t>Consejo Estatal del Instituto Electoral y de Participación Ciudadana de Tabasco.</w:t>
            </w:r>
          </w:p>
        </w:tc>
      </w:tr>
      <w:tr w:rsidR="004B6FB2" w:rsidRPr="00675C3F" w14:paraId="3F41CF8A" w14:textId="77777777" w:rsidTr="007E0A99">
        <w:trPr>
          <w:trHeight w:val="624"/>
          <w:jc w:val="center"/>
        </w:trPr>
        <w:tc>
          <w:tcPr>
            <w:tcW w:w="2042" w:type="pct"/>
            <w:shd w:val="clear" w:color="auto" w:fill="auto"/>
            <w:vAlign w:val="center"/>
          </w:tcPr>
          <w:p w14:paraId="5C15AB17" w14:textId="77777777" w:rsidR="004B6FB2" w:rsidRPr="009D0284" w:rsidRDefault="004B6FB2" w:rsidP="007E0A99">
            <w:pPr>
              <w:widowControl w:val="0"/>
              <w:spacing w:before="40" w:after="40"/>
              <w:ind w:left="57"/>
              <w:jc w:val="right"/>
              <w:rPr>
                <w:b/>
                <w:sz w:val="20"/>
                <w:szCs w:val="20"/>
              </w:rPr>
            </w:pPr>
            <w:r w:rsidRPr="009D0284">
              <w:rPr>
                <w:b/>
                <w:sz w:val="20"/>
                <w:szCs w:val="20"/>
              </w:rPr>
              <w:t>Constitución Federal:</w:t>
            </w:r>
          </w:p>
        </w:tc>
        <w:tc>
          <w:tcPr>
            <w:tcW w:w="2958" w:type="pct"/>
            <w:shd w:val="clear" w:color="auto" w:fill="auto"/>
            <w:vAlign w:val="center"/>
          </w:tcPr>
          <w:p w14:paraId="46517D54" w14:textId="77777777" w:rsidR="004B6FB2" w:rsidRPr="009D0284" w:rsidRDefault="004B6FB2" w:rsidP="007E0A99">
            <w:pPr>
              <w:widowControl w:val="0"/>
              <w:spacing w:before="40" w:after="40"/>
              <w:ind w:left="57"/>
              <w:rPr>
                <w:sz w:val="20"/>
                <w:szCs w:val="20"/>
              </w:rPr>
            </w:pPr>
            <w:r w:rsidRPr="009D0284">
              <w:rPr>
                <w:sz w:val="20"/>
                <w:szCs w:val="20"/>
              </w:rPr>
              <w:t>Constitución Política de los Estados Unidos Mexicanos.</w:t>
            </w:r>
          </w:p>
        </w:tc>
      </w:tr>
      <w:tr w:rsidR="004B6FB2" w:rsidRPr="00675C3F" w14:paraId="3E3987D1" w14:textId="77777777" w:rsidTr="007E0A99">
        <w:trPr>
          <w:trHeight w:val="624"/>
          <w:jc w:val="center"/>
        </w:trPr>
        <w:tc>
          <w:tcPr>
            <w:tcW w:w="2042" w:type="pct"/>
            <w:shd w:val="clear" w:color="auto" w:fill="auto"/>
            <w:vAlign w:val="center"/>
          </w:tcPr>
          <w:p w14:paraId="5AC3BAAC" w14:textId="77777777" w:rsidR="004B6FB2" w:rsidRPr="009D0284" w:rsidRDefault="004B6FB2" w:rsidP="007E0A99">
            <w:pPr>
              <w:widowControl w:val="0"/>
              <w:spacing w:before="40" w:after="40"/>
              <w:ind w:left="57"/>
              <w:jc w:val="right"/>
              <w:rPr>
                <w:b/>
                <w:sz w:val="20"/>
                <w:szCs w:val="20"/>
              </w:rPr>
            </w:pPr>
            <w:r w:rsidRPr="009D0284">
              <w:rPr>
                <w:b/>
                <w:sz w:val="20"/>
                <w:szCs w:val="20"/>
              </w:rPr>
              <w:t>Constitución Local:</w:t>
            </w:r>
          </w:p>
        </w:tc>
        <w:tc>
          <w:tcPr>
            <w:tcW w:w="2958" w:type="pct"/>
            <w:shd w:val="clear" w:color="auto" w:fill="auto"/>
            <w:vAlign w:val="center"/>
          </w:tcPr>
          <w:p w14:paraId="21DD34A6" w14:textId="77777777" w:rsidR="004B6FB2" w:rsidRPr="009D0284" w:rsidRDefault="004B6FB2" w:rsidP="007E0A99">
            <w:pPr>
              <w:widowControl w:val="0"/>
              <w:spacing w:before="40" w:after="40"/>
              <w:ind w:left="57"/>
              <w:rPr>
                <w:sz w:val="20"/>
                <w:szCs w:val="20"/>
              </w:rPr>
            </w:pPr>
            <w:r w:rsidRPr="009D0284">
              <w:rPr>
                <w:sz w:val="20"/>
                <w:szCs w:val="20"/>
              </w:rPr>
              <w:t>Constitución Política del Estado Libre y Soberano de Tabasco.</w:t>
            </w:r>
          </w:p>
        </w:tc>
      </w:tr>
      <w:tr w:rsidR="004B6FB2" w:rsidRPr="00675C3F" w14:paraId="4E83DDE6" w14:textId="77777777" w:rsidTr="007E0A99">
        <w:trPr>
          <w:trHeight w:val="624"/>
          <w:jc w:val="center"/>
        </w:trPr>
        <w:tc>
          <w:tcPr>
            <w:tcW w:w="2042" w:type="pct"/>
            <w:shd w:val="clear" w:color="auto" w:fill="auto"/>
            <w:vAlign w:val="center"/>
          </w:tcPr>
          <w:p w14:paraId="401C29A7" w14:textId="77777777" w:rsidR="004B6FB2" w:rsidRPr="009D0284" w:rsidRDefault="004B6FB2" w:rsidP="007E0A99">
            <w:pPr>
              <w:widowControl w:val="0"/>
              <w:spacing w:before="40" w:after="40"/>
              <w:ind w:left="57"/>
              <w:jc w:val="right"/>
              <w:rPr>
                <w:b/>
                <w:sz w:val="20"/>
                <w:szCs w:val="20"/>
              </w:rPr>
            </w:pPr>
            <w:r w:rsidRPr="009D0284">
              <w:rPr>
                <w:b/>
                <w:sz w:val="20"/>
                <w:szCs w:val="20"/>
              </w:rPr>
              <w:t>INE:</w:t>
            </w:r>
          </w:p>
        </w:tc>
        <w:tc>
          <w:tcPr>
            <w:tcW w:w="2958" w:type="pct"/>
            <w:shd w:val="clear" w:color="auto" w:fill="auto"/>
            <w:vAlign w:val="center"/>
          </w:tcPr>
          <w:p w14:paraId="1376C583" w14:textId="77777777" w:rsidR="004B6FB2" w:rsidRPr="009D0284" w:rsidRDefault="004B6FB2" w:rsidP="007E0A99">
            <w:pPr>
              <w:widowControl w:val="0"/>
              <w:spacing w:before="40" w:after="40"/>
              <w:ind w:left="57"/>
              <w:rPr>
                <w:sz w:val="20"/>
                <w:szCs w:val="20"/>
              </w:rPr>
            </w:pPr>
            <w:r w:rsidRPr="009D0284">
              <w:rPr>
                <w:sz w:val="20"/>
                <w:szCs w:val="20"/>
              </w:rPr>
              <w:t>Instituto Nacional Electoral.</w:t>
            </w:r>
          </w:p>
        </w:tc>
      </w:tr>
      <w:tr w:rsidR="004B6FB2" w:rsidRPr="00675C3F" w14:paraId="6F02DBD4" w14:textId="77777777" w:rsidTr="007E0A99">
        <w:trPr>
          <w:trHeight w:val="624"/>
          <w:jc w:val="center"/>
        </w:trPr>
        <w:tc>
          <w:tcPr>
            <w:tcW w:w="2042" w:type="pct"/>
            <w:shd w:val="clear" w:color="auto" w:fill="auto"/>
            <w:vAlign w:val="center"/>
          </w:tcPr>
          <w:p w14:paraId="33E499F2" w14:textId="77777777" w:rsidR="004B6FB2" w:rsidRPr="009D0284" w:rsidRDefault="004B6FB2" w:rsidP="007E0A99">
            <w:pPr>
              <w:widowControl w:val="0"/>
              <w:spacing w:before="40" w:after="40"/>
              <w:ind w:left="57"/>
              <w:jc w:val="right"/>
              <w:rPr>
                <w:b/>
                <w:sz w:val="20"/>
                <w:szCs w:val="20"/>
              </w:rPr>
            </w:pPr>
            <w:r w:rsidRPr="009D0284">
              <w:rPr>
                <w:b/>
                <w:sz w:val="20"/>
                <w:szCs w:val="20"/>
              </w:rPr>
              <w:t>Instituto:</w:t>
            </w:r>
          </w:p>
        </w:tc>
        <w:tc>
          <w:tcPr>
            <w:tcW w:w="2958" w:type="pct"/>
            <w:shd w:val="clear" w:color="auto" w:fill="auto"/>
          </w:tcPr>
          <w:p w14:paraId="63F2A723" w14:textId="77777777" w:rsidR="004B6FB2" w:rsidRPr="009D0284" w:rsidRDefault="004B6FB2" w:rsidP="007E0A99">
            <w:pPr>
              <w:widowControl w:val="0"/>
              <w:spacing w:before="40" w:after="40"/>
              <w:ind w:left="57"/>
              <w:rPr>
                <w:sz w:val="20"/>
                <w:szCs w:val="20"/>
              </w:rPr>
            </w:pPr>
            <w:r w:rsidRPr="009D0284">
              <w:rPr>
                <w:sz w:val="20"/>
                <w:szCs w:val="20"/>
              </w:rPr>
              <w:t>Instituto Electoral y de Participación Ciudadana de Tabasco.</w:t>
            </w:r>
          </w:p>
        </w:tc>
      </w:tr>
      <w:tr w:rsidR="004B6FB2" w:rsidRPr="00675C3F" w14:paraId="2CA73ED0" w14:textId="77777777" w:rsidTr="007E0A99">
        <w:trPr>
          <w:trHeight w:val="624"/>
          <w:jc w:val="center"/>
        </w:trPr>
        <w:tc>
          <w:tcPr>
            <w:tcW w:w="2042" w:type="pct"/>
            <w:shd w:val="clear" w:color="auto" w:fill="auto"/>
            <w:vAlign w:val="center"/>
          </w:tcPr>
          <w:p w14:paraId="5BB8465B" w14:textId="77777777" w:rsidR="004B6FB2" w:rsidRPr="009D0284" w:rsidRDefault="004B6FB2" w:rsidP="007E0A99">
            <w:pPr>
              <w:widowControl w:val="0"/>
              <w:spacing w:before="40" w:after="40"/>
              <w:ind w:left="57"/>
              <w:jc w:val="right"/>
              <w:rPr>
                <w:b/>
                <w:sz w:val="20"/>
                <w:szCs w:val="20"/>
              </w:rPr>
            </w:pPr>
            <w:r w:rsidRPr="009D0284">
              <w:rPr>
                <w:b/>
                <w:sz w:val="20"/>
                <w:szCs w:val="20"/>
              </w:rPr>
              <w:t>Ley Electoral:</w:t>
            </w:r>
          </w:p>
        </w:tc>
        <w:tc>
          <w:tcPr>
            <w:tcW w:w="2958" w:type="pct"/>
            <w:shd w:val="clear" w:color="auto" w:fill="auto"/>
            <w:vAlign w:val="center"/>
          </w:tcPr>
          <w:p w14:paraId="476FF217" w14:textId="77777777" w:rsidR="004B6FB2" w:rsidRPr="009D0284" w:rsidRDefault="004B6FB2" w:rsidP="007E0A99">
            <w:pPr>
              <w:widowControl w:val="0"/>
              <w:spacing w:before="40" w:after="40"/>
              <w:ind w:left="57"/>
              <w:rPr>
                <w:sz w:val="20"/>
                <w:szCs w:val="20"/>
              </w:rPr>
            </w:pPr>
            <w:r w:rsidRPr="009D0284">
              <w:rPr>
                <w:sz w:val="20"/>
                <w:szCs w:val="20"/>
              </w:rPr>
              <w:t>Ley Electoral y de Partidos Políticos del Estado de Tabasco.</w:t>
            </w:r>
          </w:p>
        </w:tc>
      </w:tr>
      <w:tr w:rsidR="004B6FB2" w:rsidRPr="00675C3F" w14:paraId="564661E5" w14:textId="77777777" w:rsidTr="007E0A99">
        <w:trPr>
          <w:trHeight w:val="624"/>
          <w:jc w:val="center"/>
        </w:trPr>
        <w:tc>
          <w:tcPr>
            <w:tcW w:w="2042" w:type="pct"/>
            <w:shd w:val="clear" w:color="auto" w:fill="auto"/>
            <w:vAlign w:val="center"/>
          </w:tcPr>
          <w:p w14:paraId="27217EF7" w14:textId="77777777" w:rsidR="004B6FB2" w:rsidRPr="009D0284" w:rsidRDefault="004B6FB2" w:rsidP="007E0A99">
            <w:pPr>
              <w:widowControl w:val="0"/>
              <w:spacing w:before="40" w:after="40"/>
              <w:ind w:left="57"/>
              <w:jc w:val="right"/>
              <w:rPr>
                <w:b/>
                <w:sz w:val="20"/>
                <w:szCs w:val="20"/>
              </w:rPr>
            </w:pPr>
            <w:r w:rsidRPr="009D0284">
              <w:rPr>
                <w:b/>
                <w:sz w:val="20"/>
                <w:szCs w:val="20"/>
              </w:rPr>
              <w:t>Ley General:</w:t>
            </w:r>
          </w:p>
        </w:tc>
        <w:tc>
          <w:tcPr>
            <w:tcW w:w="2958" w:type="pct"/>
            <w:shd w:val="clear" w:color="auto" w:fill="auto"/>
            <w:vAlign w:val="center"/>
          </w:tcPr>
          <w:p w14:paraId="4B10958F" w14:textId="77777777" w:rsidR="004B6FB2" w:rsidRPr="009D0284" w:rsidRDefault="004B6FB2" w:rsidP="007E0A99">
            <w:pPr>
              <w:widowControl w:val="0"/>
              <w:spacing w:before="40" w:after="40"/>
              <w:ind w:left="57"/>
              <w:rPr>
                <w:sz w:val="20"/>
                <w:szCs w:val="20"/>
              </w:rPr>
            </w:pPr>
            <w:r w:rsidRPr="009D0284">
              <w:rPr>
                <w:sz w:val="20"/>
                <w:szCs w:val="20"/>
              </w:rPr>
              <w:t>Ley General de Instituciones y Procedimientos Electorales.</w:t>
            </w:r>
          </w:p>
        </w:tc>
      </w:tr>
      <w:tr w:rsidR="004B6FB2" w:rsidRPr="00675C3F" w14:paraId="2E7C44E4" w14:textId="77777777" w:rsidTr="007E0A99">
        <w:trPr>
          <w:trHeight w:val="624"/>
          <w:jc w:val="center"/>
        </w:trPr>
        <w:tc>
          <w:tcPr>
            <w:tcW w:w="2042" w:type="pct"/>
            <w:shd w:val="clear" w:color="auto" w:fill="auto"/>
            <w:vAlign w:val="center"/>
          </w:tcPr>
          <w:p w14:paraId="65266AF3" w14:textId="77777777" w:rsidR="004B6FB2" w:rsidRPr="009D0284" w:rsidRDefault="004B6FB2" w:rsidP="007E0A99">
            <w:pPr>
              <w:spacing w:before="60" w:after="60"/>
              <w:ind w:left="57"/>
              <w:jc w:val="right"/>
              <w:rPr>
                <w:b/>
                <w:sz w:val="20"/>
                <w:szCs w:val="20"/>
              </w:rPr>
            </w:pPr>
            <w:r w:rsidRPr="009D0284">
              <w:rPr>
                <w:b/>
                <w:sz w:val="20"/>
                <w:szCs w:val="20"/>
              </w:rPr>
              <w:t>Lineamientos para la verificación:</w:t>
            </w:r>
          </w:p>
        </w:tc>
        <w:tc>
          <w:tcPr>
            <w:tcW w:w="2958" w:type="pct"/>
            <w:shd w:val="clear" w:color="auto" w:fill="auto"/>
            <w:vAlign w:val="center"/>
          </w:tcPr>
          <w:p w14:paraId="0DE1E78A" w14:textId="77777777" w:rsidR="004B6FB2" w:rsidRPr="009D0284" w:rsidRDefault="004B6FB2" w:rsidP="007E0A99">
            <w:pPr>
              <w:spacing w:before="60" w:after="60"/>
              <w:ind w:left="57"/>
              <w:rPr>
                <w:sz w:val="20"/>
                <w:szCs w:val="20"/>
              </w:rPr>
            </w:pPr>
            <w:r w:rsidRPr="009D0284">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4B6FB2" w:rsidRPr="00675C3F" w14:paraId="7B5455E9" w14:textId="77777777" w:rsidTr="007E0A99">
        <w:trPr>
          <w:trHeight w:val="624"/>
          <w:jc w:val="center"/>
        </w:trPr>
        <w:tc>
          <w:tcPr>
            <w:tcW w:w="2042" w:type="pct"/>
            <w:shd w:val="clear" w:color="auto" w:fill="auto"/>
            <w:vAlign w:val="center"/>
          </w:tcPr>
          <w:p w14:paraId="706BBBA9" w14:textId="77777777" w:rsidR="004B6FB2" w:rsidRPr="009D0284" w:rsidRDefault="004B6FB2" w:rsidP="007E0A99">
            <w:pPr>
              <w:widowControl w:val="0"/>
              <w:spacing w:before="40" w:after="40"/>
              <w:ind w:left="57"/>
              <w:jc w:val="right"/>
              <w:rPr>
                <w:b/>
                <w:sz w:val="20"/>
                <w:szCs w:val="20"/>
              </w:rPr>
            </w:pPr>
            <w:r w:rsidRPr="009D0284">
              <w:rPr>
                <w:b/>
                <w:sz w:val="20"/>
                <w:szCs w:val="20"/>
              </w:rPr>
              <w:t>Lineamientos:</w:t>
            </w:r>
          </w:p>
        </w:tc>
        <w:tc>
          <w:tcPr>
            <w:tcW w:w="2958" w:type="pct"/>
            <w:shd w:val="clear" w:color="auto" w:fill="auto"/>
            <w:vAlign w:val="center"/>
          </w:tcPr>
          <w:p w14:paraId="700B449E" w14:textId="77777777" w:rsidR="004B6FB2" w:rsidRPr="009D0284" w:rsidRDefault="004B6FB2" w:rsidP="007E0A99">
            <w:pPr>
              <w:widowControl w:val="0"/>
              <w:spacing w:before="40" w:after="40"/>
              <w:ind w:left="57"/>
              <w:rPr>
                <w:sz w:val="20"/>
                <w:szCs w:val="20"/>
              </w:rPr>
            </w:pPr>
            <w:r w:rsidRPr="009D0284">
              <w:rPr>
                <w:sz w:val="20"/>
                <w:szCs w:val="20"/>
              </w:rPr>
              <w:t>Lineamientos para la postulación y registro de candidaturas independientes con motivo del Proceso Electoral Local Ordinario 2023 – 2024</w:t>
            </w:r>
          </w:p>
        </w:tc>
      </w:tr>
      <w:tr w:rsidR="004B6FB2" w:rsidRPr="00675C3F" w14:paraId="40C9DDD0" w14:textId="77777777" w:rsidTr="007E0A99">
        <w:trPr>
          <w:trHeight w:val="624"/>
          <w:jc w:val="center"/>
        </w:trPr>
        <w:tc>
          <w:tcPr>
            <w:tcW w:w="2042" w:type="pct"/>
            <w:shd w:val="clear" w:color="auto" w:fill="auto"/>
            <w:vAlign w:val="center"/>
          </w:tcPr>
          <w:p w14:paraId="6D70B6DD" w14:textId="77777777" w:rsidR="004B6FB2" w:rsidRPr="009D0284" w:rsidRDefault="004B6FB2" w:rsidP="007E0A99">
            <w:pPr>
              <w:widowControl w:val="0"/>
              <w:spacing w:before="40" w:after="40"/>
              <w:ind w:left="57"/>
              <w:jc w:val="right"/>
              <w:rPr>
                <w:b/>
                <w:sz w:val="20"/>
                <w:szCs w:val="20"/>
              </w:rPr>
            </w:pPr>
            <w:r w:rsidRPr="009D0284">
              <w:rPr>
                <w:b/>
                <w:sz w:val="20"/>
                <w:szCs w:val="20"/>
              </w:rPr>
              <w:t>Proceso Electoral:</w:t>
            </w:r>
          </w:p>
        </w:tc>
        <w:tc>
          <w:tcPr>
            <w:tcW w:w="2958" w:type="pct"/>
            <w:shd w:val="clear" w:color="auto" w:fill="auto"/>
            <w:vAlign w:val="center"/>
          </w:tcPr>
          <w:p w14:paraId="182439CB" w14:textId="77777777" w:rsidR="004B6FB2" w:rsidRPr="009D0284" w:rsidRDefault="004B6FB2" w:rsidP="007E0A99">
            <w:pPr>
              <w:widowControl w:val="0"/>
              <w:spacing w:before="40" w:after="40"/>
              <w:ind w:left="57"/>
              <w:rPr>
                <w:sz w:val="20"/>
                <w:szCs w:val="20"/>
              </w:rPr>
            </w:pPr>
            <w:r w:rsidRPr="009D0284">
              <w:rPr>
                <w:sz w:val="20"/>
                <w:szCs w:val="20"/>
              </w:rPr>
              <w:t>Proceso Electoral Local Ordinario 2023-2024.</w:t>
            </w:r>
          </w:p>
        </w:tc>
      </w:tr>
      <w:tr w:rsidR="004B6FB2" w:rsidRPr="00675C3F" w14:paraId="050E02AC" w14:textId="77777777" w:rsidTr="007E0A99">
        <w:trPr>
          <w:trHeight w:val="624"/>
          <w:jc w:val="center"/>
        </w:trPr>
        <w:tc>
          <w:tcPr>
            <w:tcW w:w="2042" w:type="pct"/>
            <w:shd w:val="clear" w:color="auto" w:fill="auto"/>
            <w:vAlign w:val="center"/>
          </w:tcPr>
          <w:p w14:paraId="1B4F4FD4" w14:textId="77777777" w:rsidR="004B6FB2" w:rsidRPr="009D0284" w:rsidRDefault="004B6FB2" w:rsidP="007E0A99">
            <w:pPr>
              <w:widowControl w:val="0"/>
              <w:spacing w:before="40" w:after="40"/>
              <w:ind w:left="57"/>
              <w:jc w:val="right"/>
              <w:rPr>
                <w:b/>
                <w:sz w:val="20"/>
                <w:szCs w:val="20"/>
              </w:rPr>
            </w:pPr>
            <w:r w:rsidRPr="009D0284">
              <w:rPr>
                <w:b/>
                <w:sz w:val="20"/>
                <w:szCs w:val="20"/>
              </w:rPr>
              <w:lastRenderedPageBreak/>
              <w:t>Reglamento de Elecciones:</w:t>
            </w:r>
          </w:p>
        </w:tc>
        <w:tc>
          <w:tcPr>
            <w:tcW w:w="2958" w:type="pct"/>
            <w:shd w:val="clear" w:color="auto" w:fill="auto"/>
            <w:vAlign w:val="center"/>
          </w:tcPr>
          <w:p w14:paraId="4CB634A2" w14:textId="77777777" w:rsidR="004B6FB2" w:rsidRPr="009D0284" w:rsidRDefault="004B6FB2" w:rsidP="007E0A99">
            <w:pPr>
              <w:widowControl w:val="0"/>
              <w:spacing w:before="40" w:after="40"/>
              <w:ind w:left="57"/>
              <w:rPr>
                <w:sz w:val="20"/>
                <w:szCs w:val="20"/>
              </w:rPr>
            </w:pPr>
            <w:r w:rsidRPr="009D0284">
              <w:rPr>
                <w:sz w:val="20"/>
                <w:szCs w:val="20"/>
              </w:rPr>
              <w:t>Reglamento de Elecciones del Instituto Nacional Electoral.</w:t>
            </w:r>
          </w:p>
        </w:tc>
      </w:tr>
      <w:tr w:rsidR="004B6FB2" w:rsidRPr="00675C3F" w14:paraId="33F42595" w14:textId="77777777" w:rsidTr="007E0A99">
        <w:trPr>
          <w:trHeight w:val="624"/>
          <w:jc w:val="center"/>
        </w:trPr>
        <w:tc>
          <w:tcPr>
            <w:tcW w:w="2042" w:type="pct"/>
            <w:shd w:val="clear" w:color="auto" w:fill="auto"/>
            <w:vAlign w:val="center"/>
          </w:tcPr>
          <w:p w14:paraId="05892F78" w14:textId="77777777" w:rsidR="004B6FB2" w:rsidRPr="009D0284" w:rsidRDefault="004B6FB2" w:rsidP="007E0A99">
            <w:pPr>
              <w:widowControl w:val="0"/>
              <w:spacing w:before="40" w:after="40"/>
              <w:ind w:left="57"/>
              <w:jc w:val="right"/>
              <w:rPr>
                <w:b/>
                <w:sz w:val="20"/>
                <w:szCs w:val="20"/>
              </w:rPr>
            </w:pPr>
            <w:r w:rsidRPr="009D0284">
              <w:rPr>
                <w:b/>
                <w:sz w:val="20"/>
                <w:szCs w:val="20"/>
              </w:rPr>
              <w:t>Sala Superior:</w:t>
            </w:r>
          </w:p>
        </w:tc>
        <w:tc>
          <w:tcPr>
            <w:tcW w:w="2958" w:type="pct"/>
            <w:shd w:val="clear" w:color="auto" w:fill="auto"/>
            <w:vAlign w:val="center"/>
          </w:tcPr>
          <w:p w14:paraId="7AEEBDCC" w14:textId="77777777" w:rsidR="004B6FB2" w:rsidRPr="009D0284" w:rsidRDefault="004B6FB2" w:rsidP="007E0A99">
            <w:pPr>
              <w:widowControl w:val="0"/>
              <w:spacing w:before="40" w:after="40"/>
              <w:ind w:left="57"/>
              <w:rPr>
                <w:sz w:val="20"/>
                <w:szCs w:val="20"/>
              </w:rPr>
            </w:pPr>
            <w:r w:rsidRPr="009D0284">
              <w:rPr>
                <w:sz w:val="20"/>
                <w:szCs w:val="20"/>
              </w:rPr>
              <w:t>Sala Superior del Tribunal Electoral del Poder Judicial de la Federación.</w:t>
            </w:r>
          </w:p>
        </w:tc>
      </w:tr>
      <w:tr w:rsidR="004B6FB2" w:rsidRPr="00675C3F" w14:paraId="7D0C733F" w14:textId="77777777" w:rsidTr="007E0A99">
        <w:trPr>
          <w:trHeight w:val="624"/>
          <w:jc w:val="center"/>
        </w:trPr>
        <w:tc>
          <w:tcPr>
            <w:tcW w:w="2042" w:type="pct"/>
            <w:shd w:val="clear" w:color="auto" w:fill="auto"/>
            <w:vAlign w:val="center"/>
          </w:tcPr>
          <w:p w14:paraId="3852A351" w14:textId="77777777" w:rsidR="004B6FB2" w:rsidRPr="009D0284" w:rsidRDefault="004B6FB2" w:rsidP="007E0A99">
            <w:pPr>
              <w:widowControl w:val="0"/>
              <w:spacing w:before="40" w:after="40"/>
              <w:ind w:left="57"/>
              <w:jc w:val="right"/>
              <w:rPr>
                <w:b/>
                <w:sz w:val="20"/>
                <w:szCs w:val="20"/>
              </w:rPr>
            </w:pPr>
            <w:r w:rsidRPr="009D0284">
              <w:rPr>
                <w:b/>
                <w:sz w:val="20"/>
                <w:szCs w:val="20"/>
              </w:rPr>
              <w:t>Secretaría Ejecutiva:</w:t>
            </w:r>
          </w:p>
        </w:tc>
        <w:tc>
          <w:tcPr>
            <w:tcW w:w="2958" w:type="pct"/>
            <w:shd w:val="clear" w:color="auto" w:fill="auto"/>
            <w:vAlign w:val="center"/>
          </w:tcPr>
          <w:p w14:paraId="55501A44" w14:textId="77777777" w:rsidR="004B6FB2" w:rsidRPr="009D0284" w:rsidRDefault="004B6FB2" w:rsidP="007E0A99">
            <w:pPr>
              <w:widowControl w:val="0"/>
              <w:spacing w:before="40" w:after="40"/>
              <w:ind w:left="57"/>
              <w:rPr>
                <w:sz w:val="20"/>
                <w:szCs w:val="20"/>
              </w:rPr>
            </w:pPr>
            <w:r w:rsidRPr="009D0284">
              <w:rPr>
                <w:sz w:val="20"/>
                <w:szCs w:val="20"/>
              </w:rPr>
              <w:t>Secretaría Ejecutiva del Instituto Electoral y de Participación Ciudadana de Tabasco.</w:t>
            </w:r>
          </w:p>
        </w:tc>
      </w:tr>
      <w:tr w:rsidR="00FE532F" w:rsidRPr="00675C3F" w14:paraId="027A6BDD" w14:textId="77777777" w:rsidTr="007E0A99">
        <w:trPr>
          <w:trHeight w:val="624"/>
          <w:jc w:val="center"/>
        </w:trPr>
        <w:tc>
          <w:tcPr>
            <w:tcW w:w="2042" w:type="pct"/>
            <w:shd w:val="clear" w:color="auto" w:fill="auto"/>
            <w:vAlign w:val="center"/>
          </w:tcPr>
          <w:p w14:paraId="06AB72ED" w14:textId="40146E21" w:rsidR="00FE532F" w:rsidRPr="009D0284" w:rsidRDefault="00FE532F" w:rsidP="007E0A99">
            <w:pPr>
              <w:widowControl w:val="0"/>
              <w:spacing w:before="40" w:after="40"/>
              <w:ind w:left="57"/>
              <w:jc w:val="right"/>
              <w:rPr>
                <w:b/>
                <w:sz w:val="20"/>
                <w:szCs w:val="20"/>
              </w:rPr>
            </w:pPr>
            <w:r w:rsidRPr="009D0284">
              <w:rPr>
                <w:b/>
                <w:sz w:val="20"/>
                <w:szCs w:val="20"/>
              </w:rPr>
              <w:t>Tribunal Local:</w:t>
            </w:r>
          </w:p>
        </w:tc>
        <w:tc>
          <w:tcPr>
            <w:tcW w:w="2958" w:type="pct"/>
            <w:shd w:val="clear" w:color="auto" w:fill="auto"/>
            <w:vAlign w:val="center"/>
          </w:tcPr>
          <w:p w14:paraId="7A64A77D" w14:textId="40140277" w:rsidR="00FE532F" w:rsidRPr="009D0284" w:rsidRDefault="00FE532F" w:rsidP="00FE532F">
            <w:pPr>
              <w:widowControl w:val="0"/>
              <w:spacing w:before="40" w:after="40"/>
              <w:ind w:left="57"/>
              <w:rPr>
                <w:sz w:val="20"/>
                <w:szCs w:val="20"/>
              </w:rPr>
            </w:pPr>
            <w:r w:rsidRPr="009D0284">
              <w:rPr>
                <w:sz w:val="20"/>
                <w:szCs w:val="20"/>
              </w:rPr>
              <w:t>Tribunal Electoral de Tabasco.</w:t>
            </w:r>
          </w:p>
        </w:tc>
      </w:tr>
    </w:tbl>
    <w:p w14:paraId="61AE4234" w14:textId="77777777" w:rsidR="004B6FB2" w:rsidRPr="009D0284" w:rsidRDefault="004B6FB2" w:rsidP="004B6FB2">
      <w:pPr>
        <w:pStyle w:val="Ttulo2"/>
        <w:rPr>
          <w:sz w:val="23"/>
        </w:rPr>
      </w:pPr>
      <w:r w:rsidRPr="009D0284">
        <w:rPr>
          <w:sz w:val="23"/>
        </w:rPr>
        <w:t>Homologación de plazos y fechas en los Procesos Electorales Locales Concurrentes</w:t>
      </w:r>
    </w:p>
    <w:p w14:paraId="752EAAB7" w14:textId="77777777" w:rsidR="004B6FB2" w:rsidRPr="009D0284" w:rsidRDefault="004B6FB2" w:rsidP="004B6FB2">
      <w:r w:rsidRPr="009D0284">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A5828EA" w14:textId="77777777" w:rsidR="004B6FB2" w:rsidRPr="009D0284" w:rsidRDefault="004B6FB2" w:rsidP="004B6FB2">
      <w:pPr>
        <w:pStyle w:val="Ttulo2"/>
        <w:rPr>
          <w:sz w:val="23"/>
        </w:rPr>
      </w:pPr>
      <w:r w:rsidRPr="009D0284">
        <w:rPr>
          <w:sz w:val="23"/>
        </w:rPr>
        <w:t xml:space="preserve">Plan Integral y Calendario de Coordinación </w:t>
      </w:r>
    </w:p>
    <w:p w14:paraId="43266B5B" w14:textId="77777777" w:rsidR="004B6FB2" w:rsidRPr="009D0284" w:rsidRDefault="004B6FB2" w:rsidP="004B6FB2">
      <w:r w:rsidRPr="009D0284">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3F14D70" w14:textId="77777777" w:rsidR="004B6FB2" w:rsidRPr="009D0284" w:rsidRDefault="004B6FB2" w:rsidP="004B6FB2">
      <w:pPr>
        <w:pStyle w:val="Ttulo2"/>
        <w:rPr>
          <w:sz w:val="23"/>
        </w:rPr>
      </w:pPr>
      <w:r w:rsidRPr="009D0284">
        <w:rPr>
          <w:sz w:val="23"/>
        </w:rPr>
        <w:t>Lineamientos para la verificación</w:t>
      </w:r>
    </w:p>
    <w:p w14:paraId="4B349130" w14:textId="77777777" w:rsidR="004B6FB2" w:rsidRPr="009D0284" w:rsidRDefault="004B6FB2" w:rsidP="004B6FB2">
      <w:r w:rsidRPr="009D0284">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p w14:paraId="3AB2AD90" w14:textId="77777777" w:rsidR="004B6FB2" w:rsidRPr="009D0284" w:rsidRDefault="004B6FB2" w:rsidP="004B6FB2">
      <w:pPr>
        <w:pStyle w:val="Ttulo2"/>
        <w:rPr>
          <w:sz w:val="23"/>
        </w:rPr>
      </w:pPr>
      <w:r w:rsidRPr="009D0284">
        <w:rPr>
          <w:sz w:val="23"/>
        </w:rPr>
        <w:lastRenderedPageBreak/>
        <w:t>Lineamientos para candidaturas independientes</w:t>
      </w:r>
    </w:p>
    <w:p w14:paraId="73B93FF5" w14:textId="77777777" w:rsidR="004B6FB2" w:rsidRPr="009D0284" w:rsidRDefault="004B6FB2" w:rsidP="004B6FB2">
      <w:pPr>
        <w:spacing w:line="300" w:lineRule="auto"/>
      </w:pPr>
      <w:r w:rsidRPr="009D0284">
        <w:t>El 29 de septiembre de 2023, el Consejo Estatal mediante acuerdo CE/2023/022 aprobó los Lineamientos que tienen como propósito establecer las reglas, criterios y procedimientos a los que deberán ajustarse las personas que pretendan postularse bajo las modalidades de candidaturas independientes.</w:t>
      </w:r>
    </w:p>
    <w:p w14:paraId="24D78142" w14:textId="77777777" w:rsidR="004B6FB2" w:rsidRPr="009D0284" w:rsidRDefault="004B6FB2" w:rsidP="004B6FB2">
      <w:pPr>
        <w:pStyle w:val="Ttulo2"/>
        <w:rPr>
          <w:sz w:val="23"/>
        </w:rPr>
      </w:pPr>
      <w:r w:rsidRPr="009D0284">
        <w:rPr>
          <w:sz w:val="23"/>
        </w:rPr>
        <w:t>Inicio del Proceso Electoral</w:t>
      </w:r>
    </w:p>
    <w:p w14:paraId="7A868023" w14:textId="77777777" w:rsidR="004B6FB2" w:rsidRPr="009D0284" w:rsidRDefault="004B6FB2" w:rsidP="004B6FB2">
      <w:r w:rsidRPr="009D0284">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14EEC3A4" w14:textId="77777777" w:rsidR="004B6FB2" w:rsidRPr="009D0284" w:rsidRDefault="004B6FB2" w:rsidP="004B6FB2">
      <w:pPr>
        <w:pStyle w:val="Ttulo2"/>
        <w:rPr>
          <w:sz w:val="23"/>
        </w:rPr>
      </w:pPr>
      <w:r w:rsidRPr="009D0284">
        <w:rPr>
          <w:sz w:val="23"/>
        </w:rPr>
        <w:t>Período de obtención del apoyo de la ciudadanía</w:t>
      </w:r>
    </w:p>
    <w:p w14:paraId="26D4270C" w14:textId="77777777" w:rsidR="004B6FB2" w:rsidRPr="009D0284" w:rsidRDefault="004B6FB2" w:rsidP="004B6FB2">
      <w:pPr>
        <w:rPr>
          <w:b/>
          <w:bCs/>
        </w:rPr>
      </w:pPr>
      <w:r w:rsidRPr="009D0284">
        <w:rPr>
          <w:bCs/>
        </w:rPr>
        <w:t xml:space="preserve">En ejercicio de la facultad de atracción, el 20 de julio de 2023, </w:t>
      </w:r>
      <w:r w:rsidRPr="009D0284">
        <w:t xml:space="preserve">el Consejo General del INE aprobó el acuerdo INE/CG446/2023 relativo al Plan Integral y los calendarios de coordinación de los Procesos Electorales Locales concurrentes con el Federal 2023 – 2024, por lo que, homologó los plazos para la obtención del apoyo de la ciudadanía; y en consecuencia el Consejo Estatal aprobó el acuerdo CE/2023/021 relativo al calendario electoral del propio Instituto, estableciendo que, el período para que las personas aspirantes a una candidatura independiente a la Gubernatura del Estado obtengan el apoyo de la ciudadanía, </w:t>
      </w:r>
      <w:r w:rsidRPr="009D0284">
        <w:rPr>
          <w:b/>
        </w:rPr>
        <w:t>iniciaría el 15 de noviembre de 2023 y concluiría el 3 de enero de 2024.</w:t>
      </w:r>
    </w:p>
    <w:p w14:paraId="33EAC13D" w14:textId="77777777" w:rsidR="004B6FB2" w:rsidRPr="009D0284" w:rsidRDefault="004B6FB2" w:rsidP="004B6FB2">
      <w:pPr>
        <w:pStyle w:val="Ttulo2"/>
        <w:rPr>
          <w:sz w:val="23"/>
        </w:rPr>
      </w:pPr>
      <w:r w:rsidRPr="009D0284">
        <w:rPr>
          <w:sz w:val="23"/>
        </w:rPr>
        <w:t>Convocatoria para la renovación del Poder Ejecutivo, Legislativo y los Ayuntamientos</w:t>
      </w:r>
    </w:p>
    <w:p w14:paraId="50041EBF" w14:textId="77777777" w:rsidR="004B6FB2" w:rsidRPr="009D0284" w:rsidRDefault="004B6FB2" w:rsidP="004B6FB2">
      <w:r w:rsidRPr="009D0284">
        <w:t>El 20 de octubre de 2023, mediante acuerdo CE/2023/035, el Consejo Estatal expidió la convocatoria para renovar a las y los integrantes de los Poderes Ejecutivo, Legislativo y los Ayuntamientos del Estado, con motivo del Proceso Electoral.</w:t>
      </w:r>
    </w:p>
    <w:p w14:paraId="491C5A35" w14:textId="77777777" w:rsidR="004B6FB2" w:rsidRPr="009D0284" w:rsidRDefault="004B6FB2" w:rsidP="004B6FB2">
      <w:pPr>
        <w:pStyle w:val="Ttulo2"/>
        <w:rPr>
          <w:sz w:val="23"/>
        </w:rPr>
      </w:pPr>
      <w:r w:rsidRPr="009D0284">
        <w:rPr>
          <w:sz w:val="23"/>
        </w:rPr>
        <w:lastRenderedPageBreak/>
        <w:t>Jornada Electoral</w:t>
      </w:r>
    </w:p>
    <w:p w14:paraId="5FBD6E68" w14:textId="77777777" w:rsidR="004B6FB2" w:rsidRPr="009D0284" w:rsidRDefault="004B6FB2" w:rsidP="004B6FB2">
      <w:r w:rsidRPr="009D0284">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2F60553" w14:textId="77777777" w:rsidR="004B6FB2" w:rsidRPr="009D0284" w:rsidRDefault="004B6FB2" w:rsidP="004B6FB2">
      <w:pPr>
        <w:pStyle w:val="Ttulo1"/>
        <w:rPr>
          <w:sz w:val="24"/>
          <w:szCs w:val="24"/>
        </w:rPr>
      </w:pPr>
      <w:r w:rsidRPr="009D0284">
        <w:rPr>
          <w:sz w:val="24"/>
          <w:szCs w:val="24"/>
        </w:rPr>
        <w:t>Considerando</w:t>
      </w:r>
    </w:p>
    <w:p w14:paraId="63373E6E" w14:textId="77777777" w:rsidR="004B6FB2" w:rsidRPr="009D0284" w:rsidRDefault="004B6FB2" w:rsidP="004B6FB2">
      <w:pPr>
        <w:pStyle w:val="Ttulo2"/>
        <w:rPr>
          <w:sz w:val="23"/>
        </w:rPr>
      </w:pPr>
      <w:r w:rsidRPr="009D0284">
        <w:rPr>
          <w:sz w:val="23"/>
        </w:rPr>
        <w:t xml:space="preserve">Fines del Instituto </w:t>
      </w:r>
    </w:p>
    <w:p w14:paraId="5962F6C6" w14:textId="77777777" w:rsidR="004B6FB2" w:rsidRPr="009D0284" w:rsidRDefault="004B6FB2" w:rsidP="004B6FB2">
      <w:r w:rsidRPr="009D0284">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4A1EA96" w14:textId="77777777" w:rsidR="004B6FB2" w:rsidRPr="009D0284" w:rsidRDefault="004B6FB2" w:rsidP="004B6FB2">
      <w:r w:rsidRPr="009D0284">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16279" w14:textId="77777777" w:rsidR="004B6FB2" w:rsidRPr="009D0284" w:rsidRDefault="004B6FB2" w:rsidP="004B6FB2">
      <w:pPr>
        <w:pStyle w:val="Ttulo2"/>
        <w:rPr>
          <w:sz w:val="23"/>
        </w:rPr>
      </w:pPr>
      <w:r w:rsidRPr="009D0284">
        <w:rPr>
          <w:sz w:val="23"/>
        </w:rPr>
        <w:lastRenderedPageBreak/>
        <w:t xml:space="preserve">Órgano Superior de Dirección del Instituto </w:t>
      </w:r>
    </w:p>
    <w:p w14:paraId="3A1B779A" w14:textId="77777777" w:rsidR="004B6FB2" w:rsidRPr="009D0284" w:rsidRDefault="004B6FB2" w:rsidP="004B6FB2">
      <w:r w:rsidRPr="009D0284">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AC818E6" w14:textId="77777777" w:rsidR="004B6FB2" w:rsidRPr="009D0284" w:rsidRDefault="004B6FB2" w:rsidP="004B6FB2">
      <w:pPr>
        <w:pStyle w:val="Ttulo2"/>
        <w:rPr>
          <w:sz w:val="23"/>
        </w:rPr>
      </w:pPr>
      <w:r w:rsidRPr="009D0284">
        <w:rPr>
          <w:sz w:val="23"/>
        </w:rPr>
        <w:t>Integración del Órgano de Dirección Superior</w:t>
      </w:r>
    </w:p>
    <w:p w14:paraId="7970141B" w14:textId="77777777" w:rsidR="004B6FB2" w:rsidRPr="009D0284" w:rsidRDefault="004B6FB2" w:rsidP="004B6FB2">
      <w:r w:rsidRPr="009D0284">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BC046DE" w14:textId="77777777" w:rsidR="004B6FB2" w:rsidRPr="009D0284" w:rsidRDefault="004B6FB2" w:rsidP="004B6FB2">
      <w:pPr>
        <w:pStyle w:val="Ttulo2"/>
        <w:rPr>
          <w:sz w:val="23"/>
        </w:rPr>
      </w:pPr>
      <w:r w:rsidRPr="009D0284">
        <w:rPr>
          <w:sz w:val="23"/>
        </w:rPr>
        <w:t xml:space="preserve">Competencia del Consejo Estatal </w:t>
      </w:r>
    </w:p>
    <w:p w14:paraId="3A1582F4" w14:textId="77777777" w:rsidR="008C15FD" w:rsidRPr="009D0284" w:rsidRDefault="008C15FD" w:rsidP="008C15FD">
      <w:r w:rsidRPr="009D0284">
        <w:t>Que, de conformidad con el artículo 115 numeral 1 fracciones XII y XV de la Ley Electoral, el Consejo Estatal es competente para orientar a las ciudadanas y ciudadanos en la entidad para el ejercicio de sus derechos y cumplimiento de sus obligaciones político-electorales y llevar a cabo las actividades necesarias para la preparación de la jornada electoral; asimismo, en términos del artículo 288 numeral 3 del ordenamiento señalado, es competente para realizar ajustes a los plazos establecidos para garantizar los actos tendentes a recabar el apoyo de la ciudadanía.</w:t>
      </w:r>
    </w:p>
    <w:p w14:paraId="0E96FF71" w14:textId="77777777" w:rsidR="004B6FB2" w:rsidRPr="009D0284" w:rsidRDefault="004B6FB2" w:rsidP="004B6FB2">
      <w:r w:rsidRPr="009D0284">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1D254D0" w14:textId="77777777" w:rsidR="004B6FB2" w:rsidRPr="009D0284" w:rsidRDefault="004B6FB2" w:rsidP="004B6FB2">
      <w:pPr>
        <w:pStyle w:val="Ttulo2"/>
        <w:rPr>
          <w:sz w:val="23"/>
        </w:rPr>
      </w:pPr>
      <w:r w:rsidRPr="009D0284">
        <w:rPr>
          <w:sz w:val="23"/>
        </w:rPr>
        <w:lastRenderedPageBreak/>
        <w:t>Derecho de la ciudadanía a postularse de manera independiente a cargos de elección popular</w:t>
      </w:r>
    </w:p>
    <w:p w14:paraId="0D0C8356" w14:textId="77777777" w:rsidR="004B6FB2" w:rsidRPr="009D0284" w:rsidRDefault="004B6FB2" w:rsidP="004B6FB2">
      <w:r w:rsidRPr="009D0284">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34173091" w14:textId="77777777" w:rsidR="004B6FB2" w:rsidRPr="009D0284" w:rsidRDefault="004B6FB2" w:rsidP="004B6FB2">
      <w:r w:rsidRPr="009D0284">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8AEF899" w14:textId="77777777" w:rsidR="004B6FB2" w:rsidRPr="009D0284" w:rsidRDefault="004B6FB2" w:rsidP="004B6FB2">
      <w:pPr>
        <w:pStyle w:val="Ttulo2"/>
        <w:rPr>
          <w:sz w:val="23"/>
        </w:rPr>
      </w:pPr>
      <w:r w:rsidRPr="009D0284">
        <w:rPr>
          <w:sz w:val="23"/>
        </w:rPr>
        <w:t>Regulación de las candidaturas independientes</w:t>
      </w:r>
    </w:p>
    <w:p w14:paraId="6B84022F" w14:textId="77777777" w:rsidR="004B6FB2" w:rsidRPr="009D0284" w:rsidRDefault="004B6FB2" w:rsidP="004B6FB2">
      <w:r w:rsidRPr="009D0284">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4254C7F9" w14:textId="77777777" w:rsidR="004B6FB2" w:rsidRPr="009D0284" w:rsidRDefault="004B6FB2" w:rsidP="004B6FB2">
      <w:pPr>
        <w:pStyle w:val="Ttulo2"/>
        <w:rPr>
          <w:sz w:val="23"/>
        </w:rPr>
      </w:pPr>
      <w:r w:rsidRPr="009D0284">
        <w:rPr>
          <w:sz w:val="23"/>
        </w:rPr>
        <w:t>Registro individual de candidaturas independientes</w:t>
      </w:r>
    </w:p>
    <w:p w14:paraId="498881E2" w14:textId="77777777" w:rsidR="004B6FB2" w:rsidRPr="009D0284" w:rsidRDefault="004B6FB2" w:rsidP="004B6FB2">
      <w:r w:rsidRPr="009D0284">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14EBA08F" w14:textId="77777777" w:rsidR="004B6FB2" w:rsidRPr="009D0284" w:rsidRDefault="004B6FB2" w:rsidP="004B6FB2">
      <w:r w:rsidRPr="009D0284">
        <w:lastRenderedPageBreak/>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2E7B3F2E" w14:textId="77777777" w:rsidR="004B6FB2" w:rsidRPr="009D0284" w:rsidRDefault="004B6FB2" w:rsidP="004B6FB2">
      <w:r w:rsidRPr="009D0284">
        <w:t>Asimismo, como lo establece el numeral 3 del artículo 281 de la Ley Electoral, las candidaturas independientes tendrán los mismos derechos y obligaciones que las postuladas por partidos políticos, con las particularidades y salvedades que la Ley Electoral establece.</w:t>
      </w:r>
    </w:p>
    <w:p w14:paraId="49338826" w14:textId="77777777" w:rsidR="004B6FB2" w:rsidRPr="009D0284" w:rsidRDefault="004B6FB2" w:rsidP="004B6FB2">
      <w:pPr>
        <w:pStyle w:val="Ttulo2"/>
        <w:rPr>
          <w:sz w:val="23"/>
        </w:rPr>
      </w:pPr>
      <w:r w:rsidRPr="009D0284">
        <w:rPr>
          <w:sz w:val="23"/>
        </w:rPr>
        <w:t>Requisitos para participar y registrarse en candidaturas independientes</w:t>
      </w:r>
    </w:p>
    <w:p w14:paraId="58FAFBBC" w14:textId="77777777" w:rsidR="004B6FB2" w:rsidRPr="009D0284" w:rsidRDefault="004B6FB2" w:rsidP="004B6FB2">
      <w:r w:rsidRPr="009D0284">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2F9844A6" w14:textId="77777777" w:rsidR="004B6FB2" w:rsidRPr="009D0284" w:rsidRDefault="004B6FB2" w:rsidP="004B6FB2">
      <w:pPr>
        <w:pStyle w:val="Prrafodelista"/>
        <w:numPr>
          <w:ilvl w:val="0"/>
          <w:numId w:val="4"/>
        </w:numPr>
        <w:spacing w:before="0" w:after="0"/>
        <w:ind w:left="1077"/>
        <w:contextualSpacing w:val="0"/>
      </w:pPr>
      <w:r w:rsidRPr="009D0284">
        <w:t>Gobernador del Estado de Tabasco, y</w:t>
      </w:r>
    </w:p>
    <w:p w14:paraId="7F8E569D" w14:textId="77777777" w:rsidR="004B6FB2" w:rsidRPr="009D0284" w:rsidRDefault="004B6FB2" w:rsidP="004B6FB2">
      <w:pPr>
        <w:pStyle w:val="Prrafodelista"/>
        <w:numPr>
          <w:ilvl w:val="0"/>
          <w:numId w:val="4"/>
        </w:numPr>
        <w:spacing w:before="0" w:after="0"/>
        <w:ind w:left="1077"/>
        <w:contextualSpacing w:val="0"/>
      </w:pPr>
      <w:r w:rsidRPr="009D0284">
        <w:t>Diputados y regidores por el principio de mayoría relativa.</w:t>
      </w:r>
    </w:p>
    <w:p w14:paraId="129DBBBA" w14:textId="77777777" w:rsidR="004B6FB2" w:rsidRPr="009D0284" w:rsidRDefault="004B6FB2" w:rsidP="004B6FB2">
      <w:pPr>
        <w:pStyle w:val="Ttulo2"/>
        <w:rPr>
          <w:sz w:val="23"/>
        </w:rPr>
      </w:pPr>
      <w:r w:rsidRPr="009D0284">
        <w:rPr>
          <w:sz w:val="23"/>
        </w:rPr>
        <w:t>Proceso de selección de candidaturas independientes</w:t>
      </w:r>
    </w:p>
    <w:p w14:paraId="48377742" w14:textId="77777777" w:rsidR="004B6FB2" w:rsidRPr="009D0284" w:rsidRDefault="004B6FB2" w:rsidP="004B6FB2">
      <w:r w:rsidRPr="009D0284">
        <w:t xml:space="preserve">Que, en términos del artículo 285 numeral 1 de la Ley Electoral el proceso de selección de candidaturas independientes comprende las etapas siguientes: </w:t>
      </w:r>
    </w:p>
    <w:p w14:paraId="12E6EAA8" w14:textId="77777777" w:rsidR="004B6FB2" w:rsidRPr="009D0284" w:rsidRDefault="004B6FB2" w:rsidP="004B6FB2">
      <w:pPr>
        <w:pStyle w:val="Prrafodelista"/>
        <w:numPr>
          <w:ilvl w:val="0"/>
          <w:numId w:val="5"/>
        </w:numPr>
        <w:spacing w:before="0" w:after="0"/>
        <w:ind w:left="1077"/>
        <w:contextualSpacing w:val="0"/>
      </w:pPr>
      <w:r w:rsidRPr="009D0284">
        <w:t>De la convocatoria;</w:t>
      </w:r>
    </w:p>
    <w:p w14:paraId="3FC4F40A" w14:textId="77777777" w:rsidR="004B6FB2" w:rsidRPr="009D0284" w:rsidRDefault="004B6FB2" w:rsidP="004B6FB2">
      <w:pPr>
        <w:pStyle w:val="Prrafodelista"/>
        <w:numPr>
          <w:ilvl w:val="0"/>
          <w:numId w:val="5"/>
        </w:numPr>
        <w:spacing w:before="0" w:after="0"/>
        <w:ind w:left="1077"/>
        <w:contextualSpacing w:val="0"/>
      </w:pPr>
      <w:r w:rsidRPr="009D0284">
        <w:t>De los actos previos al registro de candidaturas independientes;</w:t>
      </w:r>
    </w:p>
    <w:p w14:paraId="01D308A4" w14:textId="77777777" w:rsidR="004B6FB2" w:rsidRPr="009D0284" w:rsidRDefault="004B6FB2" w:rsidP="004B6FB2">
      <w:pPr>
        <w:pStyle w:val="Prrafodelista"/>
        <w:numPr>
          <w:ilvl w:val="0"/>
          <w:numId w:val="5"/>
        </w:numPr>
        <w:spacing w:before="0" w:after="0"/>
        <w:ind w:left="1077"/>
        <w:contextualSpacing w:val="0"/>
      </w:pPr>
      <w:r w:rsidRPr="009D0284">
        <w:t>De la obtención del apoyo de la ciudadanía, y</w:t>
      </w:r>
    </w:p>
    <w:p w14:paraId="17FF295D" w14:textId="77777777" w:rsidR="004B6FB2" w:rsidRPr="009D0284" w:rsidRDefault="004B6FB2" w:rsidP="004B6FB2">
      <w:pPr>
        <w:pStyle w:val="Prrafodelista"/>
        <w:numPr>
          <w:ilvl w:val="0"/>
          <w:numId w:val="5"/>
        </w:numPr>
        <w:spacing w:before="0" w:after="0"/>
        <w:ind w:left="1077"/>
        <w:contextualSpacing w:val="0"/>
      </w:pPr>
      <w:r w:rsidRPr="009D0284">
        <w:t>Del registro de candidaturas independientes.</w:t>
      </w:r>
    </w:p>
    <w:p w14:paraId="32E28797" w14:textId="77777777" w:rsidR="004B6FB2" w:rsidRPr="009D0284" w:rsidRDefault="004B6FB2" w:rsidP="004B6FB2">
      <w:pPr>
        <w:pStyle w:val="Ttulo2"/>
        <w:rPr>
          <w:sz w:val="23"/>
        </w:rPr>
      </w:pPr>
      <w:r w:rsidRPr="009D0284">
        <w:rPr>
          <w:sz w:val="23"/>
        </w:rPr>
        <w:t>Convocatoria al proceso de selección de candidaturas independientes</w:t>
      </w:r>
    </w:p>
    <w:p w14:paraId="37787C2E" w14:textId="77777777" w:rsidR="004B6FB2" w:rsidRPr="009D0284" w:rsidRDefault="004B6FB2" w:rsidP="004B6FB2">
      <w:r w:rsidRPr="009D0284">
        <w:t xml:space="preserve">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w:t>
      </w:r>
      <w:r w:rsidRPr="009D0284">
        <w:lastRenderedPageBreak/>
        <w:t>comprobatoria requerida, la fecha de inicio del plazo para recabar el apoyo de la ciudadanía correspondiente, los topes de gastos que pueden erogar y los formatos para ello, siendo obligación del Instituto, dar amplia difusión a su contenido.</w:t>
      </w:r>
    </w:p>
    <w:p w14:paraId="2440BFC3" w14:textId="77777777" w:rsidR="004B6FB2" w:rsidRPr="009D0284" w:rsidRDefault="004B6FB2" w:rsidP="004B6FB2">
      <w:pPr>
        <w:pStyle w:val="Ttulo2"/>
        <w:rPr>
          <w:sz w:val="23"/>
        </w:rPr>
      </w:pPr>
      <w:r w:rsidRPr="009D0284">
        <w:rPr>
          <w:sz w:val="23"/>
        </w:rPr>
        <w:t>Actos previos al registro de candidaturas independientes</w:t>
      </w:r>
    </w:p>
    <w:p w14:paraId="63096784" w14:textId="77777777" w:rsidR="004B6FB2" w:rsidRPr="009D0284" w:rsidRDefault="004B6FB2" w:rsidP="004B6FB2">
      <w:r w:rsidRPr="009D0284">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7AD51E52" w14:textId="77777777" w:rsidR="004B6FB2" w:rsidRPr="009D0284" w:rsidRDefault="004B6FB2" w:rsidP="004B6FB2">
      <w:r w:rsidRPr="009D0284">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5CF93B27" w14:textId="77777777" w:rsidR="004B6FB2" w:rsidRPr="009D0284" w:rsidRDefault="004B6FB2" w:rsidP="004B6FB2">
      <w:pPr>
        <w:pStyle w:val="Ttulo2"/>
        <w:rPr>
          <w:sz w:val="23"/>
        </w:rPr>
      </w:pPr>
      <w:r w:rsidRPr="009D0284">
        <w:rPr>
          <w:sz w:val="23"/>
        </w:rPr>
        <w:t>Requisitos adjuntos a la manifestación de intención</w:t>
      </w:r>
    </w:p>
    <w:p w14:paraId="605F41AD" w14:textId="77777777" w:rsidR="004B6FB2" w:rsidRPr="009D0284" w:rsidRDefault="004B6FB2" w:rsidP="004B6FB2">
      <w:r w:rsidRPr="009D0284">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41676303" w14:textId="77777777" w:rsidR="004B6FB2" w:rsidRPr="009D0284" w:rsidRDefault="004B6FB2" w:rsidP="004B6FB2">
      <w:r w:rsidRPr="009D0284">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364E49C6" w14:textId="77777777" w:rsidR="004B6FB2" w:rsidRPr="009D0284" w:rsidRDefault="004B6FB2" w:rsidP="004B6FB2">
      <w:r w:rsidRPr="009D0284">
        <w:lastRenderedPageBreak/>
        <w:t>Adicionalmente, la asociación civil deberá estar constituida con por lo menos la persona aspirante a la candidatura independiente, su representante legal y la persona encargada de la administración de los recursos de la candidatura independiente.</w:t>
      </w:r>
    </w:p>
    <w:p w14:paraId="7471090B" w14:textId="77777777" w:rsidR="004B6FB2" w:rsidRPr="009D0284" w:rsidRDefault="004B6FB2" w:rsidP="004B6FB2">
      <w:pPr>
        <w:pStyle w:val="Ttulo2"/>
        <w:rPr>
          <w:sz w:val="23"/>
        </w:rPr>
      </w:pPr>
      <w:r w:rsidRPr="009D0284">
        <w:rPr>
          <w:sz w:val="23"/>
        </w:rPr>
        <w:t>Actos tendentes para recabar u obtener el apoyo de la ciudadanía</w:t>
      </w:r>
    </w:p>
    <w:p w14:paraId="2F74DC37" w14:textId="77777777" w:rsidR="004B6FB2" w:rsidRPr="009D0284" w:rsidRDefault="004B6FB2" w:rsidP="004B6FB2">
      <w:r w:rsidRPr="009D0284">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3130EF24" w14:textId="77777777" w:rsidR="004B6FB2" w:rsidRPr="009D0284" w:rsidRDefault="004B6FB2" w:rsidP="004B6FB2">
      <w:r w:rsidRPr="009D0284">
        <w:t>De conformidad con el numeral 2 del artículo en cita, los actos tendentes a recabar el apoyo de la ciudadanía, se sujetarán a los siguientes plazos, según corresponda:</w:t>
      </w:r>
    </w:p>
    <w:p w14:paraId="3D5304A8" w14:textId="77777777" w:rsidR="004B6FB2" w:rsidRPr="009D0284" w:rsidRDefault="004B6FB2" w:rsidP="004B6FB2">
      <w:pPr>
        <w:pStyle w:val="Prrafodelista"/>
        <w:numPr>
          <w:ilvl w:val="0"/>
          <w:numId w:val="6"/>
        </w:numPr>
        <w:ind w:left="720"/>
        <w:contextualSpacing w:val="0"/>
      </w:pPr>
      <w:r w:rsidRPr="009D0284">
        <w:t>Las personas aspirantes a la candidatura independiente para la Gubernatura del Estado contarán con cincuenta días; y</w:t>
      </w:r>
    </w:p>
    <w:p w14:paraId="34E66CEF" w14:textId="77777777" w:rsidR="004B6FB2" w:rsidRPr="009D0284" w:rsidRDefault="004B6FB2" w:rsidP="004B6FB2">
      <w:pPr>
        <w:pStyle w:val="Prrafodelista"/>
        <w:numPr>
          <w:ilvl w:val="0"/>
          <w:numId w:val="6"/>
        </w:numPr>
        <w:ind w:left="720"/>
        <w:contextualSpacing w:val="0"/>
      </w:pPr>
      <w:r w:rsidRPr="009D0284">
        <w:t>Las personas aspirantes a las candidaturas independientes para las diputaciones o regidurías contarán con treinta días.</w:t>
      </w:r>
    </w:p>
    <w:p w14:paraId="06EDE6BE" w14:textId="77777777" w:rsidR="004B6FB2" w:rsidRPr="009D0284" w:rsidRDefault="004B6FB2" w:rsidP="004B6FB2">
      <w:r w:rsidRPr="009D0284">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6FB9B94C" w14:textId="77777777" w:rsidR="004B6FB2" w:rsidRPr="009D0284" w:rsidRDefault="004B6FB2" w:rsidP="004B6FB2">
      <w:pPr>
        <w:pStyle w:val="Ttulo2"/>
        <w:rPr>
          <w:sz w:val="23"/>
        </w:rPr>
      </w:pPr>
      <w:r w:rsidRPr="009D0284">
        <w:rPr>
          <w:sz w:val="23"/>
        </w:rPr>
        <w:t>Uso de la aplicación móvil</w:t>
      </w:r>
    </w:p>
    <w:p w14:paraId="4306943E" w14:textId="77777777" w:rsidR="004B6FB2" w:rsidRPr="009D0284" w:rsidRDefault="004B6FB2" w:rsidP="004B6FB2">
      <w:r w:rsidRPr="009D0284">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6E71DD45" w14:textId="77777777" w:rsidR="004B6FB2" w:rsidRPr="009D0284" w:rsidRDefault="004B6FB2" w:rsidP="004B6FB2">
      <w:r w:rsidRPr="009D0284">
        <w:lastRenderedPageBreak/>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21429C99" w14:textId="77777777" w:rsidR="004B6FB2" w:rsidRPr="009D0284" w:rsidRDefault="004B6FB2" w:rsidP="004B6FB2">
      <w:pPr>
        <w:pStyle w:val="Ttulo2"/>
        <w:rPr>
          <w:sz w:val="23"/>
        </w:rPr>
      </w:pPr>
      <w:r w:rsidRPr="009D0284">
        <w:rPr>
          <w:sz w:val="23"/>
        </w:rPr>
        <w:t>Porcentajes de apoyo de la ciudadanía</w:t>
      </w:r>
    </w:p>
    <w:p w14:paraId="137E6F3A" w14:textId="77777777" w:rsidR="004B6FB2" w:rsidRPr="009D0284" w:rsidRDefault="004B6FB2" w:rsidP="004B6FB2">
      <w:r w:rsidRPr="009D0284">
        <w:t>Que, de conformidad con el artículo 16 de los Lineamientos y conforme a las razones expuestas en el acuerdo CE/2023/022, las personas que aspiren a una candidatura independiente deberán obtener el apoyo o respaldo ciudadano, según el cargo al que aspire, de conformidad con lo siguiente:</w:t>
      </w:r>
    </w:p>
    <w:p w14:paraId="747DCF25" w14:textId="77777777" w:rsidR="004B6FB2" w:rsidRPr="009D0284" w:rsidRDefault="004B6FB2" w:rsidP="004B6FB2">
      <w:pPr>
        <w:pStyle w:val="Prrafodelista"/>
        <w:numPr>
          <w:ilvl w:val="0"/>
          <w:numId w:val="7"/>
        </w:numPr>
        <w:ind w:left="510" w:hanging="510"/>
        <w:contextualSpacing w:val="0"/>
        <w:rPr>
          <w:rFonts w:eastAsia="Arial Unicode MS"/>
        </w:rPr>
      </w:pPr>
      <w:r w:rsidRPr="009D0284">
        <w:rPr>
          <w:rFonts w:eastAsia="Arial Unicode MS"/>
        </w:rPr>
        <w:t xml:space="preserve">Para la candidatura a la Gubernatura del Estado de Tabasco, el apoyo o respaldo ciudadano deberá contener, cuando menos, la firma de una cantidad de personas ciudadanas equivalente al </w:t>
      </w:r>
      <w:r w:rsidRPr="009D0284">
        <w:rPr>
          <w:rFonts w:eastAsia="Arial Unicode MS"/>
          <w:b/>
        </w:rPr>
        <w:t>2% (dos por ciento)</w:t>
      </w:r>
      <w:r w:rsidRPr="009D0284">
        <w:rPr>
          <w:rFonts w:eastAsia="Arial Unicode MS"/>
        </w:rPr>
        <w:t xml:space="preserve"> del padrón electoral del Estado con corte al 31 de agosto del año previo al de la elección; </w:t>
      </w:r>
    </w:p>
    <w:p w14:paraId="1980BECC" w14:textId="77777777" w:rsidR="004B6FB2" w:rsidRPr="009D0284" w:rsidRDefault="004B6FB2" w:rsidP="004B6FB2">
      <w:pPr>
        <w:pStyle w:val="Prrafodelista"/>
        <w:numPr>
          <w:ilvl w:val="0"/>
          <w:numId w:val="7"/>
        </w:numPr>
        <w:ind w:left="510" w:hanging="510"/>
        <w:contextualSpacing w:val="0"/>
        <w:rPr>
          <w:rFonts w:eastAsia="Arial Unicode MS"/>
        </w:rPr>
      </w:pPr>
      <w:r w:rsidRPr="009D0284">
        <w:rPr>
          <w:rFonts w:eastAsia="Arial Unicode MS"/>
        </w:rPr>
        <w:t xml:space="preserve">Para las candidaturas a diputaciones de mayoría relativa, la cédula de respaldo deberá contener, cuando menos, la firma de una cantidad de personas ciudadanas equivalente al </w:t>
      </w:r>
      <w:r w:rsidRPr="009D0284">
        <w:rPr>
          <w:rFonts w:eastAsia="Arial Unicode MS"/>
          <w:b/>
        </w:rPr>
        <w:t>2% (dos por ciento)</w:t>
      </w:r>
      <w:r w:rsidRPr="009D0284">
        <w:rPr>
          <w:rFonts w:eastAsia="Arial Unicode MS"/>
        </w:rPr>
        <w:t xml:space="preserve"> del padrón electoral correspondiente al distrito de que se trate, con corte al 31 de agosto del año previo al de la elección; y </w:t>
      </w:r>
    </w:p>
    <w:p w14:paraId="7B24516D" w14:textId="77777777" w:rsidR="004B6FB2" w:rsidRPr="009D0284" w:rsidRDefault="004B6FB2" w:rsidP="004B6FB2">
      <w:pPr>
        <w:pStyle w:val="Prrafodelista"/>
        <w:numPr>
          <w:ilvl w:val="0"/>
          <w:numId w:val="7"/>
        </w:numPr>
        <w:ind w:left="510" w:hanging="510"/>
        <w:contextualSpacing w:val="0"/>
        <w:rPr>
          <w:rFonts w:eastAsia="Arial Unicode MS"/>
        </w:rPr>
      </w:pPr>
      <w:r w:rsidRPr="009D0284">
        <w:rPr>
          <w:rFonts w:eastAsia="Arial Unicode MS"/>
        </w:rPr>
        <w:t>Para las candidaturas a presidencias municipales y regidurías de mayoría relativa, la cédula de respaldo deberá contener, cuando menos, la firma de una cantidad de personas ciudadanas equivalente al</w:t>
      </w:r>
      <w:r w:rsidRPr="009D0284">
        <w:rPr>
          <w:rFonts w:eastAsia="Arial Unicode MS"/>
          <w:b/>
        </w:rPr>
        <w:t xml:space="preserve"> 2% (dos por ciento)</w:t>
      </w:r>
      <w:r w:rsidRPr="009D0284">
        <w:rPr>
          <w:rFonts w:eastAsia="Arial Unicode MS"/>
        </w:rPr>
        <w:t xml:space="preserve"> del padrón electoral correspondiente al municipio de que se trate con corte al 31 de agosto del año previo al de la elección.</w:t>
      </w:r>
    </w:p>
    <w:p w14:paraId="3B54C114" w14:textId="77777777" w:rsidR="004B6FB2" w:rsidRPr="009D0284" w:rsidRDefault="004B6FB2" w:rsidP="004B6FB2">
      <w:pPr>
        <w:pStyle w:val="Ttulo2"/>
        <w:rPr>
          <w:sz w:val="23"/>
        </w:rPr>
      </w:pPr>
      <w:r w:rsidRPr="009D0284">
        <w:rPr>
          <w:sz w:val="23"/>
        </w:rPr>
        <w:t>Verificación del porcentaje de apoyo de la ciudadanía</w:t>
      </w:r>
    </w:p>
    <w:p w14:paraId="3D7FE71F" w14:textId="77777777" w:rsidR="004B6FB2" w:rsidRPr="009D0284" w:rsidRDefault="004B6FB2" w:rsidP="004B6FB2">
      <w:r w:rsidRPr="009D0284">
        <w:t xml:space="preserve">Que, el artículo 302 de la Ley Electoral dispone que, una vez que se cumplan los demás requisitos establecidos en esta Ley, el Instituto solicitará al INE que, por conducto de la Dirección Ejecutiva del Registro Federal de Electores verifique que se haya reunido el </w:t>
      </w:r>
      <w:r w:rsidRPr="009D0284">
        <w:lastRenderedPageBreak/>
        <w:t>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6ED25558" w14:textId="77777777" w:rsidR="004B6FB2" w:rsidRPr="009D0284" w:rsidRDefault="004B6FB2" w:rsidP="004B6FB2">
      <w:r w:rsidRPr="009D0284">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1620FCF1" w14:textId="77777777" w:rsidR="004B6FB2" w:rsidRPr="009D0284" w:rsidRDefault="004B6FB2" w:rsidP="004B6FB2">
      <w:r w:rsidRPr="009D0284">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0A9479A7" w14:textId="75089761" w:rsidR="004B6FB2" w:rsidRPr="009D0284" w:rsidRDefault="004B6FB2" w:rsidP="004B6FB2">
      <w:pPr>
        <w:pStyle w:val="Ttulo2"/>
        <w:rPr>
          <w:sz w:val="23"/>
        </w:rPr>
      </w:pPr>
      <w:r w:rsidRPr="009D0284">
        <w:rPr>
          <w:sz w:val="23"/>
        </w:rPr>
        <w:t>Solicitud de</w:t>
      </w:r>
      <w:r w:rsidR="00E066B9" w:rsidRPr="009D0284">
        <w:rPr>
          <w:sz w:val="23"/>
        </w:rPr>
        <w:t>l</w:t>
      </w:r>
      <w:r w:rsidR="00334C80" w:rsidRPr="009D0284">
        <w:rPr>
          <w:sz w:val="23"/>
        </w:rPr>
        <w:t xml:space="preserve"> </w:t>
      </w:r>
      <w:r w:rsidRPr="009D0284">
        <w:rPr>
          <w:sz w:val="23"/>
        </w:rPr>
        <w:t xml:space="preserve">aspirante </w:t>
      </w:r>
      <w:r w:rsidR="00E066B9" w:rsidRPr="009D0284">
        <w:rPr>
          <w:sz w:val="23"/>
        </w:rPr>
        <w:t xml:space="preserve">a </w:t>
      </w:r>
      <w:r w:rsidRPr="009D0284">
        <w:rPr>
          <w:sz w:val="23"/>
        </w:rPr>
        <w:t>candidatura independiente</w:t>
      </w:r>
    </w:p>
    <w:p w14:paraId="2E65E777" w14:textId="77777777" w:rsidR="001933C3" w:rsidRPr="009D0284" w:rsidRDefault="00334C80" w:rsidP="00E066B9">
      <w:r w:rsidRPr="009D0284">
        <w:t xml:space="preserve">Que, </w:t>
      </w:r>
      <w:r w:rsidR="00E066B9" w:rsidRPr="009D0284">
        <w:t xml:space="preserve">el ciudadano </w:t>
      </w:r>
      <w:r w:rsidR="001933C3" w:rsidRPr="009D0284">
        <w:t>Agustín Pérez Contreras</w:t>
      </w:r>
      <w:r w:rsidR="00E066B9" w:rsidRPr="009D0284">
        <w:t>, aspirante a la candidatura independiente</w:t>
      </w:r>
      <w:r w:rsidRPr="009D0284">
        <w:t xml:space="preserve"> a </w:t>
      </w:r>
      <w:r w:rsidR="00E066B9" w:rsidRPr="009D0284">
        <w:t>la</w:t>
      </w:r>
      <w:r w:rsidR="00875A4D" w:rsidRPr="009D0284">
        <w:t xml:space="preserve"> </w:t>
      </w:r>
      <w:r w:rsidR="001933C3" w:rsidRPr="009D0284">
        <w:t xml:space="preserve">Presidencia Municipal de </w:t>
      </w:r>
      <w:proofErr w:type="spellStart"/>
      <w:r w:rsidR="001933C3" w:rsidRPr="009D0284">
        <w:t>Nacajuca</w:t>
      </w:r>
      <w:proofErr w:type="spellEnd"/>
      <w:r w:rsidR="001933C3" w:rsidRPr="009D0284">
        <w:t>, Tabasco</w:t>
      </w:r>
      <w:r w:rsidR="00E066B9" w:rsidRPr="009D0284">
        <w:t xml:space="preserve">, presentó </w:t>
      </w:r>
      <w:r w:rsidR="004B6FB2" w:rsidRPr="009D0284">
        <w:t xml:space="preserve">escrito solicitando </w:t>
      </w:r>
      <w:r w:rsidR="001933C3" w:rsidRPr="009D0284">
        <w:t>lo siguiente:</w:t>
      </w:r>
    </w:p>
    <w:p w14:paraId="066EAE32" w14:textId="3B4EA907" w:rsidR="001933C3" w:rsidRPr="009D0284" w:rsidRDefault="001933C3" w:rsidP="00B74B69">
      <w:pPr>
        <w:pStyle w:val="Prrafodelista"/>
        <w:numPr>
          <w:ilvl w:val="0"/>
          <w:numId w:val="9"/>
        </w:numPr>
        <w:ind w:left="714" w:hanging="357"/>
        <w:contextualSpacing w:val="0"/>
      </w:pPr>
      <w:r w:rsidRPr="009D0284">
        <w:t xml:space="preserve">La emisión de Lineamientos y autorización para la aplicación del Régimen de Excepción en las localidades: Poblado </w:t>
      </w:r>
      <w:proofErr w:type="spellStart"/>
      <w:r w:rsidRPr="009D0284">
        <w:t>Oxiacaque</w:t>
      </w:r>
      <w:proofErr w:type="spellEnd"/>
      <w:r w:rsidRPr="009D0284">
        <w:t xml:space="preserve">, Poblado </w:t>
      </w:r>
      <w:proofErr w:type="spellStart"/>
      <w:r w:rsidRPr="009D0284">
        <w:t>Ocualtitlán</w:t>
      </w:r>
      <w:proofErr w:type="spellEnd"/>
      <w:r w:rsidRPr="009D0284">
        <w:t xml:space="preserve">, Poblado </w:t>
      </w:r>
      <w:proofErr w:type="spellStart"/>
      <w:r w:rsidRPr="009D0284">
        <w:t>Guatacalca</w:t>
      </w:r>
      <w:proofErr w:type="spellEnd"/>
      <w:r w:rsidRPr="009D0284">
        <w:t xml:space="preserve">, Ranchería la Isla Guadalupe, Ranchería Belén, Ranchería San Juan Diego, Ranchería el Sitio, Poblado </w:t>
      </w:r>
      <w:proofErr w:type="spellStart"/>
      <w:r w:rsidRPr="009D0284">
        <w:t>Tucta</w:t>
      </w:r>
      <w:proofErr w:type="spellEnd"/>
      <w:r w:rsidRPr="009D0284">
        <w:t xml:space="preserve">, Poblado </w:t>
      </w:r>
      <w:proofErr w:type="spellStart"/>
      <w:r w:rsidRPr="009D0284">
        <w:t>Tapoxingo</w:t>
      </w:r>
      <w:proofErr w:type="spellEnd"/>
      <w:r w:rsidRPr="009D0284">
        <w:t xml:space="preserve">, Poblado </w:t>
      </w:r>
      <w:proofErr w:type="spellStart"/>
      <w:r w:rsidRPr="009D0284">
        <w:t>Guaytalpa</w:t>
      </w:r>
      <w:proofErr w:type="spellEnd"/>
      <w:r w:rsidRPr="009D0284">
        <w:t xml:space="preserve">, Poblado </w:t>
      </w:r>
      <w:proofErr w:type="spellStart"/>
      <w:r w:rsidRPr="009D0284">
        <w:t>Tecoluta</w:t>
      </w:r>
      <w:proofErr w:type="spellEnd"/>
      <w:r w:rsidRPr="009D0284">
        <w:t xml:space="preserve"> Primera y Segunda Sección y todas y cada una de las localidades del municipio de </w:t>
      </w:r>
      <w:proofErr w:type="spellStart"/>
      <w:r w:rsidRPr="009D0284">
        <w:t>Nacajuca</w:t>
      </w:r>
      <w:proofErr w:type="spellEnd"/>
      <w:r w:rsidRPr="009D0284">
        <w:t>, donde se encuentren identificadas con condiciones de marginación; y</w:t>
      </w:r>
    </w:p>
    <w:p w14:paraId="3B5D8E8E" w14:textId="0473008F" w:rsidR="001933C3" w:rsidRPr="009D0284" w:rsidRDefault="005E5A67" w:rsidP="00B74B69">
      <w:pPr>
        <w:pStyle w:val="Prrafodelista"/>
        <w:numPr>
          <w:ilvl w:val="0"/>
          <w:numId w:val="9"/>
        </w:numPr>
        <w:ind w:left="714" w:hanging="357"/>
        <w:contextualSpacing w:val="0"/>
      </w:pPr>
      <w:r w:rsidRPr="009D0284">
        <w:t xml:space="preserve">Prórroga de 30 días para continuar recabando el apoyo ciudadano derivado de la omisión de crear los lineamientos para la aplicación del Régimen de Excepción solicitado en el punto que antecede, a pesar de que el municipio de </w:t>
      </w:r>
      <w:proofErr w:type="spellStart"/>
      <w:r w:rsidRPr="009D0284">
        <w:t>Nacajuca</w:t>
      </w:r>
      <w:proofErr w:type="spellEnd"/>
      <w:r w:rsidRPr="009D0284">
        <w:t xml:space="preserve"> es considerado de acuerdo con las estimaciones de la CONAPO con base en el Censo de Población y Vivienda 2020 del INEGI como un municipio con grado de </w:t>
      </w:r>
      <w:r w:rsidRPr="009D0284">
        <w:lastRenderedPageBreak/>
        <w:t xml:space="preserve">marginación alto en el que se asientan pueblos originarios considerados como población vulnerable. </w:t>
      </w:r>
    </w:p>
    <w:p w14:paraId="1960D345" w14:textId="77777777" w:rsidR="003C5E81" w:rsidRPr="009D0284" w:rsidRDefault="003C5E81" w:rsidP="003C5E81">
      <w:r w:rsidRPr="009D0284">
        <w:t>Al respecto, este Consejo Estatal considera que los argumentos expuestos por el aspirante no justifican la procedencia de la ampliación o prórroga del plazo para la obtención del apoyo de la ciudadanía solicitada.</w:t>
      </w:r>
    </w:p>
    <w:p w14:paraId="3295C5A0" w14:textId="77777777" w:rsidR="003C5E81" w:rsidRPr="009D0284" w:rsidRDefault="003C5E81" w:rsidP="003C5E81">
      <w:r w:rsidRPr="009D0284">
        <w:t xml:space="preserve">En ese contexto, la Sala Superior de la interpretación de los artículos 1 y 35 fracción II de la Constitución Federal sostiene que cuando se actualicen circunstancias </w:t>
      </w:r>
      <w:r w:rsidRPr="009D0284">
        <w:rPr>
          <w:b/>
        </w:rPr>
        <w:t>particulares y extraordinarias que trasciendan al ejercicio del derecho a ser votado</w:t>
      </w:r>
      <w:r w:rsidRPr="009D0284">
        <w:t xml:space="preserve">, en su modalidad de registro de candidaturas de forma independiente y coloquen al aspirante en una posición de desventaja, éstas dan lugar a que se prorrogue el periodo para la obtención del apoyo de la ciudadanía en un lapso adicional al equivalente al tiempo que estuvo impedido para recabarlo. Criterio que consta en la tesis IX/2019 con rubro: </w:t>
      </w:r>
      <w:r w:rsidRPr="009D0284">
        <w:rPr>
          <w:b/>
        </w:rPr>
        <w:t>“CANDIDATURAS INDEPENDIENTES. PROCEDE LA AMPLIACIÓN DEL PLAZO PARA LA OBTENCIÓN DEL APOYO CIUDADANO CUANDO POR CAUSAS AJENAS AL ASPIRANTE NO GOZA DE LA TOTALIDAD DEL MISMO”.</w:t>
      </w:r>
    </w:p>
    <w:p w14:paraId="36CB5082" w14:textId="77777777" w:rsidR="003C5E81" w:rsidRPr="009D0284" w:rsidRDefault="003C5E81" w:rsidP="003C5E81">
      <w:r w:rsidRPr="009D0284">
        <w:t>Así, la Sala Superior ha sostenido que, las autoridades electorales deben interpretar y aplicar la normativa aplicable a la obtención del apoyo de la ciudadanía, de tal forma que, se atiendan a las circunstancias particulares y extraordinarias que concurren con el aspirante, a fin de que éste cuente con el plazo íntegro que determine el propio organismo electoral para recolectar los apoyos ciudadanos correspondientes</w:t>
      </w:r>
      <w:r w:rsidRPr="009D0284">
        <w:rPr>
          <w:rStyle w:val="Refdenotaalpie"/>
        </w:rPr>
        <w:footnoteReference w:id="1"/>
      </w:r>
      <w:r w:rsidRPr="009D0284">
        <w:t>.</w:t>
      </w:r>
    </w:p>
    <w:p w14:paraId="30DC6CB6" w14:textId="4A937950" w:rsidR="003C5E81" w:rsidRPr="009D0284" w:rsidRDefault="003C5E81" w:rsidP="003C5E81">
      <w:r w:rsidRPr="009D0284">
        <w:t>Es decir, si durante la fase de recolección de apoyo de la ciudadanía surgen hechos o situaciones ajenas al aspirante a la candidatura independiente que le impidan contar con la totalidad del plazo legalmente establecido para recabarlo, en contravención a su derecho de participar plenamente y en condiciones de igualdad, es procedente interpretar y aplicar de la manera más favorable a la persona el marco normativo respectivo a fin de reparar la violación a su derecho.</w:t>
      </w:r>
    </w:p>
    <w:p w14:paraId="34647F23" w14:textId="52F4A364" w:rsidR="009A0DE7" w:rsidRPr="009D0284" w:rsidRDefault="009A0DE7" w:rsidP="003C5E81">
      <w:r w:rsidRPr="009D0284">
        <w:t xml:space="preserve">Ahora bien, respecto al régimen de excepción, los Lineamientos para la Verificación en su artículo 1 inciso </w:t>
      </w:r>
      <w:proofErr w:type="spellStart"/>
      <w:r w:rsidRPr="009D0284">
        <w:t>ee</w:t>
      </w:r>
      <w:proofErr w:type="spellEnd"/>
      <w:r w:rsidRPr="009D0284">
        <w:t xml:space="preserve">), lo define como la modalidad para la obtención del apoyo de la </w:t>
      </w:r>
      <w:r w:rsidRPr="009D0284">
        <w:lastRenderedPageBreak/>
        <w:t>ciudadanía mediante cédula física en aquellos municipios identificados como de muy alta marginación, determinados por cada organismo</w:t>
      </w:r>
      <w:r w:rsidR="00463A38" w:rsidRPr="009D0284">
        <w:t xml:space="preserve"> </w:t>
      </w:r>
      <w:r w:rsidRPr="009D0284">
        <w:t>electoral.</w:t>
      </w:r>
    </w:p>
    <w:p w14:paraId="5EFCB4E1" w14:textId="39FB86CB" w:rsidR="00637003" w:rsidRPr="009D0284" w:rsidRDefault="00637003" w:rsidP="003C5E81">
      <w:r w:rsidRPr="009D0284">
        <w:t>En ese mismo sentido, el artículo 92 de los Lineamientos de Verificación establecen que para recabar el apoyo de la ciudadanía es necesario utilizar la aplicación móvil, y sólo en los casos en que el organismo electoral establezca un régimen de excepción, se considerará el uso del módulo de captura de cédulas (captura manual) con que cuenta el sistema informático, únicamente para las personas aspirantes a candidaturas independientes registradas en el Portal web y avaladas por el organismo electoral para captar apoyo mediante el régimen de excepción. El organismo electoral determinará los requisitos que deberán contener las cédulas físicas para recabar el apoyo mediante dicho régimen.</w:t>
      </w:r>
    </w:p>
    <w:p w14:paraId="5C15EFD2" w14:textId="7D58F7E3" w:rsidR="00117EB6" w:rsidRPr="009D0284" w:rsidRDefault="00117EB6" w:rsidP="003C5E81">
      <w:r w:rsidRPr="009D0284">
        <w:t>Para tales efectos, de conformidad con el numeral 93 de los Lineamientos mencionados, en los municipios y localidades en los que resulta aplicable el régimen de excepción, sólo podrán recabarse la información de las personas que brindan su apoyo, cuyo domicilio se ubique en ellos.</w:t>
      </w:r>
    </w:p>
    <w:p w14:paraId="657A2E62" w14:textId="77777777" w:rsidR="000E759D" w:rsidRPr="009D0284" w:rsidRDefault="00746980" w:rsidP="000E759D">
      <w:r w:rsidRPr="009D0284">
        <w:t>En ese contexto, contrario a lo que afirma el aspirante, de acuerdo con la información emitida por el Consejo Nacional de Población</w:t>
      </w:r>
      <w:r w:rsidRPr="009D0284">
        <w:rPr>
          <w:rStyle w:val="Refdenotaalpie"/>
        </w:rPr>
        <w:footnoteReference w:id="2"/>
      </w:r>
      <w:r w:rsidRPr="009D0284">
        <w:t xml:space="preserve"> relacionada con el índice de marginación a nivel municipal, </w:t>
      </w:r>
      <w:proofErr w:type="spellStart"/>
      <w:r w:rsidRPr="009D0284">
        <w:t>Nacajuca</w:t>
      </w:r>
      <w:proofErr w:type="spellEnd"/>
      <w:r w:rsidRPr="009D0284">
        <w:t xml:space="preserve"> está considerada con un grado de marginación muy bajo, un índice de marginación de 57.8 y un índice de marginación normalizado de .090, como se muestra en el siguiente esquema:</w:t>
      </w:r>
    </w:p>
    <w:p w14:paraId="57A05986" w14:textId="68E2F266" w:rsidR="00117EB6" w:rsidRDefault="009A261E" w:rsidP="000E759D">
      <w:pPr>
        <w:jc w:val="center"/>
      </w:pPr>
      <w:r>
        <w:rPr>
          <w:noProof/>
          <w:lang w:eastAsia="es-MX"/>
        </w:rPr>
        <w:lastRenderedPageBreak/>
        <w:drawing>
          <wp:inline distT="0" distB="0" distL="0" distR="0" wp14:anchorId="6E2D8B4A" wp14:editId="6F3B21CA">
            <wp:extent cx="4483637" cy="4039173"/>
            <wp:effectExtent l="0" t="0" r="0" b="0"/>
            <wp:docPr id="236989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89850" name="Imagen 236989850"/>
                    <pic:cNvPicPr/>
                  </pic:nvPicPr>
                  <pic:blipFill>
                    <a:blip r:embed="rId8">
                      <a:extLst>
                        <a:ext uri="{28A0092B-C50C-407E-A947-70E740481C1C}">
                          <a14:useLocalDpi xmlns:a14="http://schemas.microsoft.com/office/drawing/2010/main" val="0"/>
                        </a:ext>
                      </a:extLst>
                    </a:blip>
                    <a:stretch>
                      <a:fillRect/>
                    </a:stretch>
                  </pic:blipFill>
                  <pic:spPr>
                    <a:xfrm>
                      <a:off x="0" y="0"/>
                      <a:ext cx="4493406" cy="4047973"/>
                    </a:xfrm>
                    <a:prstGeom prst="rect">
                      <a:avLst/>
                    </a:prstGeom>
                  </pic:spPr>
                </pic:pic>
              </a:graphicData>
            </a:graphic>
          </wp:inline>
        </w:drawing>
      </w:r>
    </w:p>
    <w:p w14:paraId="282B86DD" w14:textId="385AF890" w:rsidR="00863632" w:rsidRPr="009D0284" w:rsidRDefault="00863632" w:rsidP="00863632">
      <w:r w:rsidRPr="009D0284">
        <w:t>En esa tesitura es equívoca el argumento que expone el aspirante</w:t>
      </w:r>
      <w:r w:rsidR="00706B34" w:rsidRPr="009D0284">
        <w:t xml:space="preserve">, pues el municipio de </w:t>
      </w:r>
      <w:proofErr w:type="spellStart"/>
      <w:r w:rsidR="00706B34" w:rsidRPr="009D0284">
        <w:t>Nacajuca</w:t>
      </w:r>
      <w:proofErr w:type="spellEnd"/>
      <w:r w:rsidR="00706B34" w:rsidRPr="009D0284">
        <w:t xml:space="preserve"> no está identificado como una localidad con un alto índice de marginación.</w:t>
      </w:r>
    </w:p>
    <w:p w14:paraId="664DBB2F" w14:textId="498FE9A2" w:rsidR="00CB2168" w:rsidRPr="009D0284" w:rsidRDefault="00CB2168" w:rsidP="00CB2168">
      <w:r w:rsidRPr="009D0284">
        <w:t xml:space="preserve">Conforme a lo anterior, no resulta procedente el régimen de excepción que solicita el aspirante, ni los Lineamientos que solicita el aspirante, en virtud de que el municipio de </w:t>
      </w:r>
      <w:proofErr w:type="spellStart"/>
      <w:r w:rsidRPr="009D0284">
        <w:t>Nacajuca</w:t>
      </w:r>
      <w:proofErr w:type="spellEnd"/>
      <w:r w:rsidRPr="009D0284">
        <w:t>, conforme al</w:t>
      </w:r>
      <w:r w:rsidR="00CD3DDC" w:rsidRPr="009D0284">
        <w:t xml:space="preserve"> Consejo Nacional de Población y la información derivada del INEGI no </w:t>
      </w:r>
      <w:r w:rsidR="006C3FDA" w:rsidRPr="009D0284">
        <w:t xml:space="preserve">está </w:t>
      </w:r>
      <w:r w:rsidR="00CD3DDC" w:rsidRPr="009D0284">
        <w:t>considera</w:t>
      </w:r>
      <w:r w:rsidR="006C3FDA" w:rsidRPr="009D0284">
        <w:t>do</w:t>
      </w:r>
      <w:r w:rsidR="00CD3DDC" w:rsidRPr="009D0284">
        <w:t xml:space="preserve"> con un alto índice de marginación.</w:t>
      </w:r>
    </w:p>
    <w:p w14:paraId="5AFC9701" w14:textId="6E1F1A71" w:rsidR="00CB2168" w:rsidRPr="009D0284" w:rsidRDefault="00B74B69" w:rsidP="00B74B69">
      <w:r w:rsidRPr="009D0284">
        <w:t xml:space="preserve">Aunado a lo anterior, de conformidad con los Lineamientos de Verificación </w:t>
      </w:r>
      <w:r w:rsidR="00CB2168" w:rsidRPr="009D0284">
        <w:t xml:space="preserve">existe la posibilidad de recabar </w:t>
      </w:r>
      <w:r w:rsidR="006A5DA1" w:rsidRPr="009D0284">
        <w:t>el apoyo de la ciudadanía</w:t>
      </w:r>
      <w:r w:rsidR="00CB2168" w:rsidRPr="009D0284">
        <w:t xml:space="preserve"> y enviarlo dentro de las 24 horas siguientes a la conclusión del periodo de captación, pues incluso los servidores se encuentran en operación durante de manera ininterrumpida, de conformidad con los artículos 49 y 52 de los Lineamientos para la verificación. Aunado a lo anterior, dada la composición territorial de la entidad, entre las localidades más lejanas, el plazo de traslado no excede de 24 horas.</w:t>
      </w:r>
    </w:p>
    <w:p w14:paraId="2DD65FE4" w14:textId="6400A377" w:rsidR="00D43424" w:rsidRPr="009D0284" w:rsidRDefault="00D43424" w:rsidP="00B74B69">
      <w:r w:rsidRPr="009D0284">
        <w:lastRenderedPageBreak/>
        <w:t xml:space="preserve">En efecto, </w:t>
      </w:r>
      <w:r w:rsidR="00E374DC" w:rsidRPr="009D0284">
        <w:t xml:space="preserve">el hecho de que este Consejo Estatal no haya determinado el Régimen de Excepción para el municipio de </w:t>
      </w:r>
      <w:proofErr w:type="spellStart"/>
      <w:r w:rsidR="00E374DC" w:rsidRPr="009D0284">
        <w:t>Nacajuca</w:t>
      </w:r>
      <w:proofErr w:type="spellEnd"/>
      <w:r w:rsidR="00E374DC" w:rsidRPr="009D0284">
        <w:t xml:space="preserve"> no causa afectación alguna al aspirante, pues además de lo anterior, no existe impedimento físico o tecnológico para que el aspirante obtenga el apoyo de la ciudadanía.</w:t>
      </w:r>
    </w:p>
    <w:p w14:paraId="5F7ECA7A" w14:textId="1C4AD25D" w:rsidR="00E374DC" w:rsidRPr="009D0284" w:rsidRDefault="00E374DC" w:rsidP="00E374DC">
      <w:pPr>
        <w:rPr>
          <w:b/>
        </w:rPr>
      </w:pPr>
      <w:r w:rsidRPr="009D0284">
        <w:t xml:space="preserve">De acuerdo con el artículo 35 de los Lineamientos para la verificación la aplicación está diseñada para captar el apoyo de la ciudadanía fuera de línea, </w:t>
      </w:r>
      <w:r w:rsidRPr="009D0284">
        <w:rPr>
          <w:b/>
        </w:rPr>
        <w:t>es decir, sin conexión a Internet.  Sólo se deberá contar con conexión a Internet en dos momentos: a) El primero cuando la persona auxiliar se registre en la APP para darse de alta; y, b) El segundo, al realizar el envío de los apoyos de la ciudadanía captados a los servidores del INE.</w:t>
      </w:r>
    </w:p>
    <w:p w14:paraId="1E2A8942" w14:textId="77777777" w:rsidR="00E374DC" w:rsidRPr="009D0284" w:rsidRDefault="00E374DC" w:rsidP="00E374DC">
      <w:r w:rsidRPr="009D0284">
        <w:t>Con la aprobación de ésta aplicación, se sustituyó la cédula de respaldo físico por una de formato electrónico con lo cual se prioriza uso de nuevas tecnologías y minimiza costos, de modo que la captura de datos es más eficiente, garantiza la seguridad de los datos personales y brinda certeza a la autoridad de que los mismos apoyos no se utilizaron por otras candidaturas independientes, o que se utilicen apoyos de personas inexistentes, evitando fraudes, así como la disminución del tiempo en que la autoridad administrativa electoral cuenta con la información relacionada con el cumplimiento del porcentaje de apoyo de la ciudadanía.</w:t>
      </w:r>
    </w:p>
    <w:p w14:paraId="60E061C5" w14:textId="77777777" w:rsidR="00E374DC" w:rsidRPr="009D0284" w:rsidRDefault="00E374DC" w:rsidP="00E374DC">
      <w:r w:rsidRPr="009D0284">
        <w:t xml:space="preserve">En ese tenor, la Sala Superior conforme a la jurisprudencia 11/2019 con rubro: </w:t>
      </w:r>
      <w:r w:rsidRPr="009D0284">
        <w:rPr>
          <w:b/>
        </w:rPr>
        <w:t>“CANDIDATURAS INDEPENDIENTES. LA IMPLEMENTACIÓN DE UNA APLICACIÓN MÓVIL PARA RECABAR EL APOYO DE LA CIUDADANÍA ES VÁLIDA”</w:t>
      </w:r>
      <w:r w:rsidRPr="009D0284">
        <w:rPr>
          <w:rStyle w:val="Refdenotaalpie"/>
        </w:rPr>
        <w:t xml:space="preserve"> </w:t>
      </w:r>
      <w:r w:rsidRPr="009D0284">
        <w:t xml:space="preserve">consideró que, de la interpretación sistemática de los artículos 371, 383, párrafo 1, inciso c), fracción VI, y 385, párrafo 2, inciso b), de la Ley General; y 290, párrafo 1, del Reglamento de Elecciones, determinó </w:t>
      </w:r>
      <w:r w:rsidRPr="009D0284">
        <w:rPr>
          <w:b/>
        </w:rPr>
        <w:t>que las cédulas de respaldo ciudadano no necesariamente deben constar en un documento físico, por lo que es compatible la generación y resguardo de los apoyos en forma electrónica.</w:t>
      </w:r>
      <w:r w:rsidRPr="009D0284">
        <w:t xml:space="preserve"> Por lo tanto, resulta válido que las autoridades administrativas electorales utilicen los avances tecnológicos disponibles e implementen mecanismos para dotar de mayor agilidad y certeza la obtención, resguardo y verificación de los apoyos emitidos en favor de quien aspira a una candidatura independiente, como lo es una aplicación móvil. </w:t>
      </w:r>
    </w:p>
    <w:p w14:paraId="1B13B6A2" w14:textId="77777777" w:rsidR="00E374DC" w:rsidRPr="009D0284" w:rsidRDefault="00E374DC" w:rsidP="00E374DC">
      <w:r w:rsidRPr="009D0284">
        <w:t xml:space="preserve">El referido órgano jurisdiccional destaca la validez de que las autoridades administrativas electorales utilicen los avances tecnológicos disponibles e implementen mecanismos para dotar de mayor agilidad y certeza la obtención, resguardo y verificación de los apoyos emitidos a favor de quien aspira a una candidatura </w:t>
      </w:r>
      <w:r w:rsidRPr="009D0284">
        <w:lastRenderedPageBreak/>
        <w:t xml:space="preserve">independiente, como lo es una aplicación móvil; siempre que el método de obtención de la referida cédula no elimine requisitos previstos en la ley, debido a que la información requerida es la misma, con independencia de si se registra de manera física o electrónica. </w:t>
      </w:r>
    </w:p>
    <w:p w14:paraId="5E522630" w14:textId="23E15E13" w:rsidR="00E374DC" w:rsidRPr="009D0284" w:rsidRDefault="00E374DC" w:rsidP="00E374DC">
      <w:r w:rsidRPr="009D0284">
        <w:t xml:space="preserve">Es por lo que, la inexistencia de lineamientos en los que se determine el Régimen de Excepción para el municipio de </w:t>
      </w:r>
      <w:proofErr w:type="spellStart"/>
      <w:r w:rsidRPr="009D0284">
        <w:t>Nacajuca</w:t>
      </w:r>
      <w:proofErr w:type="spellEnd"/>
      <w:r w:rsidRPr="009D0284">
        <w:t xml:space="preserve">, en virtud de que éste no está considerado con un índice de alta marginación, no resulta procedente el régimen de excepción que solicita el aspirante, pues ello no constituye un impedimento objetivo que dificulte la obtención del apoyo de la ciudadanía o el uso de la aplicación móvil establecida de manera específica para tal efecto, pues como se mencionó, existe la posibilidad de recabar éste y enviarlo dentro de las 24 horas siguientes a la conclusión del periodo de captación, máxime que los servidores se encuentran en operación durante de manera ininterrumpida, de conformidad con los artículos 49 y 52 de los Lineamientos para la verificación. </w:t>
      </w:r>
    </w:p>
    <w:p w14:paraId="41AD3F3C" w14:textId="445E9336" w:rsidR="00532454" w:rsidRPr="009D0284" w:rsidRDefault="00532454" w:rsidP="004D1AC7">
      <w:r w:rsidRPr="009D0284">
        <w:t>Conforme a lo anterior, este órgano electoral considera improcedente otorgar la prórroga del plazo para recabar u obtener el apoyo de la ciudadanía solicitada por</w:t>
      </w:r>
      <w:r w:rsidRPr="009D0284">
        <w:rPr>
          <w:b/>
        </w:rPr>
        <w:t xml:space="preserve"> </w:t>
      </w:r>
      <w:r w:rsidR="001933C3" w:rsidRPr="009D0284">
        <w:t>Agustín Pérez Contreras</w:t>
      </w:r>
      <w:r w:rsidRPr="009D0284">
        <w:t>, en virtud de que</w:t>
      </w:r>
      <w:r w:rsidR="004D1AC7" w:rsidRPr="009D0284">
        <w:t xml:space="preserve">, no </w:t>
      </w:r>
      <w:r w:rsidR="00AB2BA0" w:rsidRPr="009D0284">
        <w:t xml:space="preserve">existen </w:t>
      </w:r>
      <w:r w:rsidRPr="009D0284">
        <w:t>circunstancias extraordinarias que le causen vulneración o afectación alguna a su derecho de obtener apoyo de la ciudadanía o que lo coloque en una posición de desventaja durante el proceso de selección de candidaturas independientes.</w:t>
      </w:r>
    </w:p>
    <w:p w14:paraId="088DBB30" w14:textId="77777777" w:rsidR="004C716B" w:rsidRPr="009D0284" w:rsidRDefault="004C716B" w:rsidP="004C716B">
      <w:r w:rsidRPr="009D0284">
        <w:t>Sobre la base de las consideraciones señaladas, este Consejo Estatal emite el siguiente:</w:t>
      </w:r>
    </w:p>
    <w:p w14:paraId="4052D02B" w14:textId="77777777" w:rsidR="004C716B" w:rsidRPr="009D0284" w:rsidRDefault="004C716B" w:rsidP="004C716B">
      <w:pPr>
        <w:pStyle w:val="Ttulo1"/>
        <w:rPr>
          <w:sz w:val="24"/>
          <w:szCs w:val="24"/>
        </w:rPr>
      </w:pPr>
      <w:r w:rsidRPr="009D0284">
        <w:rPr>
          <w:sz w:val="24"/>
          <w:szCs w:val="24"/>
        </w:rPr>
        <w:t>Acuerdo</w:t>
      </w:r>
    </w:p>
    <w:p w14:paraId="4449FBD4" w14:textId="0969F7A0" w:rsidR="00AD6AA0" w:rsidRPr="009D0284" w:rsidRDefault="004C716B" w:rsidP="00AD6AA0">
      <w:r w:rsidRPr="009D0284">
        <w:rPr>
          <w:b/>
          <w:bCs/>
        </w:rPr>
        <w:t>Primero.</w:t>
      </w:r>
      <w:r w:rsidRPr="009D0284">
        <w:t xml:space="preserve"> Se </w:t>
      </w:r>
      <w:r w:rsidR="00134662" w:rsidRPr="009D0284">
        <w:t>declara improcedente la solicitud de</w:t>
      </w:r>
      <w:r w:rsidR="00F82ECD" w:rsidRPr="009D0284">
        <w:t>l</w:t>
      </w:r>
      <w:r w:rsidR="00134662" w:rsidRPr="009D0284">
        <w:t xml:space="preserve"> </w:t>
      </w:r>
      <w:r w:rsidR="00F82ECD" w:rsidRPr="009D0284">
        <w:t>ciudadano</w:t>
      </w:r>
      <w:r w:rsidR="00134662" w:rsidRPr="009D0284">
        <w:t xml:space="preserve"> </w:t>
      </w:r>
      <w:r w:rsidR="001933C3" w:rsidRPr="009D0284">
        <w:t>Agustín Pérez Contreras</w:t>
      </w:r>
      <w:r w:rsidR="00F82ECD" w:rsidRPr="009D0284">
        <w:t>, aspirante</w:t>
      </w:r>
      <w:r w:rsidR="00134662" w:rsidRPr="009D0284">
        <w:t xml:space="preserve"> a </w:t>
      </w:r>
      <w:r w:rsidR="00F82ECD" w:rsidRPr="009D0284">
        <w:t xml:space="preserve">la candidatura independiente a la </w:t>
      </w:r>
      <w:r w:rsidR="00E374DC" w:rsidRPr="009D0284">
        <w:rPr>
          <w:b/>
        </w:rPr>
        <w:t xml:space="preserve">Presidencia Municipal de </w:t>
      </w:r>
      <w:proofErr w:type="spellStart"/>
      <w:r w:rsidR="00E374DC" w:rsidRPr="009D0284">
        <w:rPr>
          <w:b/>
        </w:rPr>
        <w:t>Nacajuca</w:t>
      </w:r>
      <w:proofErr w:type="spellEnd"/>
      <w:r w:rsidR="00E374DC" w:rsidRPr="009D0284">
        <w:rPr>
          <w:b/>
        </w:rPr>
        <w:t xml:space="preserve">, Tabasco con motivo del Proceso Electoral Local Ordinario 2023 – 2024 relativa a la </w:t>
      </w:r>
      <w:r w:rsidR="00AD6AA0" w:rsidRPr="009D0284">
        <w:t xml:space="preserve">emisión de Lineamientos y autorización para la aplicación del Régimen de Excepción en diversas localidades del municipio de </w:t>
      </w:r>
      <w:proofErr w:type="spellStart"/>
      <w:r w:rsidR="00AD6AA0" w:rsidRPr="009D0284">
        <w:t>Nacajuca</w:t>
      </w:r>
      <w:proofErr w:type="spellEnd"/>
      <w:r w:rsidR="00AD6AA0" w:rsidRPr="009D0284">
        <w:t xml:space="preserve"> y la prórroga de 30 días para continuar recabando el apoyo ciudadano derivado de la omisión de crear los lineamientos para la aplicación del Régimen de Excepción. </w:t>
      </w:r>
    </w:p>
    <w:p w14:paraId="4A508508" w14:textId="665B0233" w:rsidR="004C716B" w:rsidRPr="009D0284" w:rsidRDefault="004C716B" w:rsidP="004C716B">
      <w:r w:rsidRPr="009D0284">
        <w:rPr>
          <w:b/>
          <w:bCs/>
        </w:rPr>
        <w:lastRenderedPageBreak/>
        <w:t xml:space="preserve">Segundo. </w:t>
      </w:r>
      <w:r w:rsidRPr="009D0284">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E0C664A" w14:textId="07E7B5AE" w:rsidR="004C716B" w:rsidRPr="009D0284" w:rsidRDefault="00134662" w:rsidP="004C716B">
      <w:r w:rsidRPr="009D0284">
        <w:rPr>
          <w:b/>
          <w:bCs/>
        </w:rPr>
        <w:t>Tercero</w:t>
      </w:r>
      <w:r w:rsidR="004C716B" w:rsidRPr="009D0284">
        <w:rPr>
          <w:b/>
          <w:bCs/>
        </w:rPr>
        <w:t xml:space="preserve">. </w:t>
      </w:r>
      <w:r w:rsidR="004C716B" w:rsidRPr="009D0284">
        <w:t>De conformidad con lo dispuesto en el artículo 114 de la Ley Electoral y de Partidos Políticos del Estado de Tabasco publíquese el contenido del presente acuerdo en el Periódico Oficial del Estado y en la página de internet del Instituto.</w:t>
      </w:r>
    </w:p>
    <w:p w14:paraId="0CBCEB52" w14:textId="73FC0F5A" w:rsidR="004C716B" w:rsidRPr="009D0284" w:rsidRDefault="004C716B" w:rsidP="004C716B">
      <w:pPr>
        <w:pStyle w:val="Puntos"/>
        <w:spacing w:before="240" w:line="288" w:lineRule="auto"/>
        <w:ind w:left="0"/>
        <w:rPr>
          <w:sz w:val="23"/>
          <w:szCs w:val="23"/>
        </w:rPr>
      </w:pPr>
      <w:r w:rsidRPr="009D0284">
        <w:rPr>
          <w:sz w:val="23"/>
          <w:szCs w:val="23"/>
        </w:rPr>
        <w:t xml:space="preserve">El presente acuerdo fue </w:t>
      </w:r>
      <w:r w:rsidR="009D0284">
        <w:rPr>
          <w:sz w:val="23"/>
          <w:szCs w:val="23"/>
        </w:rPr>
        <w:t>aprobado</w:t>
      </w:r>
      <w:r w:rsidRPr="009D0284">
        <w:rPr>
          <w:sz w:val="23"/>
          <w:szCs w:val="23"/>
        </w:rPr>
        <w:t xml:space="preserve"> en sesión </w:t>
      </w:r>
      <w:r w:rsidR="009D0284">
        <w:rPr>
          <w:sz w:val="23"/>
          <w:szCs w:val="23"/>
        </w:rPr>
        <w:t>extraordinaria</w:t>
      </w:r>
      <w:r w:rsidR="00497798">
        <w:rPr>
          <w:sz w:val="23"/>
          <w:szCs w:val="23"/>
        </w:rPr>
        <w:t xml:space="preserve"> urgente</w:t>
      </w:r>
      <w:r w:rsidRPr="009D0284">
        <w:rPr>
          <w:sz w:val="23"/>
          <w:szCs w:val="23"/>
        </w:rPr>
        <w:t xml:space="preserve"> efectuada el </w:t>
      </w:r>
      <w:r w:rsidR="009D0284">
        <w:rPr>
          <w:sz w:val="23"/>
          <w:szCs w:val="23"/>
        </w:rPr>
        <w:t>30</w:t>
      </w:r>
      <w:r w:rsidRPr="009D0284">
        <w:rPr>
          <w:sz w:val="23"/>
          <w:szCs w:val="23"/>
        </w:rPr>
        <w:t xml:space="preserve"> de </w:t>
      </w:r>
      <w:r w:rsidR="009D0284">
        <w:rPr>
          <w:sz w:val="23"/>
          <w:szCs w:val="23"/>
        </w:rPr>
        <w:t>diciembre</w:t>
      </w:r>
      <w:r w:rsidRPr="009D0284">
        <w:rPr>
          <w:sz w:val="23"/>
          <w:szCs w:val="23"/>
        </w:rPr>
        <w:t xml:space="preserve"> del año dos mil veintitrés, por votación </w:t>
      </w:r>
      <w:r w:rsidR="00497798">
        <w:rPr>
          <w:sz w:val="23"/>
          <w:szCs w:val="23"/>
        </w:rPr>
        <w:t>unánime</w:t>
      </w:r>
      <w:r w:rsidRPr="009D0284">
        <w:rPr>
          <w:sz w:val="23"/>
          <w:szCs w:val="23"/>
        </w:rPr>
        <w:t xml:space="preserve"> de las y los Consejeros Electorales del Consejo Estatal del Instituto Electoral y de Participación Ciudadana de Tabasco: Dra. </w:t>
      </w:r>
      <w:proofErr w:type="spellStart"/>
      <w:r w:rsidRPr="009D0284">
        <w:rPr>
          <w:sz w:val="23"/>
          <w:szCs w:val="23"/>
        </w:rPr>
        <w:t>Rosselvy</w:t>
      </w:r>
      <w:proofErr w:type="spellEnd"/>
      <w:r w:rsidRPr="009D0284">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69C5260" w14:textId="77777777" w:rsidR="004C716B" w:rsidRPr="009D0284" w:rsidRDefault="004C716B" w:rsidP="004C716B">
      <w:pPr>
        <w:pStyle w:val="Puntos"/>
        <w:spacing w:before="240" w:line="288" w:lineRule="auto"/>
        <w:ind w:left="0"/>
        <w:rPr>
          <w:sz w:val="23"/>
          <w:szCs w:val="23"/>
        </w:rPr>
      </w:pPr>
    </w:p>
    <w:p w14:paraId="052498B3" w14:textId="17E89B7D" w:rsidR="004C716B" w:rsidRPr="009D0284" w:rsidRDefault="004C716B" w:rsidP="004C716B">
      <w:pPr>
        <w:pStyle w:val="Puntos"/>
        <w:spacing w:before="240" w:line="288" w:lineRule="auto"/>
        <w:ind w:left="0"/>
        <w:rPr>
          <w:sz w:val="23"/>
          <w:szCs w:val="23"/>
        </w:rPr>
      </w:pPr>
      <w:bookmarkStart w:id="0" w:name="_GoBack"/>
      <w:bookmarkEnd w:id="0"/>
    </w:p>
    <w:p w14:paraId="51A1CD18" w14:textId="77777777" w:rsidR="00A14B3C" w:rsidRPr="009D0284" w:rsidRDefault="00A14B3C" w:rsidP="004C716B">
      <w:pPr>
        <w:pStyle w:val="Puntos"/>
        <w:spacing w:before="240"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C716B" w:rsidRPr="009D0284" w14:paraId="4C5DF0C8" w14:textId="77777777" w:rsidTr="007E0A99">
        <w:tc>
          <w:tcPr>
            <w:tcW w:w="4395" w:type="dxa"/>
          </w:tcPr>
          <w:p w14:paraId="6802CE3C" w14:textId="77777777" w:rsidR="004C716B" w:rsidRPr="009D0284" w:rsidRDefault="004C716B" w:rsidP="007E0A99">
            <w:pPr>
              <w:widowControl w:val="0"/>
              <w:spacing w:before="0" w:after="0"/>
              <w:jc w:val="center"/>
              <w:rPr>
                <w:b/>
                <w:spacing w:val="-10"/>
              </w:rPr>
            </w:pPr>
            <w:r w:rsidRPr="009D0284">
              <w:rPr>
                <w:b/>
                <w:spacing w:val="-10"/>
              </w:rPr>
              <w:t>MTRA. ELIZABETH NAVA GUTIÉRREZ</w:t>
            </w:r>
          </w:p>
          <w:p w14:paraId="4EAED160" w14:textId="77777777" w:rsidR="004C716B" w:rsidRPr="009D0284" w:rsidRDefault="004C716B" w:rsidP="007E0A99">
            <w:pPr>
              <w:widowControl w:val="0"/>
              <w:spacing w:before="0" w:after="0"/>
              <w:jc w:val="center"/>
              <w:rPr>
                <w:b/>
              </w:rPr>
            </w:pPr>
            <w:r w:rsidRPr="009D0284">
              <w:rPr>
                <w:b/>
                <w:spacing w:val="-10"/>
              </w:rPr>
              <w:t>CONSEJERA PRESIDENTA</w:t>
            </w:r>
          </w:p>
        </w:tc>
        <w:tc>
          <w:tcPr>
            <w:tcW w:w="278" w:type="dxa"/>
          </w:tcPr>
          <w:p w14:paraId="23A33A33" w14:textId="77777777" w:rsidR="004C716B" w:rsidRPr="009D0284" w:rsidRDefault="004C716B" w:rsidP="007E0A99">
            <w:pPr>
              <w:widowControl w:val="0"/>
              <w:spacing w:before="0" w:after="0"/>
              <w:rPr>
                <w:b/>
              </w:rPr>
            </w:pPr>
          </w:p>
        </w:tc>
        <w:tc>
          <w:tcPr>
            <w:tcW w:w="4400" w:type="dxa"/>
          </w:tcPr>
          <w:p w14:paraId="47FC86B3" w14:textId="77777777" w:rsidR="004C716B" w:rsidRPr="009D0284" w:rsidRDefault="004C716B" w:rsidP="007E0A99">
            <w:pPr>
              <w:widowControl w:val="0"/>
              <w:spacing w:before="0" w:after="0"/>
              <w:jc w:val="center"/>
              <w:rPr>
                <w:b/>
                <w:spacing w:val="-10"/>
              </w:rPr>
            </w:pPr>
            <w:r w:rsidRPr="009D0284">
              <w:rPr>
                <w:b/>
                <w:spacing w:val="-10"/>
              </w:rPr>
              <w:t>LIC. JORGE ALBERTO ZAVALA FRÍAS</w:t>
            </w:r>
          </w:p>
          <w:p w14:paraId="3DC86881" w14:textId="77777777" w:rsidR="004C716B" w:rsidRPr="009D0284" w:rsidRDefault="004C716B" w:rsidP="007E0A99">
            <w:pPr>
              <w:widowControl w:val="0"/>
              <w:spacing w:before="0" w:after="0"/>
              <w:jc w:val="center"/>
              <w:rPr>
                <w:b/>
              </w:rPr>
            </w:pPr>
            <w:r w:rsidRPr="009D0284">
              <w:rPr>
                <w:b/>
                <w:spacing w:val="-10"/>
              </w:rPr>
              <w:t>SECRETARIO DEL CONSEJO</w:t>
            </w:r>
          </w:p>
        </w:tc>
      </w:tr>
    </w:tbl>
    <w:p w14:paraId="00FBEA95" w14:textId="3070C4A6" w:rsidR="009560A8" w:rsidRDefault="009560A8" w:rsidP="00B06250"/>
    <w:sectPr w:rsidR="009560A8" w:rsidSect="00301E55">
      <w:headerReference w:type="default" r:id="rId9"/>
      <w:footerReference w:type="default" r:id="rId10"/>
      <w:pgSz w:w="12240" w:h="15840" w:code="1"/>
      <w:pgMar w:top="1418"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5BB55" w14:textId="77777777" w:rsidR="00C30ED7" w:rsidRDefault="00C30ED7" w:rsidP="004062C8">
      <w:pPr>
        <w:spacing w:before="0" w:after="0" w:line="240" w:lineRule="auto"/>
      </w:pPr>
      <w:r>
        <w:separator/>
      </w:r>
    </w:p>
  </w:endnote>
  <w:endnote w:type="continuationSeparator" w:id="0">
    <w:p w14:paraId="25E59BA7" w14:textId="77777777" w:rsidR="00C30ED7" w:rsidRDefault="00C30ED7" w:rsidP="00406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480345779"/>
      <w:docPartObj>
        <w:docPartGallery w:val="Page Numbers (Top of Page)"/>
        <w:docPartUnique/>
      </w:docPartObj>
    </w:sdtPr>
    <w:sdtEndPr/>
    <w:sdtContent>
      <w:p w14:paraId="70ADCBFC" w14:textId="65423066" w:rsidR="007E0A99" w:rsidRPr="00FC394E" w:rsidRDefault="007E0A99" w:rsidP="00FC394E">
        <w:pPr>
          <w:pStyle w:val="Piedepgina"/>
          <w:jc w:val="right"/>
          <w:rPr>
            <w:color w:val="993366"/>
            <w:sz w:val="20"/>
            <w:szCs w:val="20"/>
          </w:rPr>
        </w:pPr>
        <w:r w:rsidRPr="00346812">
          <w:rPr>
            <w:b/>
            <w:bCs/>
            <w:color w:val="993366"/>
            <w:lang w:val="es-ES"/>
          </w:rPr>
          <w:t xml:space="preserve">Página </w:t>
        </w:r>
        <w:r w:rsidRPr="00346812">
          <w:rPr>
            <w:b/>
            <w:bCs/>
            <w:color w:val="993366"/>
          </w:rPr>
          <w:fldChar w:fldCharType="begin"/>
        </w:r>
        <w:r w:rsidRPr="00346812">
          <w:rPr>
            <w:b/>
            <w:bCs/>
            <w:color w:val="993366"/>
          </w:rPr>
          <w:instrText>PAGE</w:instrText>
        </w:r>
        <w:r w:rsidRPr="00346812">
          <w:rPr>
            <w:b/>
            <w:bCs/>
            <w:color w:val="993366"/>
          </w:rPr>
          <w:fldChar w:fldCharType="separate"/>
        </w:r>
        <w:r w:rsidR="00497798">
          <w:rPr>
            <w:b/>
            <w:bCs/>
            <w:noProof/>
            <w:color w:val="993366"/>
          </w:rPr>
          <w:t>16</w:t>
        </w:r>
        <w:r w:rsidRPr="00346812">
          <w:rPr>
            <w:b/>
            <w:bCs/>
            <w:color w:val="993366"/>
          </w:rPr>
          <w:fldChar w:fldCharType="end"/>
        </w:r>
        <w:r w:rsidRPr="00346812">
          <w:rPr>
            <w:b/>
            <w:bCs/>
            <w:color w:val="993366"/>
            <w:lang w:val="es-ES"/>
          </w:rPr>
          <w:t xml:space="preserve"> | </w:t>
        </w:r>
        <w:r w:rsidRPr="00346812">
          <w:rPr>
            <w:b/>
            <w:bCs/>
            <w:color w:val="993366"/>
          </w:rPr>
          <w:fldChar w:fldCharType="begin"/>
        </w:r>
        <w:r w:rsidRPr="00346812">
          <w:rPr>
            <w:b/>
            <w:bCs/>
            <w:color w:val="993366"/>
          </w:rPr>
          <w:instrText>NUMPAGES</w:instrText>
        </w:r>
        <w:r w:rsidRPr="00346812">
          <w:rPr>
            <w:b/>
            <w:bCs/>
            <w:color w:val="993366"/>
          </w:rPr>
          <w:fldChar w:fldCharType="separate"/>
        </w:r>
        <w:r w:rsidR="00497798">
          <w:rPr>
            <w:b/>
            <w:bCs/>
            <w:noProof/>
            <w:color w:val="993366"/>
          </w:rPr>
          <w:t>17</w:t>
        </w:r>
        <w:r w:rsidRPr="00346812">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0B90" w14:textId="77777777" w:rsidR="00C30ED7" w:rsidRDefault="00C30ED7" w:rsidP="004062C8">
      <w:pPr>
        <w:spacing w:before="0" w:after="0" w:line="240" w:lineRule="auto"/>
      </w:pPr>
      <w:r>
        <w:separator/>
      </w:r>
    </w:p>
  </w:footnote>
  <w:footnote w:type="continuationSeparator" w:id="0">
    <w:p w14:paraId="2661FC43" w14:textId="77777777" w:rsidR="00C30ED7" w:rsidRDefault="00C30ED7" w:rsidP="004062C8">
      <w:pPr>
        <w:spacing w:before="0" w:after="0" w:line="240" w:lineRule="auto"/>
      </w:pPr>
      <w:r>
        <w:continuationSeparator/>
      </w:r>
    </w:p>
  </w:footnote>
  <w:footnote w:id="1">
    <w:p w14:paraId="163AA512" w14:textId="77777777" w:rsidR="007E0A99" w:rsidRPr="00706B34" w:rsidRDefault="007E0A99" w:rsidP="003C5E81">
      <w:pPr>
        <w:pStyle w:val="Textonotapie"/>
        <w:rPr>
          <w:sz w:val="16"/>
          <w:lang w:val="es-ES"/>
        </w:rPr>
      </w:pPr>
      <w:r w:rsidRPr="00706B34">
        <w:rPr>
          <w:rStyle w:val="Refdenotaalpie"/>
          <w:sz w:val="16"/>
        </w:rPr>
        <w:footnoteRef/>
      </w:r>
      <w:r w:rsidRPr="00706B34">
        <w:rPr>
          <w:sz w:val="16"/>
        </w:rPr>
        <w:t xml:space="preserve"> </w:t>
      </w:r>
      <w:r w:rsidRPr="00706B34">
        <w:rPr>
          <w:caps/>
          <w:color w:val="000000"/>
          <w:sz w:val="16"/>
        </w:rPr>
        <w:t>SUP-JDC-50/2018</w:t>
      </w:r>
    </w:p>
  </w:footnote>
  <w:footnote w:id="2">
    <w:p w14:paraId="4F4662E4" w14:textId="4562C9D6" w:rsidR="00746980" w:rsidRPr="00706B34" w:rsidRDefault="00746980">
      <w:pPr>
        <w:pStyle w:val="Textonotapie"/>
        <w:rPr>
          <w:lang w:val="es-ES"/>
        </w:rPr>
      </w:pPr>
      <w:r w:rsidRPr="00706B34">
        <w:rPr>
          <w:rStyle w:val="Refdenotaalpie"/>
        </w:rPr>
        <w:footnoteRef/>
      </w:r>
      <w:r w:rsidRPr="00706B34">
        <w:t xml:space="preserve"> </w:t>
      </w:r>
      <w:hyperlink r:id="rId1" w:history="1">
        <w:r w:rsidRPr="00706B34">
          <w:rPr>
            <w:rStyle w:val="Hipervnculo"/>
            <w:u w:val="none"/>
          </w:rPr>
          <w:t>https://indicemx.github.io/IMx_Mapa/IMM_2010-2020.html</w:t>
        </w:r>
      </w:hyperlink>
      <w:r w:rsidRPr="00706B34">
        <w:t xml:space="preserve"> (Fuentes: Estimaciones del CONAPO con base en el INEGI, Censo de Población y Vivienda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E0A99" w:rsidRPr="00063338" w14:paraId="126822FA" w14:textId="77777777" w:rsidTr="007E0A99">
      <w:tc>
        <w:tcPr>
          <w:tcW w:w="1418" w:type="dxa"/>
        </w:tcPr>
        <w:p w14:paraId="36458658" w14:textId="77777777" w:rsidR="007E0A99" w:rsidRPr="00063338" w:rsidRDefault="007E0A99" w:rsidP="004062C8">
          <w:pPr>
            <w:pStyle w:val="Encabezado"/>
            <w:ind w:left="-170"/>
            <w:jc w:val="left"/>
          </w:pPr>
          <w:r>
            <w:rPr>
              <w:b/>
              <w:noProof/>
              <w:sz w:val="32"/>
              <w:lang w:eastAsia="es-MX"/>
            </w:rPr>
            <w:drawing>
              <wp:inline distT="0" distB="0" distL="0" distR="0" wp14:anchorId="40129BF9" wp14:editId="24F6806B">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43FC0CD" w14:textId="77777777" w:rsidR="007E0A99" w:rsidRPr="00507065" w:rsidRDefault="007E0A99" w:rsidP="004062C8">
          <w:pPr>
            <w:pStyle w:val="Encabezado"/>
            <w:spacing w:before="720"/>
            <w:jc w:val="center"/>
            <w:rPr>
              <w:b/>
              <w:bCs/>
              <w:sz w:val="25"/>
              <w:szCs w:val="25"/>
            </w:rPr>
          </w:pPr>
          <w:r w:rsidRPr="00507065">
            <w:rPr>
              <w:b/>
              <w:bCs/>
              <w:sz w:val="25"/>
              <w:szCs w:val="25"/>
            </w:rPr>
            <w:t>INSTITUTO ELECTORAL Y DE PARTICIPACIÓN CIUDADANA DE TABASCO</w:t>
          </w:r>
        </w:p>
        <w:p w14:paraId="3CD4425A" w14:textId="77777777" w:rsidR="007E0A99" w:rsidRPr="00063338" w:rsidRDefault="007E0A99" w:rsidP="004062C8">
          <w:pPr>
            <w:pStyle w:val="Encabezado"/>
            <w:jc w:val="center"/>
          </w:pPr>
          <w:r w:rsidRPr="00507065">
            <w:rPr>
              <w:sz w:val="26"/>
              <w:szCs w:val="26"/>
            </w:rPr>
            <w:t>CONSEJO ESTATAL</w:t>
          </w:r>
        </w:p>
      </w:tc>
      <w:tc>
        <w:tcPr>
          <w:tcW w:w="1701" w:type="dxa"/>
        </w:tcPr>
        <w:p w14:paraId="36025448" w14:textId="77777777" w:rsidR="007E0A99" w:rsidRPr="00063338" w:rsidRDefault="007E0A99" w:rsidP="004062C8">
          <w:pPr>
            <w:pStyle w:val="Encabezado"/>
            <w:spacing w:before="480"/>
          </w:pPr>
          <w:r>
            <w:rPr>
              <w:noProof/>
              <w:lang w:eastAsia="es-MX"/>
            </w:rPr>
            <w:drawing>
              <wp:inline distT="0" distB="0" distL="0" distR="0" wp14:anchorId="1FA93DFF" wp14:editId="3ABC3129">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75F8F3F" w14:textId="4BE009CA" w:rsidR="007E0A99" w:rsidRPr="009D0284" w:rsidRDefault="009D0284" w:rsidP="009D0284">
    <w:pPr>
      <w:pStyle w:val="Encabezado"/>
      <w:jc w:val="right"/>
      <w:rPr>
        <w:b/>
        <w:sz w:val="24"/>
        <w:szCs w:val="24"/>
      </w:rPr>
    </w:pPr>
    <w:r w:rsidRPr="009D0284">
      <w:rPr>
        <w:b/>
        <w:sz w:val="24"/>
        <w:szCs w:val="24"/>
      </w:rPr>
      <w:t>CE/2023/072</w:t>
    </w:r>
  </w:p>
  <w:p w14:paraId="5BD1A7DC" w14:textId="77777777" w:rsidR="009D0284" w:rsidRDefault="009D02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41A4B"/>
    <w:multiLevelType w:val="multilevel"/>
    <w:tmpl w:val="B1082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AB0113"/>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626578"/>
    <w:multiLevelType w:val="multilevel"/>
    <w:tmpl w:val="87ECF7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DE6B39"/>
    <w:multiLevelType w:val="hybridMultilevel"/>
    <w:tmpl w:val="F00ED1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DA68E4"/>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D2091B"/>
    <w:multiLevelType w:val="hybridMultilevel"/>
    <w:tmpl w:val="F00ED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35"/>
    <w:rsid w:val="00002237"/>
    <w:rsid w:val="00030BA7"/>
    <w:rsid w:val="00055B1C"/>
    <w:rsid w:val="000807EB"/>
    <w:rsid w:val="000A6C71"/>
    <w:rsid w:val="000D5C9B"/>
    <w:rsid w:val="000E2918"/>
    <w:rsid w:val="000E759D"/>
    <w:rsid w:val="00113FD6"/>
    <w:rsid w:val="00114093"/>
    <w:rsid w:val="00115ED6"/>
    <w:rsid w:val="00117EB6"/>
    <w:rsid w:val="00134662"/>
    <w:rsid w:val="0013730E"/>
    <w:rsid w:val="00163939"/>
    <w:rsid w:val="00166B96"/>
    <w:rsid w:val="001933C3"/>
    <w:rsid w:val="001960E1"/>
    <w:rsid w:val="001A1472"/>
    <w:rsid w:val="001D71A3"/>
    <w:rsid w:val="00225C13"/>
    <w:rsid w:val="002709CE"/>
    <w:rsid w:val="002748CE"/>
    <w:rsid w:val="002A61CB"/>
    <w:rsid w:val="002D7715"/>
    <w:rsid w:val="002E0351"/>
    <w:rsid w:val="002E3798"/>
    <w:rsid w:val="00301E55"/>
    <w:rsid w:val="00310836"/>
    <w:rsid w:val="00334C80"/>
    <w:rsid w:val="003632B8"/>
    <w:rsid w:val="003B4951"/>
    <w:rsid w:val="003C170D"/>
    <w:rsid w:val="003C5E81"/>
    <w:rsid w:val="003C6613"/>
    <w:rsid w:val="003C6C3B"/>
    <w:rsid w:val="004062C8"/>
    <w:rsid w:val="00426287"/>
    <w:rsid w:val="00463A38"/>
    <w:rsid w:val="004875A9"/>
    <w:rsid w:val="00497798"/>
    <w:rsid w:val="004B6FB2"/>
    <w:rsid w:val="004C716B"/>
    <w:rsid w:val="004D1AC7"/>
    <w:rsid w:val="004E1726"/>
    <w:rsid w:val="004E4F3A"/>
    <w:rsid w:val="00532454"/>
    <w:rsid w:val="00562B8F"/>
    <w:rsid w:val="00577CFF"/>
    <w:rsid w:val="00584A1E"/>
    <w:rsid w:val="005C0CCD"/>
    <w:rsid w:val="005D41D6"/>
    <w:rsid w:val="005E5A67"/>
    <w:rsid w:val="00604DA0"/>
    <w:rsid w:val="00605799"/>
    <w:rsid w:val="00613A3B"/>
    <w:rsid w:val="00637003"/>
    <w:rsid w:val="00667DEE"/>
    <w:rsid w:val="00681B4D"/>
    <w:rsid w:val="006A5DA1"/>
    <w:rsid w:val="006C3FDA"/>
    <w:rsid w:val="00706B34"/>
    <w:rsid w:val="0071630D"/>
    <w:rsid w:val="00736867"/>
    <w:rsid w:val="00746980"/>
    <w:rsid w:val="00756AD9"/>
    <w:rsid w:val="007603A8"/>
    <w:rsid w:val="007729E4"/>
    <w:rsid w:val="007737BB"/>
    <w:rsid w:val="007908AA"/>
    <w:rsid w:val="007A0C12"/>
    <w:rsid w:val="007A1501"/>
    <w:rsid w:val="007B0FFA"/>
    <w:rsid w:val="007B5FE1"/>
    <w:rsid w:val="007E0733"/>
    <w:rsid w:val="007E0A99"/>
    <w:rsid w:val="0081781E"/>
    <w:rsid w:val="008576CF"/>
    <w:rsid w:val="00863632"/>
    <w:rsid w:val="00875A4D"/>
    <w:rsid w:val="008954C8"/>
    <w:rsid w:val="00896035"/>
    <w:rsid w:val="008A4965"/>
    <w:rsid w:val="008B23A6"/>
    <w:rsid w:val="008C15FD"/>
    <w:rsid w:val="008D104C"/>
    <w:rsid w:val="008D448D"/>
    <w:rsid w:val="008D525B"/>
    <w:rsid w:val="00903BE3"/>
    <w:rsid w:val="00924CB4"/>
    <w:rsid w:val="009560A8"/>
    <w:rsid w:val="00985C9E"/>
    <w:rsid w:val="009A0DE7"/>
    <w:rsid w:val="009A261E"/>
    <w:rsid w:val="009A2E16"/>
    <w:rsid w:val="009D0284"/>
    <w:rsid w:val="009D2449"/>
    <w:rsid w:val="00A06EB7"/>
    <w:rsid w:val="00A14B3C"/>
    <w:rsid w:val="00A46A67"/>
    <w:rsid w:val="00A51BB0"/>
    <w:rsid w:val="00A55CF7"/>
    <w:rsid w:val="00AB2BA0"/>
    <w:rsid w:val="00AD6AA0"/>
    <w:rsid w:val="00AE077D"/>
    <w:rsid w:val="00AE195F"/>
    <w:rsid w:val="00AF3E51"/>
    <w:rsid w:val="00B06250"/>
    <w:rsid w:val="00B23B60"/>
    <w:rsid w:val="00B24B39"/>
    <w:rsid w:val="00B74B69"/>
    <w:rsid w:val="00B81A93"/>
    <w:rsid w:val="00BC51F2"/>
    <w:rsid w:val="00BF276D"/>
    <w:rsid w:val="00C30ED7"/>
    <w:rsid w:val="00C57EF2"/>
    <w:rsid w:val="00CB2168"/>
    <w:rsid w:val="00CC4648"/>
    <w:rsid w:val="00CC4C9A"/>
    <w:rsid w:val="00CD1A60"/>
    <w:rsid w:val="00CD3DDC"/>
    <w:rsid w:val="00CD590C"/>
    <w:rsid w:val="00D067F4"/>
    <w:rsid w:val="00D30F50"/>
    <w:rsid w:val="00D31E13"/>
    <w:rsid w:val="00D43424"/>
    <w:rsid w:val="00D606DD"/>
    <w:rsid w:val="00D97EF2"/>
    <w:rsid w:val="00DA0646"/>
    <w:rsid w:val="00DB3364"/>
    <w:rsid w:val="00DB6CB9"/>
    <w:rsid w:val="00E066B9"/>
    <w:rsid w:val="00E14044"/>
    <w:rsid w:val="00E32024"/>
    <w:rsid w:val="00E374DC"/>
    <w:rsid w:val="00E534E2"/>
    <w:rsid w:val="00E86CDB"/>
    <w:rsid w:val="00E97B18"/>
    <w:rsid w:val="00EC3600"/>
    <w:rsid w:val="00EC799E"/>
    <w:rsid w:val="00F51770"/>
    <w:rsid w:val="00F800C1"/>
    <w:rsid w:val="00F82ECD"/>
    <w:rsid w:val="00F902A7"/>
    <w:rsid w:val="00F97E9F"/>
    <w:rsid w:val="00FC394E"/>
    <w:rsid w:val="00FE2D60"/>
    <w:rsid w:val="00FE532F"/>
    <w:rsid w:val="00FF7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2F9"/>
  <w15:docId w15:val="{153C1789-C172-4787-B7F3-97D36819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50"/>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4B6FB2"/>
    <w:pPr>
      <w:keepNext/>
      <w:keepLines/>
      <w:numPr>
        <w:numId w:val="3"/>
      </w:numPr>
      <w:spacing w:before="600" w:after="480"/>
      <w:ind w:left="431" w:hanging="431"/>
      <w:jc w:val="center"/>
      <w:outlineLvl w:val="0"/>
    </w:pPr>
    <w:rPr>
      <w:rFonts w:eastAsiaTheme="majorEastAsia"/>
      <w:b/>
      <w:bCs/>
      <w:kern w:val="2"/>
      <w:sz w:val="28"/>
      <w14:ligatures w14:val="standardContextual"/>
    </w:rPr>
  </w:style>
  <w:style w:type="paragraph" w:styleId="Ttulo2">
    <w:name w:val="heading 2"/>
    <w:basedOn w:val="Normal"/>
    <w:next w:val="Normal"/>
    <w:link w:val="Ttulo2Car"/>
    <w:uiPriority w:val="9"/>
    <w:unhideWhenUsed/>
    <w:qFormat/>
    <w:rsid w:val="004B6FB2"/>
    <w:pPr>
      <w:keepNext/>
      <w:keepLines/>
      <w:numPr>
        <w:ilvl w:val="1"/>
        <w:numId w:val="3"/>
      </w:numPr>
      <w:spacing w:before="480"/>
      <w:ind w:left="578" w:hanging="578"/>
      <w:outlineLvl w:val="1"/>
    </w:pPr>
    <w:rPr>
      <w:rFonts w:eastAsiaTheme="majorEastAsia"/>
      <w:b/>
      <w:bCs/>
      <w:kern w:val="2"/>
      <w:sz w:val="24"/>
      <w14:ligatures w14:val="standardContextual"/>
    </w:rPr>
  </w:style>
  <w:style w:type="paragraph" w:styleId="Ttulo3">
    <w:name w:val="heading 3"/>
    <w:basedOn w:val="Normal"/>
    <w:next w:val="Normal"/>
    <w:link w:val="Ttulo3Car"/>
    <w:uiPriority w:val="9"/>
    <w:unhideWhenUsed/>
    <w:qFormat/>
    <w:rsid w:val="004B6FB2"/>
    <w:pPr>
      <w:keepNext/>
      <w:keepLines/>
      <w:numPr>
        <w:ilvl w:val="2"/>
        <w:numId w:val="3"/>
      </w:numPr>
      <w:spacing w:before="600"/>
      <w:outlineLvl w:val="2"/>
    </w:pPr>
    <w:rPr>
      <w:rFonts w:eastAsiaTheme="majorEastAsia"/>
      <w:b/>
      <w:bCs/>
      <w:kern w:val="2"/>
      <w:sz w:val="24"/>
      <w:szCs w:val="24"/>
      <w14:ligatures w14:val="standardContextual"/>
    </w:rPr>
  </w:style>
  <w:style w:type="paragraph" w:styleId="Ttulo4">
    <w:name w:val="heading 4"/>
    <w:basedOn w:val="Normal"/>
    <w:next w:val="Normal"/>
    <w:link w:val="Ttulo4Car"/>
    <w:uiPriority w:val="9"/>
    <w:semiHidden/>
    <w:unhideWhenUsed/>
    <w:qFormat/>
    <w:rsid w:val="004B6FB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4B6FB2"/>
    <w:pPr>
      <w:keepNext/>
      <w:keepLines/>
      <w:numPr>
        <w:ilvl w:val="4"/>
        <w:numId w:val="3"/>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4B6FB2"/>
    <w:pPr>
      <w:keepNext/>
      <w:keepLines/>
      <w:numPr>
        <w:ilvl w:val="5"/>
        <w:numId w:val="3"/>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4B6FB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4B6FB2"/>
    <w:pPr>
      <w:keepNext/>
      <w:keepLines/>
      <w:numPr>
        <w:ilvl w:val="7"/>
        <w:numId w:val="3"/>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4B6FB2"/>
    <w:pPr>
      <w:keepNext/>
      <w:keepLines/>
      <w:numPr>
        <w:ilvl w:val="8"/>
        <w:numId w:val="3"/>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B06250"/>
    <w:pPr>
      <w:ind w:left="720"/>
      <w:contextualSpacing/>
    </w:pPr>
  </w:style>
  <w:style w:type="character" w:customStyle="1" w:styleId="Ttulo1Car">
    <w:name w:val="Título 1 Car"/>
    <w:basedOn w:val="Fuentedeprrafopredeter"/>
    <w:link w:val="Ttulo1"/>
    <w:uiPriority w:val="9"/>
    <w:rsid w:val="004B6FB2"/>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4B6FB2"/>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4B6FB2"/>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4B6FB2"/>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4B6FB2"/>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4B6FB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4B6FB2"/>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4B6FB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4B6FB2"/>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4B6FB2"/>
    <w:rPr>
      <w:rFonts w:ascii="Arial" w:hAnsi="Arial" w:cs="Arial"/>
      <w:sz w:val="23"/>
      <w:szCs w:val="23"/>
    </w:rPr>
  </w:style>
  <w:style w:type="character" w:styleId="Refdecomentario">
    <w:name w:val="annotation reference"/>
    <w:basedOn w:val="Fuentedeprrafopredeter"/>
    <w:uiPriority w:val="99"/>
    <w:semiHidden/>
    <w:unhideWhenUsed/>
    <w:rsid w:val="004B6FB2"/>
    <w:rPr>
      <w:sz w:val="16"/>
      <w:szCs w:val="16"/>
    </w:rPr>
  </w:style>
  <w:style w:type="paragraph" w:styleId="Textocomentario">
    <w:name w:val="annotation text"/>
    <w:basedOn w:val="Normal"/>
    <w:link w:val="TextocomentarioCar"/>
    <w:uiPriority w:val="99"/>
    <w:semiHidden/>
    <w:unhideWhenUsed/>
    <w:rsid w:val="004B6FB2"/>
    <w:pPr>
      <w:spacing w:line="240" w:lineRule="auto"/>
    </w:pPr>
    <w:rPr>
      <w:rFonts w:asciiTheme="majorHAnsi" w:hAnsiTheme="majorHAnsi" w:cstheme="majorHAns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B6FB2"/>
    <w:rPr>
      <w:rFonts w:asciiTheme="majorHAnsi" w:hAnsiTheme="majorHAnsi" w:cstheme="majorHAnsi"/>
      <w:kern w:val="2"/>
      <w:sz w:val="20"/>
      <w:szCs w:val="20"/>
      <w14:ligatures w14:val="standardContextual"/>
    </w:rPr>
  </w:style>
  <w:style w:type="paragraph" w:styleId="Encabezado">
    <w:name w:val="header"/>
    <w:basedOn w:val="Normal"/>
    <w:link w:val="EncabezadoCar"/>
    <w:uiPriority w:val="99"/>
    <w:unhideWhenUsed/>
    <w:rsid w:val="004062C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2C8"/>
    <w:rPr>
      <w:rFonts w:ascii="Arial" w:hAnsi="Arial" w:cs="Arial"/>
      <w:sz w:val="23"/>
      <w:szCs w:val="23"/>
    </w:rPr>
  </w:style>
  <w:style w:type="paragraph" w:styleId="Piedepgina">
    <w:name w:val="footer"/>
    <w:basedOn w:val="Normal"/>
    <w:link w:val="PiedepginaCar"/>
    <w:uiPriority w:val="99"/>
    <w:unhideWhenUsed/>
    <w:rsid w:val="004062C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2C8"/>
    <w:rPr>
      <w:rFonts w:ascii="Arial" w:hAnsi="Arial" w:cs="Arial"/>
      <w:sz w:val="23"/>
      <w:szCs w:val="23"/>
    </w:rPr>
  </w:style>
  <w:style w:type="paragraph" w:customStyle="1" w:styleId="Puntos">
    <w:name w:val="Puntos"/>
    <w:basedOn w:val="Normal"/>
    <w:link w:val="PuntosCar"/>
    <w:qFormat/>
    <w:rsid w:val="004C716B"/>
    <w:pPr>
      <w:spacing w:before="0" w:line="283" w:lineRule="auto"/>
      <w:ind w:left="624"/>
    </w:pPr>
    <w:rPr>
      <w:sz w:val="24"/>
      <w:szCs w:val="24"/>
    </w:rPr>
  </w:style>
  <w:style w:type="character" w:customStyle="1" w:styleId="PuntosCar">
    <w:name w:val="Puntos Car"/>
    <w:basedOn w:val="Fuentedeprrafopredeter"/>
    <w:link w:val="Puntos"/>
    <w:rsid w:val="004C716B"/>
    <w:rPr>
      <w:rFonts w:ascii="Arial" w:hAnsi="Arial" w:cs="Arial"/>
      <w:sz w:val="24"/>
      <w:szCs w:val="24"/>
    </w:rPr>
  </w:style>
  <w:style w:type="paragraph" w:styleId="Textodeglobo">
    <w:name w:val="Balloon Text"/>
    <w:basedOn w:val="Normal"/>
    <w:link w:val="TextodegloboCar"/>
    <w:uiPriority w:val="99"/>
    <w:semiHidden/>
    <w:unhideWhenUsed/>
    <w:rsid w:val="00875A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A4D"/>
    <w:rPr>
      <w:rFonts w:ascii="Segoe UI" w:hAnsi="Segoe UI" w:cs="Segoe UI"/>
      <w:sz w:val="18"/>
      <w:szCs w:val="18"/>
    </w:rPr>
  </w:style>
  <w:style w:type="paragraph" w:styleId="Textonotapie">
    <w:name w:val="footnote text"/>
    <w:basedOn w:val="Normal"/>
    <w:link w:val="TextonotapieCar"/>
    <w:uiPriority w:val="99"/>
    <w:semiHidden/>
    <w:unhideWhenUsed/>
    <w:rsid w:val="0000223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02237"/>
    <w:rPr>
      <w:rFonts w:ascii="Arial" w:hAnsi="Arial" w:cs="Arial"/>
      <w:sz w:val="20"/>
      <w:szCs w:val="20"/>
    </w:rPr>
  </w:style>
  <w:style w:type="character" w:styleId="Refdenotaalpie">
    <w:name w:val="footnote reference"/>
    <w:basedOn w:val="Fuentedeprrafopredeter"/>
    <w:uiPriority w:val="99"/>
    <w:semiHidden/>
    <w:unhideWhenUsed/>
    <w:rsid w:val="00002237"/>
    <w:rPr>
      <w:vertAlign w:val="superscript"/>
    </w:rPr>
  </w:style>
  <w:style w:type="character" w:styleId="Hipervnculo">
    <w:name w:val="Hyperlink"/>
    <w:basedOn w:val="Fuentedeprrafopredeter"/>
    <w:uiPriority w:val="99"/>
    <w:unhideWhenUsed/>
    <w:rsid w:val="00746980"/>
    <w:rPr>
      <w:color w:val="0563C1" w:themeColor="hyperlink"/>
      <w:u w:val="single"/>
    </w:rPr>
  </w:style>
  <w:style w:type="character" w:customStyle="1" w:styleId="UnresolvedMention">
    <w:name w:val="Unresolved Mention"/>
    <w:basedOn w:val="Fuentedeprrafopredeter"/>
    <w:uiPriority w:val="99"/>
    <w:semiHidden/>
    <w:unhideWhenUsed/>
    <w:rsid w:val="0074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ndicemx.github.io/IMx_Mapa/IMM_2010-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10319-D7A9-4099-93E1-6BECBB3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4976</Words>
  <Characters>27372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cp:revision>
  <cp:lastPrinted>2023-12-31T01:31:00Z</cp:lastPrinted>
  <dcterms:created xsi:type="dcterms:W3CDTF">2023-12-31T00:41:00Z</dcterms:created>
  <dcterms:modified xsi:type="dcterms:W3CDTF">2023-12-31T01:41:00Z</dcterms:modified>
</cp:coreProperties>
</file>