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A6C6D" w14:textId="4708964F" w:rsidR="008C45D5" w:rsidRPr="00D5099F" w:rsidRDefault="00D5099F" w:rsidP="00B75B39">
      <w:pPr>
        <w:rPr>
          <w:rFonts w:ascii="Arial" w:hAnsi="Arial" w:cs="Arial"/>
          <w:b/>
          <w:sz w:val="24"/>
          <w:szCs w:val="24"/>
        </w:rPr>
      </w:pPr>
      <w:r w:rsidRPr="00D5099F">
        <w:rPr>
          <w:rFonts w:ascii="Arial" w:hAnsi="Arial" w:cs="Arial"/>
          <w:b/>
          <w:sz w:val="24"/>
          <w:szCs w:val="24"/>
        </w:rPr>
        <w:t>ACUERDO QUE EMITE EL CONSEJO ESTATAL DEL INSTITUTO ELECTORAL Y DE PARTICIPACIÓN CIUDADANA DE TABASCO MEDIANTE EL CUAL APRUEBA LOS LINEAMIENTOS PARA LA DESTRUCCIÓN Y RECICLADO BAJO PROCEDIMIENTO ECOLÓGICO DE LA DOCUMENTACIÓN Y BOLETAS ELECTORALES DE LOS PROCESOS ELECTORALES LOCALES</w:t>
      </w:r>
    </w:p>
    <w:p w14:paraId="21E767CA" w14:textId="77777777" w:rsidR="00641AF3" w:rsidRPr="00641AF3" w:rsidRDefault="00641AF3" w:rsidP="00B75B39">
      <w:pPr>
        <w:rPr>
          <w:rFonts w:ascii="Arial" w:hAnsi="Arial" w:cs="Arial"/>
          <w:b/>
        </w:rPr>
      </w:pPr>
    </w:p>
    <w:p w14:paraId="49CE8C2E" w14:textId="77777777" w:rsidR="00A578DE" w:rsidRPr="00641AF3" w:rsidRDefault="00B75B39" w:rsidP="00B75B39">
      <w:pPr>
        <w:rPr>
          <w:rFonts w:ascii="Arial" w:hAnsi="Arial" w:cs="Arial"/>
        </w:rPr>
      </w:pPr>
      <w:r w:rsidRPr="00641AF3">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6C69F3" w:rsidRPr="00641AF3" w14:paraId="79B9BD65" w14:textId="77777777" w:rsidTr="00E94D57">
        <w:trPr>
          <w:trHeight w:val="624"/>
          <w:jc w:val="center"/>
        </w:trPr>
        <w:tc>
          <w:tcPr>
            <w:tcW w:w="2042" w:type="pct"/>
            <w:shd w:val="clear" w:color="auto" w:fill="auto"/>
            <w:vAlign w:val="center"/>
          </w:tcPr>
          <w:p w14:paraId="13E4A0D9"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Consejo Estatal:</w:t>
            </w:r>
          </w:p>
        </w:tc>
        <w:tc>
          <w:tcPr>
            <w:tcW w:w="2958" w:type="pct"/>
            <w:shd w:val="clear" w:color="auto" w:fill="auto"/>
            <w:vAlign w:val="center"/>
          </w:tcPr>
          <w:p w14:paraId="44FB5A08"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Consejo Estatal del Instituto Electoral y de Participación Ciudadana de Tabasco.</w:t>
            </w:r>
          </w:p>
        </w:tc>
      </w:tr>
      <w:tr w:rsidR="006C69F3" w:rsidRPr="00641AF3" w14:paraId="43E289AE" w14:textId="77777777" w:rsidTr="00E94D57">
        <w:trPr>
          <w:trHeight w:val="624"/>
          <w:jc w:val="center"/>
        </w:trPr>
        <w:tc>
          <w:tcPr>
            <w:tcW w:w="2042" w:type="pct"/>
            <w:shd w:val="clear" w:color="auto" w:fill="auto"/>
            <w:vAlign w:val="center"/>
          </w:tcPr>
          <w:p w14:paraId="65A3B962"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Constitución Federal:</w:t>
            </w:r>
          </w:p>
        </w:tc>
        <w:tc>
          <w:tcPr>
            <w:tcW w:w="2958" w:type="pct"/>
            <w:shd w:val="clear" w:color="auto" w:fill="auto"/>
            <w:vAlign w:val="center"/>
          </w:tcPr>
          <w:p w14:paraId="550BE1CE"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Constitución Política de los Estados Unidos Mexicanos.</w:t>
            </w:r>
          </w:p>
        </w:tc>
      </w:tr>
      <w:tr w:rsidR="006C69F3" w:rsidRPr="00641AF3" w14:paraId="1FB7561F" w14:textId="77777777" w:rsidTr="00E94D57">
        <w:trPr>
          <w:trHeight w:val="624"/>
          <w:jc w:val="center"/>
        </w:trPr>
        <w:tc>
          <w:tcPr>
            <w:tcW w:w="2042" w:type="pct"/>
            <w:shd w:val="clear" w:color="auto" w:fill="auto"/>
            <w:vAlign w:val="center"/>
          </w:tcPr>
          <w:p w14:paraId="64C8BCFD"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Constitución Local:</w:t>
            </w:r>
          </w:p>
        </w:tc>
        <w:tc>
          <w:tcPr>
            <w:tcW w:w="2958" w:type="pct"/>
            <w:shd w:val="clear" w:color="auto" w:fill="auto"/>
            <w:vAlign w:val="center"/>
          </w:tcPr>
          <w:p w14:paraId="04071B84"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Constitución Política del Estado Libre y Soberano de Tabasco.</w:t>
            </w:r>
          </w:p>
        </w:tc>
      </w:tr>
      <w:tr w:rsidR="006C69F3" w:rsidRPr="00641AF3" w14:paraId="2A127F62" w14:textId="77777777" w:rsidTr="00E94D57">
        <w:trPr>
          <w:trHeight w:val="624"/>
          <w:jc w:val="center"/>
        </w:trPr>
        <w:tc>
          <w:tcPr>
            <w:tcW w:w="2042" w:type="pct"/>
            <w:shd w:val="clear" w:color="auto" w:fill="auto"/>
            <w:vAlign w:val="center"/>
          </w:tcPr>
          <w:p w14:paraId="576F9B75"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INE:</w:t>
            </w:r>
          </w:p>
        </w:tc>
        <w:tc>
          <w:tcPr>
            <w:tcW w:w="2958" w:type="pct"/>
            <w:shd w:val="clear" w:color="auto" w:fill="auto"/>
            <w:vAlign w:val="center"/>
          </w:tcPr>
          <w:p w14:paraId="6FABBA2F"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Instituto Nacional Electoral.</w:t>
            </w:r>
          </w:p>
        </w:tc>
      </w:tr>
      <w:tr w:rsidR="006C69F3" w:rsidRPr="00641AF3" w14:paraId="04FDC516" w14:textId="77777777" w:rsidTr="00E94D57">
        <w:trPr>
          <w:trHeight w:val="624"/>
          <w:jc w:val="center"/>
        </w:trPr>
        <w:tc>
          <w:tcPr>
            <w:tcW w:w="2042" w:type="pct"/>
            <w:shd w:val="clear" w:color="auto" w:fill="auto"/>
            <w:vAlign w:val="center"/>
          </w:tcPr>
          <w:p w14:paraId="22AD9211"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Instituto:</w:t>
            </w:r>
          </w:p>
        </w:tc>
        <w:tc>
          <w:tcPr>
            <w:tcW w:w="2958" w:type="pct"/>
            <w:shd w:val="clear" w:color="auto" w:fill="auto"/>
          </w:tcPr>
          <w:p w14:paraId="77C96A3E"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Instituto Electoral y de Participación Ciudadana de Tabasco.</w:t>
            </w:r>
          </w:p>
        </w:tc>
      </w:tr>
      <w:tr w:rsidR="006C69F3" w:rsidRPr="00641AF3" w14:paraId="4A400071" w14:textId="77777777" w:rsidTr="00E94D57">
        <w:trPr>
          <w:trHeight w:val="624"/>
          <w:jc w:val="center"/>
        </w:trPr>
        <w:tc>
          <w:tcPr>
            <w:tcW w:w="2042" w:type="pct"/>
            <w:shd w:val="clear" w:color="auto" w:fill="auto"/>
            <w:vAlign w:val="center"/>
          </w:tcPr>
          <w:p w14:paraId="167E9A83"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Ley de Partidos:</w:t>
            </w:r>
          </w:p>
        </w:tc>
        <w:tc>
          <w:tcPr>
            <w:tcW w:w="2958" w:type="pct"/>
            <w:shd w:val="clear" w:color="auto" w:fill="auto"/>
            <w:vAlign w:val="center"/>
          </w:tcPr>
          <w:p w14:paraId="11FA4BF0"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Ley General de Partidos Políticos.</w:t>
            </w:r>
          </w:p>
        </w:tc>
      </w:tr>
      <w:tr w:rsidR="006C69F3" w:rsidRPr="00641AF3" w14:paraId="31B6D990" w14:textId="77777777" w:rsidTr="00E94D57">
        <w:trPr>
          <w:trHeight w:val="624"/>
          <w:jc w:val="center"/>
        </w:trPr>
        <w:tc>
          <w:tcPr>
            <w:tcW w:w="2042" w:type="pct"/>
            <w:shd w:val="clear" w:color="auto" w:fill="auto"/>
            <w:vAlign w:val="center"/>
          </w:tcPr>
          <w:p w14:paraId="145DC91E"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Ley Electoral:</w:t>
            </w:r>
          </w:p>
        </w:tc>
        <w:tc>
          <w:tcPr>
            <w:tcW w:w="2958" w:type="pct"/>
            <w:shd w:val="clear" w:color="auto" w:fill="auto"/>
            <w:vAlign w:val="center"/>
          </w:tcPr>
          <w:p w14:paraId="6CF9441C"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Ley Electoral y de Partidos Políticos del Estado de Tabasco.</w:t>
            </w:r>
          </w:p>
        </w:tc>
      </w:tr>
      <w:tr w:rsidR="006C69F3" w:rsidRPr="00641AF3" w14:paraId="5FE128CD" w14:textId="77777777" w:rsidTr="00E94D57">
        <w:trPr>
          <w:trHeight w:val="624"/>
          <w:jc w:val="center"/>
        </w:trPr>
        <w:tc>
          <w:tcPr>
            <w:tcW w:w="2042" w:type="pct"/>
            <w:shd w:val="clear" w:color="auto" w:fill="auto"/>
            <w:vAlign w:val="center"/>
          </w:tcPr>
          <w:p w14:paraId="4EC538A9"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Ley General:</w:t>
            </w:r>
          </w:p>
        </w:tc>
        <w:tc>
          <w:tcPr>
            <w:tcW w:w="2958" w:type="pct"/>
            <w:shd w:val="clear" w:color="auto" w:fill="auto"/>
            <w:vAlign w:val="center"/>
          </w:tcPr>
          <w:p w14:paraId="7F1B92F1"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Ley General de Instituciones y Procedimientos Electorales.</w:t>
            </w:r>
          </w:p>
        </w:tc>
      </w:tr>
      <w:tr w:rsidR="006C69F3" w:rsidRPr="00641AF3" w14:paraId="0927971A" w14:textId="77777777" w:rsidTr="00E94D57">
        <w:trPr>
          <w:trHeight w:val="624"/>
          <w:jc w:val="center"/>
        </w:trPr>
        <w:tc>
          <w:tcPr>
            <w:tcW w:w="2042" w:type="pct"/>
            <w:shd w:val="clear" w:color="auto" w:fill="auto"/>
            <w:vAlign w:val="center"/>
          </w:tcPr>
          <w:p w14:paraId="5BE7270C"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Organismo electoral:</w:t>
            </w:r>
          </w:p>
        </w:tc>
        <w:tc>
          <w:tcPr>
            <w:tcW w:w="2958" w:type="pct"/>
            <w:shd w:val="clear" w:color="auto" w:fill="auto"/>
            <w:vAlign w:val="center"/>
          </w:tcPr>
          <w:p w14:paraId="4DD1EAC0"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 xml:space="preserve">Organismo(s) público(s) local(es) electoral(es). </w:t>
            </w:r>
          </w:p>
        </w:tc>
      </w:tr>
      <w:tr w:rsidR="006C69F3" w:rsidRPr="00641AF3" w14:paraId="6FEA7F29" w14:textId="77777777" w:rsidTr="00E94D57">
        <w:trPr>
          <w:trHeight w:val="624"/>
          <w:jc w:val="center"/>
        </w:trPr>
        <w:tc>
          <w:tcPr>
            <w:tcW w:w="2042" w:type="pct"/>
            <w:shd w:val="clear" w:color="auto" w:fill="auto"/>
            <w:vAlign w:val="center"/>
          </w:tcPr>
          <w:p w14:paraId="4EDC81A2" w14:textId="77777777" w:rsidR="006C69F3" w:rsidRPr="00641AF3" w:rsidRDefault="006C69F3" w:rsidP="00E94D57">
            <w:pPr>
              <w:spacing w:before="60" w:after="60" w:line="288" w:lineRule="auto"/>
              <w:ind w:left="57"/>
              <w:jc w:val="right"/>
              <w:rPr>
                <w:rFonts w:ascii="Arial" w:hAnsi="Arial" w:cs="Arial"/>
                <w:b/>
                <w:sz w:val="20"/>
                <w:szCs w:val="20"/>
              </w:rPr>
            </w:pPr>
            <w:r w:rsidRPr="00641AF3">
              <w:rPr>
                <w:rFonts w:ascii="Arial" w:hAnsi="Arial" w:cs="Arial"/>
                <w:b/>
                <w:sz w:val="20"/>
                <w:szCs w:val="20"/>
              </w:rPr>
              <w:t>Secretaría Ejecutiva:</w:t>
            </w:r>
          </w:p>
        </w:tc>
        <w:tc>
          <w:tcPr>
            <w:tcW w:w="2958" w:type="pct"/>
            <w:shd w:val="clear" w:color="auto" w:fill="auto"/>
            <w:vAlign w:val="center"/>
          </w:tcPr>
          <w:p w14:paraId="7C65FEBC" w14:textId="77777777" w:rsidR="006C69F3" w:rsidRPr="00641AF3" w:rsidRDefault="006C69F3" w:rsidP="00E94D57">
            <w:pPr>
              <w:spacing w:before="60" w:after="60" w:line="288" w:lineRule="auto"/>
              <w:ind w:left="57"/>
              <w:rPr>
                <w:rFonts w:ascii="Arial" w:hAnsi="Arial" w:cs="Arial"/>
                <w:sz w:val="20"/>
                <w:szCs w:val="20"/>
              </w:rPr>
            </w:pPr>
            <w:r w:rsidRPr="00641AF3">
              <w:rPr>
                <w:rFonts w:ascii="Arial" w:hAnsi="Arial" w:cs="Arial"/>
                <w:sz w:val="20"/>
                <w:szCs w:val="20"/>
              </w:rPr>
              <w:t>Secretaría Ejecutiva del Instituto Electoral y de Participación Ciudadana de Tabasco.</w:t>
            </w:r>
          </w:p>
        </w:tc>
      </w:tr>
    </w:tbl>
    <w:p w14:paraId="7EC1D5B8" w14:textId="77777777" w:rsidR="00641AF3" w:rsidRDefault="00641AF3" w:rsidP="00641AF3">
      <w:pPr>
        <w:pStyle w:val="Ttulo1"/>
        <w:numPr>
          <w:ilvl w:val="0"/>
          <w:numId w:val="0"/>
        </w:numPr>
        <w:ind w:left="432"/>
        <w:jc w:val="both"/>
        <w:rPr>
          <w:rFonts w:ascii="Arial" w:hAnsi="Arial" w:cs="Arial"/>
          <w:sz w:val="24"/>
          <w:szCs w:val="24"/>
        </w:rPr>
      </w:pPr>
    </w:p>
    <w:p w14:paraId="056CDAFA" w14:textId="041DDE01" w:rsidR="00B75B39" w:rsidRPr="00641AF3" w:rsidRDefault="00B75B39" w:rsidP="007E54E0">
      <w:pPr>
        <w:pStyle w:val="Ttulo1"/>
        <w:rPr>
          <w:rFonts w:ascii="Arial" w:hAnsi="Arial" w:cs="Arial"/>
          <w:sz w:val="24"/>
          <w:szCs w:val="24"/>
        </w:rPr>
      </w:pPr>
      <w:r w:rsidRPr="00641AF3">
        <w:rPr>
          <w:rFonts w:ascii="Arial" w:hAnsi="Arial" w:cs="Arial"/>
          <w:sz w:val="24"/>
          <w:szCs w:val="24"/>
        </w:rPr>
        <w:lastRenderedPageBreak/>
        <w:t>Antecedentes</w:t>
      </w:r>
    </w:p>
    <w:p w14:paraId="3C194A3D" w14:textId="77777777" w:rsidR="008C45D5" w:rsidRPr="00641AF3" w:rsidRDefault="008C45D5" w:rsidP="008C45D5">
      <w:pPr>
        <w:pStyle w:val="Ttulo2"/>
        <w:rPr>
          <w:rFonts w:ascii="Arial" w:hAnsi="Arial" w:cs="Arial"/>
          <w:sz w:val="23"/>
        </w:rPr>
      </w:pPr>
      <w:r w:rsidRPr="00641AF3">
        <w:rPr>
          <w:rFonts w:ascii="Arial" w:hAnsi="Arial" w:cs="Arial"/>
          <w:sz w:val="23"/>
        </w:rPr>
        <w:t>Inicio del Proceso Electoral</w:t>
      </w:r>
    </w:p>
    <w:p w14:paraId="3141E073" w14:textId="77777777" w:rsidR="008C45D5" w:rsidRPr="00641AF3" w:rsidRDefault="008C45D5" w:rsidP="008C45D5">
      <w:pPr>
        <w:rPr>
          <w:rFonts w:ascii="Arial" w:hAnsi="Arial" w:cs="Arial"/>
        </w:rPr>
      </w:pPr>
      <w:r w:rsidRPr="00641AF3">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474C70E5" w14:textId="77777777" w:rsidR="008C45D5" w:rsidRPr="00641AF3" w:rsidRDefault="008C45D5" w:rsidP="008C45D5">
      <w:pPr>
        <w:pStyle w:val="Ttulo2"/>
        <w:rPr>
          <w:rFonts w:ascii="Arial" w:hAnsi="Arial" w:cs="Arial"/>
          <w:sz w:val="23"/>
        </w:rPr>
      </w:pPr>
      <w:r w:rsidRPr="00641AF3">
        <w:rPr>
          <w:rFonts w:ascii="Arial" w:hAnsi="Arial" w:cs="Arial"/>
          <w:sz w:val="23"/>
        </w:rPr>
        <w:t>Jornada electoral</w:t>
      </w:r>
    </w:p>
    <w:p w14:paraId="5A93E837" w14:textId="77777777" w:rsidR="008C45D5" w:rsidRPr="00641AF3" w:rsidRDefault="008C45D5" w:rsidP="008C45D5">
      <w:pPr>
        <w:rPr>
          <w:rFonts w:ascii="Arial" w:hAnsi="Arial" w:cs="Arial"/>
        </w:rPr>
      </w:pPr>
      <w:r w:rsidRPr="00641AF3">
        <w:rPr>
          <w:rFonts w:ascii="Arial" w:hAnsi="Arial" w:cs="Arial"/>
        </w:rPr>
        <w:t>En términos del artículo 27 numeral 1 de la Ley Electoral las elecciones ordinarias deberán celebrarse el primer domingo del mes de junio del año que corresponda. Por lo que, en el caso del Proceso Electoral</w:t>
      </w:r>
      <w:r w:rsidR="001709A5" w:rsidRPr="00641AF3">
        <w:rPr>
          <w:rFonts w:ascii="Arial" w:hAnsi="Arial" w:cs="Arial"/>
        </w:rPr>
        <w:t>,</w:t>
      </w:r>
      <w:r w:rsidRPr="00641AF3">
        <w:rPr>
          <w:rFonts w:ascii="Arial" w:hAnsi="Arial" w:cs="Arial"/>
        </w:rPr>
        <w:t xml:space="preserve"> la jornada electoral se realizó el 2 de junio de 2024.</w:t>
      </w:r>
    </w:p>
    <w:p w14:paraId="77407CD0" w14:textId="77777777" w:rsidR="008C45D5" w:rsidRPr="00641AF3" w:rsidRDefault="008C45D5" w:rsidP="008C45D5">
      <w:pPr>
        <w:pStyle w:val="Ttulo2"/>
        <w:rPr>
          <w:rFonts w:ascii="Arial" w:hAnsi="Arial" w:cs="Arial"/>
          <w:sz w:val="23"/>
        </w:rPr>
      </w:pPr>
      <w:r w:rsidRPr="00641AF3">
        <w:rPr>
          <w:rFonts w:ascii="Arial" w:hAnsi="Arial" w:cs="Arial"/>
          <w:sz w:val="23"/>
        </w:rPr>
        <w:t>Sesiones de cómputo</w:t>
      </w:r>
    </w:p>
    <w:p w14:paraId="00013AEB" w14:textId="77777777" w:rsidR="008C45D5" w:rsidRPr="00641AF3" w:rsidRDefault="008C45D5" w:rsidP="008C45D5">
      <w:pPr>
        <w:rPr>
          <w:rFonts w:ascii="Arial" w:hAnsi="Arial" w:cs="Arial"/>
        </w:rPr>
      </w:pPr>
      <w:r w:rsidRPr="00641AF3">
        <w:rPr>
          <w:rFonts w:ascii="Arial" w:hAnsi="Arial" w:cs="Arial"/>
        </w:rPr>
        <w:t>A partir del 5 de junio de 2024, los Consejos Distritales de conformidad con el artículo 258 numeral 1 de la Ley Electoral sesionaron de manera ininterrumpida con el propósito de hacer el cómputo de cada una de las elecciones de la Gubernatura del Estado, Diputaciones locales y Presidencias Municipales y Regidurías.</w:t>
      </w:r>
    </w:p>
    <w:p w14:paraId="4A3DE685" w14:textId="77777777" w:rsidR="008C45D5" w:rsidRPr="00641AF3" w:rsidRDefault="008C45D5" w:rsidP="008C45D5">
      <w:pPr>
        <w:pStyle w:val="Ttulo2"/>
        <w:rPr>
          <w:rFonts w:ascii="Arial" w:hAnsi="Arial" w:cs="Arial"/>
          <w:sz w:val="23"/>
        </w:rPr>
      </w:pPr>
      <w:r w:rsidRPr="00641AF3">
        <w:rPr>
          <w:rFonts w:ascii="Arial" w:hAnsi="Arial" w:cs="Arial"/>
          <w:sz w:val="23"/>
        </w:rPr>
        <w:t>Conclusión del Proceso Electoral</w:t>
      </w:r>
    </w:p>
    <w:p w14:paraId="43C1490B" w14:textId="77777777" w:rsidR="008C45D5" w:rsidRPr="00641AF3" w:rsidRDefault="008C45D5" w:rsidP="00427182">
      <w:pPr>
        <w:rPr>
          <w:rFonts w:ascii="Arial" w:hAnsi="Arial" w:cs="Arial"/>
        </w:rPr>
      </w:pPr>
      <w:r w:rsidRPr="00641AF3">
        <w:rPr>
          <w:rFonts w:ascii="Arial" w:hAnsi="Arial" w:cs="Arial"/>
        </w:rPr>
        <w:t xml:space="preserve">El </w:t>
      </w:r>
      <w:r w:rsidR="0007182C" w:rsidRPr="00641AF3">
        <w:rPr>
          <w:rFonts w:ascii="Arial" w:hAnsi="Arial" w:cs="Arial"/>
        </w:rPr>
        <w:t>30</w:t>
      </w:r>
      <w:r w:rsidRPr="00641AF3">
        <w:rPr>
          <w:rFonts w:ascii="Arial" w:hAnsi="Arial" w:cs="Arial"/>
        </w:rPr>
        <w:t xml:space="preserve"> de </w:t>
      </w:r>
      <w:r w:rsidR="0007182C" w:rsidRPr="00641AF3">
        <w:rPr>
          <w:rFonts w:ascii="Arial" w:hAnsi="Arial" w:cs="Arial"/>
        </w:rPr>
        <w:t xml:space="preserve">septiembre </w:t>
      </w:r>
      <w:r w:rsidRPr="00641AF3">
        <w:rPr>
          <w:rFonts w:ascii="Arial" w:hAnsi="Arial" w:cs="Arial"/>
        </w:rPr>
        <w:t>de la presente anualidad, la Presidencia del Consejo Estatal declaró formalmente concluido el Proceso Electoral.</w:t>
      </w:r>
    </w:p>
    <w:p w14:paraId="75061F7C" w14:textId="77777777" w:rsidR="00B75B39" w:rsidRPr="00641AF3" w:rsidRDefault="00B75B39" w:rsidP="00B75B39">
      <w:pPr>
        <w:pStyle w:val="Ttulo1"/>
        <w:rPr>
          <w:rFonts w:ascii="Arial" w:hAnsi="Arial" w:cs="Arial"/>
          <w:sz w:val="24"/>
          <w:szCs w:val="24"/>
        </w:rPr>
      </w:pPr>
      <w:r w:rsidRPr="00641AF3">
        <w:rPr>
          <w:rFonts w:ascii="Arial" w:hAnsi="Arial" w:cs="Arial"/>
          <w:sz w:val="24"/>
          <w:szCs w:val="24"/>
        </w:rPr>
        <w:t>Considerando</w:t>
      </w:r>
    </w:p>
    <w:p w14:paraId="06F2DCAC" w14:textId="77777777" w:rsidR="00B75B39" w:rsidRPr="00641AF3" w:rsidRDefault="00B75B39" w:rsidP="00B75B39">
      <w:pPr>
        <w:pStyle w:val="Ttulo2"/>
        <w:rPr>
          <w:rFonts w:ascii="Arial" w:hAnsi="Arial" w:cs="Arial"/>
          <w:sz w:val="23"/>
        </w:rPr>
      </w:pPr>
      <w:r w:rsidRPr="00641AF3">
        <w:rPr>
          <w:rFonts w:ascii="Arial" w:hAnsi="Arial" w:cs="Arial"/>
          <w:sz w:val="23"/>
        </w:rPr>
        <w:t xml:space="preserve">Fines del Instituto </w:t>
      </w:r>
    </w:p>
    <w:p w14:paraId="2E087971" w14:textId="77777777" w:rsidR="00B75B39" w:rsidRPr="00641AF3" w:rsidRDefault="00B75B39" w:rsidP="00B75B39">
      <w:pPr>
        <w:rPr>
          <w:rFonts w:ascii="Arial" w:hAnsi="Arial" w:cs="Arial"/>
        </w:rPr>
      </w:pPr>
      <w:r w:rsidRPr="00641AF3">
        <w:rPr>
          <w:rFonts w:ascii="Arial" w:hAnsi="Arial" w:cs="Arial"/>
        </w:rPr>
        <w:t xml:space="preserve">Que, de conformidad con los artículos 9 apartado C, fracción I de la Constitución Local, 3 numeral 3, 100 y 102 numeral 1 de la Ley Electoral, el Instituto es un organismo público local de carácter permanente, autónomo en su funcionamiento, independiente en sus </w:t>
      </w:r>
      <w:r w:rsidRPr="00641AF3">
        <w:rPr>
          <w:rFonts w:ascii="Arial" w:hAnsi="Arial" w:cs="Arial"/>
        </w:rPr>
        <w:lastRenderedPageBreak/>
        <w:t>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627BE6B" w14:textId="77777777" w:rsidR="00B75B39" w:rsidRPr="00641AF3" w:rsidRDefault="00B75B39" w:rsidP="00B75B39">
      <w:pPr>
        <w:rPr>
          <w:rFonts w:ascii="Arial" w:hAnsi="Arial" w:cs="Arial"/>
        </w:rPr>
      </w:pPr>
      <w:r w:rsidRPr="00641AF3">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0DC0C499" w14:textId="77777777" w:rsidR="00B75B39" w:rsidRPr="00641AF3" w:rsidRDefault="00B75B39" w:rsidP="00B75B39">
      <w:pPr>
        <w:pStyle w:val="Ttulo2"/>
        <w:rPr>
          <w:rFonts w:ascii="Arial" w:hAnsi="Arial" w:cs="Arial"/>
          <w:sz w:val="23"/>
        </w:rPr>
      </w:pPr>
      <w:r w:rsidRPr="00641AF3">
        <w:rPr>
          <w:rFonts w:ascii="Arial" w:hAnsi="Arial" w:cs="Arial"/>
          <w:sz w:val="23"/>
        </w:rPr>
        <w:t xml:space="preserve">Órgano Superior de Dirección del Instituto </w:t>
      </w:r>
    </w:p>
    <w:p w14:paraId="3742DE20" w14:textId="77777777" w:rsidR="00B75B39" w:rsidRPr="00641AF3" w:rsidRDefault="00B75B39" w:rsidP="00B75B39">
      <w:pPr>
        <w:rPr>
          <w:rFonts w:ascii="Arial" w:hAnsi="Arial" w:cs="Arial"/>
        </w:rPr>
      </w:pPr>
      <w:r w:rsidRPr="00641AF3">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1B50427A" w14:textId="77777777" w:rsidR="00B75B39" w:rsidRPr="00641AF3" w:rsidRDefault="00B75B39" w:rsidP="00B75B39">
      <w:pPr>
        <w:pStyle w:val="Ttulo2"/>
        <w:rPr>
          <w:rFonts w:ascii="Arial" w:hAnsi="Arial" w:cs="Arial"/>
          <w:sz w:val="23"/>
        </w:rPr>
      </w:pPr>
      <w:r w:rsidRPr="00641AF3">
        <w:rPr>
          <w:rFonts w:ascii="Arial" w:hAnsi="Arial" w:cs="Arial"/>
          <w:sz w:val="23"/>
        </w:rPr>
        <w:t>Integración del Órgano de Dirección Superior</w:t>
      </w:r>
    </w:p>
    <w:p w14:paraId="7112F56B" w14:textId="1D7AD192" w:rsidR="00B75B39" w:rsidRDefault="00B75B39" w:rsidP="00B75B39">
      <w:pPr>
        <w:rPr>
          <w:rFonts w:ascii="Arial" w:hAnsi="Arial" w:cs="Arial"/>
        </w:rPr>
      </w:pPr>
      <w:r w:rsidRPr="00641AF3">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0BC691B4" w14:textId="77777777" w:rsidR="0094765E" w:rsidRPr="00641AF3" w:rsidRDefault="0094765E" w:rsidP="00B75B39">
      <w:pPr>
        <w:rPr>
          <w:rFonts w:ascii="Arial" w:hAnsi="Arial" w:cs="Arial"/>
        </w:rPr>
      </w:pPr>
    </w:p>
    <w:p w14:paraId="7F5E056D" w14:textId="77777777" w:rsidR="00B75B39" w:rsidRPr="00641AF3" w:rsidRDefault="00B75B39" w:rsidP="00B75B39">
      <w:pPr>
        <w:pStyle w:val="Ttulo2"/>
        <w:rPr>
          <w:rFonts w:ascii="Arial" w:hAnsi="Arial" w:cs="Arial"/>
          <w:sz w:val="23"/>
        </w:rPr>
      </w:pPr>
      <w:r w:rsidRPr="00641AF3">
        <w:rPr>
          <w:rFonts w:ascii="Arial" w:hAnsi="Arial" w:cs="Arial"/>
          <w:sz w:val="23"/>
        </w:rPr>
        <w:lastRenderedPageBreak/>
        <w:t>Competencia del Consejo Estatal</w:t>
      </w:r>
    </w:p>
    <w:p w14:paraId="550314AB" w14:textId="77777777" w:rsidR="00B75B39" w:rsidRPr="00641AF3" w:rsidRDefault="00B75B39" w:rsidP="00CE05D5">
      <w:pPr>
        <w:rPr>
          <w:rFonts w:ascii="Arial" w:hAnsi="Arial" w:cs="Arial"/>
        </w:rPr>
      </w:pPr>
      <w:r w:rsidRPr="00641AF3">
        <w:rPr>
          <w:rFonts w:ascii="Arial" w:hAnsi="Arial" w:cs="Arial"/>
        </w:rPr>
        <w:t xml:space="preserve">Que, de conformidad con </w:t>
      </w:r>
      <w:r w:rsidR="00CE05D5" w:rsidRPr="00641AF3">
        <w:rPr>
          <w:rFonts w:ascii="Arial" w:hAnsi="Arial" w:cs="Arial"/>
        </w:rPr>
        <w:t xml:space="preserve">los </w:t>
      </w:r>
      <w:r w:rsidRPr="00641AF3">
        <w:rPr>
          <w:rFonts w:ascii="Arial" w:hAnsi="Arial" w:cs="Arial"/>
        </w:rPr>
        <w:t>artículo</w:t>
      </w:r>
      <w:r w:rsidR="00CE05D5" w:rsidRPr="00641AF3">
        <w:rPr>
          <w:rFonts w:ascii="Arial" w:hAnsi="Arial" w:cs="Arial"/>
        </w:rPr>
        <w:t>s</w:t>
      </w:r>
      <w:r w:rsidRPr="00641AF3">
        <w:rPr>
          <w:rFonts w:ascii="Arial" w:hAnsi="Arial" w:cs="Arial"/>
        </w:rPr>
        <w:t xml:space="preserve"> 115 numeral 1, </w:t>
      </w:r>
      <w:r w:rsidR="00CE05D5" w:rsidRPr="00641AF3">
        <w:rPr>
          <w:rFonts w:ascii="Arial" w:hAnsi="Arial" w:cs="Arial"/>
        </w:rPr>
        <w:t>fracción I y 279</w:t>
      </w:r>
      <w:r w:rsidRPr="00641AF3">
        <w:rPr>
          <w:rFonts w:ascii="Arial" w:hAnsi="Arial" w:cs="Arial"/>
        </w:rPr>
        <w:t xml:space="preserve"> de la Ley Electoral, corresponde al Consejo Estatal </w:t>
      </w:r>
      <w:r w:rsidR="00CE05D5" w:rsidRPr="00641AF3">
        <w:rPr>
          <w:rFonts w:ascii="Arial" w:hAnsi="Arial" w:cs="Arial"/>
        </w:rPr>
        <w:t>aplicar las disposiciones generales, reglas, lineamientos, criterios y formatos que, en ejercicio de las facultades que le confieren la Constitución Federal y la Ley General, establezca el INE y determinar el procedimiento para la destrucción de la documentación y material electoral sobrantes utilizado con motivo del Proceso Electoral.</w:t>
      </w:r>
    </w:p>
    <w:p w14:paraId="723CB783" w14:textId="77777777" w:rsidR="00B75B39" w:rsidRPr="00641AF3" w:rsidRDefault="00B75B39" w:rsidP="00B75B39">
      <w:pPr>
        <w:rPr>
          <w:rFonts w:ascii="Arial" w:hAnsi="Arial" w:cs="Arial"/>
        </w:rPr>
      </w:pPr>
      <w:r w:rsidRPr="00641AF3">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E59232A" w14:textId="77777777" w:rsidR="009D20FB" w:rsidRPr="00641AF3" w:rsidRDefault="008F1159" w:rsidP="008F1159">
      <w:pPr>
        <w:pStyle w:val="Ttulo2"/>
        <w:rPr>
          <w:rFonts w:ascii="Arial" w:hAnsi="Arial" w:cs="Arial"/>
          <w:sz w:val="23"/>
        </w:rPr>
      </w:pPr>
      <w:r w:rsidRPr="00641AF3">
        <w:rPr>
          <w:rFonts w:ascii="Arial" w:hAnsi="Arial" w:cs="Arial"/>
          <w:sz w:val="23"/>
        </w:rPr>
        <w:t>Regulación de la documentación y material electoral</w:t>
      </w:r>
    </w:p>
    <w:p w14:paraId="5CA6BE6C" w14:textId="77777777" w:rsidR="008F1159" w:rsidRPr="00641AF3" w:rsidRDefault="008F1159" w:rsidP="008F1159">
      <w:pPr>
        <w:rPr>
          <w:rFonts w:ascii="Arial" w:hAnsi="Arial" w:cs="Arial"/>
        </w:rPr>
      </w:pPr>
      <w:r w:rsidRPr="00641AF3">
        <w:rPr>
          <w:rFonts w:ascii="Arial" w:hAnsi="Arial" w:cs="Arial"/>
        </w:rPr>
        <w:t>Que, los artículos 41 Base V, Apartado B, inciso a), numeral 5 de la Constitución Federal y 32 numeral 1, inciso a), fracción V de la Ley General, disponen que, para los procesos electorales federales y locales, el INE tendrá, entre otras, la atribución de establecer reglas, lineamientos, criterios y formatos en materia de impresión de documentos y producción de materiales electorales.</w:t>
      </w:r>
    </w:p>
    <w:p w14:paraId="03E42FF9" w14:textId="77777777" w:rsidR="008F1159" w:rsidRPr="00641AF3" w:rsidRDefault="008F1159" w:rsidP="008F1159">
      <w:pPr>
        <w:rPr>
          <w:rFonts w:ascii="Arial" w:hAnsi="Arial" w:cs="Arial"/>
        </w:rPr>
      </w:pPr>
      <w:r w:rsidRPr="00641AF3">
        <w:rPr>
          <w:rFonts w:ascii="Arial" w:hAnsi="Arial" w:cs="Arial"/>
        </w:rPr>
        <w:t>En ese sentido, en el Reglamento de Elecciones se establecen las directrices generales para llevar a cabo el procedimiento relativo a la destrucción de la documentación electoral utilizada en los procesos electorales federales y locales.</w:t>
      </w:r>
    </w:p>
    <w:p w14:paraId="641104CC" w14:textId="77777777" w:rsidR="006E304A" w:rsidRPr="00641AF3" w:rsidRDefault="006E304A" w:rsidP="00184118">
      <w:pPr>
        <w:pStyle w:val="Ttulo2"/>
        <w:rPr>
          <w:rFonts w:ascii="Arial" w:hAnsi="Arial" w:cs="Arial"/>
          <w:sz w:val="23"/>
        </w:rPr>
      </w:pPr>
      <w:r w:rsidRPr="00641AF3">
        <w:rPr>
          <w:rFonts w:ascii="Arial" w:hAnsi="Arial" w:cs="Arial"/>
          <w:sz w:val="23"/>
        </w:rPr>
        <w:t>Etapas del proceso electoral</w:t>
      </w:r>
    </w:p>
    <w:p w14:paraId="7BF1FFCA" w14:textId="77777777" w:rsidR="006E304A" w:rsidRPr="00641AF3" w:rsidRDefault="006E304A" w:rsidP="006E304A">
      <w:pPr>
        <w:rPr>
          <w:rFonts w:ascii="Arial" w:hAnsi="Arial" w:cs="Arial"/>
        </w:rPr>
      </w:pPr>
      <w:r w:rsidRPr="00641AF3">
        <w:rPr>
          <w:rFonts w:ascii="Arial" w:hAnsi="Arial" w:cs="Arial"/>
        </w:rPr>
        <w:t>Que, en términos del artículo 165 numeral 2 de la Ley Electoral el proceso electoral ordinario comprende las etapas siguientes:</w:t>
      </w:r>
    </w:p>
    <w:p w14:paraId="0DEEE7FD" w14:textId="77777777" w:rsidR="006E304A" w:rsidRPr="00641AF3" w:rsidRDefault="006E304A" w:rsidP="006E304A">
      <w:pPr>
        <w:pStyle w:val="Prrafodelista"/>
        <w:numPr>
          <w:ilvl w:val="0"/>
          <w:numId w:val="1"/>
        </w:numPr>
        <w:rPr>
          <w:rFonts w:ascii="Arial" w:hAnsi="Arial" w:cs="Arial"/>
          <w:sz w:val="23"/>
          <w:szCs w:val="23"/>
        </w:rPr>
      </w:pPr>
      <w:r w:rsidRPr="00641AF3">
        <w:rPr>
          <w:rFonts w:ascii="Arial" w:hAnsi="Arial" w:cs="Arial"/>
          <w:sz w:val="23"/>
          <w:szCs w:val="23"/>
        </w:rPr>
        <w:t>Preparación de la elección;</w:t>
      </w:r>
    </w:p>
    <w:p w14:paraId="21469547" w14:textId="77777777" w:rsidR="006E304A" w:rsidRPr="00641AF3" w:rsidRDefault="006E304A" w:rsidP="006E304A">
      <w:pPr>
        <w:pStyle w:val="Prrafodelista"/>
        <w:numPr>
          <w:ilvl w:val="0"/>
          <w:numId w:val="1"/>
        </w:numPr>
        <w:rPr>
          <w:rFonts w:ascii="Arial" w:hAnsi="Arial" w:cs="Arial"/>
          <w:sz w:val="23"/>
          <w:szCs w:val="23"/>
        </w:rPr>
      </w:pPr>
      <w:r w:rsidRPr="00641AF3">
        <w:rPr>
          <w:rFonts w:ascii="Arial" w:hAnsi="Arial" w:cs="Arial"/>
          <w:sz w:val="23"/>
          <w:szCs w:val="23"/>
        </w:rPr>
        <w:t>Jornada electoral, y</w:t>
      </w:r>
    </w:p>
    <w:p w14:paraId="2BD97965" w14:textId="77777777" w:rsidR="006E304A" w:rsidRPr="00641AF3" w:rsidRDefault="006E304A" w:rsidP="006E304A">
      <w:pPr>
        <w:pStyle w:val="Prrafodelista"/>
        <w:numPr>
          <w:ilvl w:val="0"/>
          <w:numId w:val="1"/>
        </w:numPr>
        <w:rPr>
          <w:rFonts w:ascii="Arial" w:hAnsi="Arial" w:cs="Arial"/>
          <w:sz w:val="23"/>
          <w:szCs w:val="23"/>
        </w:rPr>
      </w:pPr>
      <w:r w:rsidRPr="00641AF3">
        <w:rPr>
          <w:rFonts w:ascii="Arial" w:hAnsi="Arial" w:cs="Arial"/>
          <w:sz w:val="23"/>
          <w:szCs w:val="23"/>
        </w:rPr>
        <w:t>Resultados y declaración de validez de las elecciones.</w:t>
      </w:r>
    </w:p>
    <w:p w14:paraId="5112DECC" w14:textId="77777777" w:rsidR="006E304A" w:rsidRPr="00641AF3" w:rsidRDefault="006E304A" w:rsidP="006E304A">
      <w:pPr>
        <w:rPr>
          <w:rFonts w:ascii="Arial" w:hAnsi="Arial" w:cs="Arial"/>
        </w:rPr>
      </w:pPr>
      <w:r w:rsidRPr="00641AF3">
        <w:rPr>
          <w:rFonts w:ascii="Arial" w:hAnsi="Arial" w:cs="Arial"/>
        </w:rPr>
        <w:lastRenderedPageBreak/>
        <w:t>La etapa de preparación de la elección, se inicia con la primera sesión que el Consejo Estatal, celebre para el proceso electoral respectivo y concluye al iniciarse la jornada electoral.</w:t>
      </w:r>
    </w:p>
    <w:p w14:paraId="5BFA2068" w14:textId="77777777" w:rsidR="006E304A" w:rsidRPr="00641AF3" w:rsidRDefault="006E304A" w:rsidP="006E304A">
      <w:pPr>
        <w:rPr>
          <w:rFonts w:ascii="Arial" w:hAnsi="Arial" w:cs="Arial"/>
        </w:rPr>
      </w:pPr>
      <w:r w:rsidRPr="00641AF3">
        <w:rPr>
          <w:rFonts w:ascii="Arial" w:hAnsi="Arial" w:cs="Arial"/>
        </w:rPr>
        <w:t>Por su parte, la etapa de la jornada electoral de las elecciones, se inicia a las 8:00 horas del primer domingo del mes de junio y concluye con la clausura de casillas.</w:t>
      </w:r>
    </w:p>
    <w:p w14:paraId="25BA2FFE" w14:textId="77777777" w:rsidR="006E304A" w:rsidRPr="00641AF3" w:rsidRDefault="006E304A" w:rsidP="006E304A">
      <w:pPr>
        <w:rPr>
          <w:rFonts w:ascii="Arial" w:hAnsi="Arial" w:cs="Arial"/>
        </w:rPr>
      </w:pPr>
      <w:r w:rsidRPr="00641AF3">
        <w:rPr>
          <w:rFonts w:ascii="Arial" w:hAnsi="Arial" w:cs="Arial"/>
        </w:rPr>
        <w:t>Finalmente, la etapa de resultados y declaración de validez de las elecciones se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14:paraId="72CFE090" w14:textId="77777777" w:rsidR="006E304A" w:rsidRPr="00641AF3" w:rsidRDefault="006E304A" w:rsidP="00184118">
      <w:pPr>
        <w:pStyle w:val="Ttulo2"/>
        <w:rPr>
          <w:rFonts w:ascii="Arial" w:hAnsi="Arial" w:cs="Arial"/>
          <w:sz w:val="23"/>
        </w:rPr>
      </w:pPr>
      <w:r w:rsidRPr="00641AF3">
        <w:rPr>
          <w:rFonts w:ascii="Arial" w:hAnsi="Arial" w:cs="Arial"/>
          <w:sz w:val="23"/>
        </w:rPr>
        <w:t>Remisión de los paquetes electorales</w:t>
      </w:r>
    </w:p>
    <w:p w14:paraId="2BE6E47B" w14:textId="77777777" w:rsidR="006E304A" w:rsidRPr="00641AF3" w:rsidRDefault="006E304A" w:rsidP="006E304A">
      <w:pPr>
        <w:rPr>
          <w:rFonts w:ascii="Arial" w:hAnsi="Arial" w:cs="Arial"/>
        </w:rPr>
      </w:pPr>
      <w:r w:rsidRPr="00641AF3">
        <w:rPr>
          <w:rFonts w:ascii="Arial" w:hAnsi="Arial" w:cs="Arial"/>
        </w:rPr>
        <w:t>Que, el artículo 249 de la Ley Electoral dispone que, una vez clausuradas las casillas, las y los Presidentes de las mismas, bajo su responsabilidad, harán llegar al Consejo Distrital que corresponda, los paquetes y los expedientes de casilla dentro de los plazos siguientes, contados a partir de la hora de clausura:</w:t>
      </w:r>
    </w:p>
    <w:p w14:paraId="53D81960" w14:textId="77777777" w:rsidR="006E304A" w:rsidRPr="00641AF3" w:rsidRDefault="006E304A" w:rsidP="006E304A">
      <w:pPr>
        <w:pStyle w:val="Prrafodelista"/>
        <w:numPr>
          <w:ilvl w:val="0"/>
          <w:numId w:val="2"/>
        </w:numPr>
        <w:ind w:left="720"/>
        <w:contextualSpacing w:val="0"/>
        <w:rPr>
          <w:rFonts w:ascii="Arial" w:hAnsi="Arial" w:cs="Arial"/>
          <w:sz w:val="23"/>
          <w:szCs w:val="23"/>
        </w:rPr>
      </w:pPr>
      <w:r w:rsidRPr="00641AF3">
        <w:rPr>
          <w:rFonts w:ascii="Arial" w:hAnsi="Arial" w:cs="Arial"/>
          <w:sz w:val="23"/>
          <w:szCs w:val="23"/>
        </w:rPr>
        <w:t>Inmediatamente después de la clausura, cuando se trate de casillas ubicadas en cabecera municipal, y</w:t>
      </w:r>
    </w:p>
    <w:p w14:paraId="245257C9" w14:textId="77777777" w:rsidR="006E304A" w:rsidRPr="00641AF3" w:rsidRDefault="006E304A" w:rsidP="006E304A">
      <w:pPr>
        <w:pStyle w:val="Prrafodelista"/>
        <w:numPr>
          <w:ilvl w:val="0"/>
          <w:numId w:val="2"/>
        </w:numPr>
        <w:ind w:left="720"/>
        <w:contextualSpacing w:val="0"/>
        <w:rPr>
          <w:rFonts w:ascii="Arial" w:hAnsi="Arial" w:cs="Arial"/>
          <w:sz w:val="23"/>
          <w:szCs w:val="23"/>
        </w:rPr>
      </w:pPr>
      <w:r w:rsidRPr="00641AF3">
        <w:rPr>
          <w:rFonts w:ascii="Arial" w:hAnsi="Arial" w:cs="Arial"/>
          <w:sz w:val="23"/>
          <w:szCs w:val="23"/>
        </w:rPr>
        <w:t>Hasta 12 horas cuando se trate de casillas ubicadas fuera de la cabecera municipal.</w:t>
      </w:r>
    </w:p>
    <w:p w14:paraId="05FE80AE" w14:textId="77777777" w:rsidR="006E304A" w:rsidRPr="00641AF3" w:rsidRDefault="006E304A" w:rsidP="006E304A">
      <w:pPr>
        <w:rPr>
          <w:rFonts w:ascii="Arial" w:hAnsi="Arial" w:cs="Arial"/>
        </w:rPr>
      </w:pPr>
      <w:r w:rsidRPr="00641AF3">
        <w:rPr>
          <w:rFonts w:ascii="Arial" w:hAnsi="Arial" w:cs="Arial"/>
        </w:rPr>
        <w:t xml:space="preserve">Asimismo, de acuerdo con el numeral 3 del artículo en cita, los Consejos adoptarán previamente al día de la elección, las providencias necesarias para que los paquetes con los expedientes de las elecciones sean entregados dentro de los plazos establecidos para que puedan ser recibidos en forma simultánea. </w:t>
      </w:r>
    </w:p>
    <w:p w14:paraId="0F9B51B4" w14:textId="77777777" w:rsidR="006E304A" w:rsidRPr="00641AF3" w:rsidRDefault="006E304A" w:rsidP="006E304A">
      <w:pPr>
        <w:rPr>
          <w:rFonts w:ascii="Arial" w:hAnsi="Arial" w:cs="Arial"/>
        </w:rPr>
      </w:pPr>
      <w:r w:rsidRPr="00641AF3">
        <w:rPr>
          <w:rFonts w:ascii="Arial" w:hAnsi="Arial" w:cs="Arial"/>
        </w:rPr>
        <w:t xml:space="preserve">Además, los Consejos acordarán que se establezca un mecanismo para la recolección de la documentación de las casillas cuando fuere necesaria en los términos de esta Ley, incluyendo el establecimiento de centros de acopio, siempre y cuando se garantice la seguridad de la documentación electoral y del personal auxiliar y los funcionarios de casilla. </w:t>
      </w:r>
    </w:p>
    <w:p w14:paraId="549A2C99" w14:textId="77777777" w:rsidR="006E304A" w:rsidRPr="00641AF3" w:rsidRDefault="006E304A" w:rsidP="006E304A">
      <w:pPr>
        <w:rPr>
          <w:rFonts w:ascii="Arial" w:hAnsi="Arial" w:cs="Arial"/>
        </w:rPr>
      </w:pPr>
      <w:r w:rsidRPr="00641AF3">
        <w:rPr>
          <w:rFonts w:ascii="Arial" w:hAnsi="Arial" w:cs="Arial"/>
        </w:rPr>
        <w:lastRenderedPageBreak/>
        <w:t>Lo anterior se realizará bajo la vigilancia de los partidos políticos y candidaturas independientes que así desearen hacerlo.</w:t>
      </w:r>
    </w:p>
    <w:p w14:paraId="39ADCAFD" w14:textId="77777777" w:rsidR="006E304A" w:rsidRPr="00641AF3" w:rsidRDefault="006E304A" w:rsidP="00184118">
      <w:pPr>
        <w:pStyle w:val="Ttulo2"/>
        <w:rPr>
          <w:rFonts w:ascii="Arial" w:hAnsi="Arial" w:cs="Arial"/>
          <w:sz w:val="23"/>
        </w:rPr>
      </w:pPr>
      <w:r w:rsidRPr="00641AF3">
        <w:rPr>
          <w:rFonts w:ascii="Arial" w:hAnsi="Arial" w:cs="Arial"/>
          <w:sz w:val="23"/>
        </w:rPr>
        <w:t>Recepción de paquetes electorales</w:t>
      </w:r>
    </w:p>
    <w:p w14:paraId="5B512AD8" w14:textId="77777777" w:rsidR="006E304A" w:rsidRPr="00641AF3" w:rsidRDefault="006E304A" w:rsidP="006E304A">
      <w:pPr>
        <w:rPr>
          <w:rFonts w:ascii="Arial" w:hAnsi="Arial" w:cs="Arial"/>
        </w:rPr>
      </w:pPr>
      <w:r w:rsidRPr="00641AF3">
        <w:rPr>
          <w:rFonts w:ascii="Arial" w:hAnsi="Arial" w:cs="Arial"/>
        </w:rPr>
        <w:t>Que, de conformidad con el artículo 383 numeral 1 del Reglamento de Elecciones, la recepción, depósito y salvaguarda de los paquetes electorales en que se contengan los expedientes de casilla, por parte de los órganos competentes del INE y del organismo electoral, según el caso, una vez concluida la Jornada Electoral, se desarrollará conforme al procedimiento que se describe en el anexo 14 de dicho Reglamento, con el propósito de realizar una eficiente y correcta recepción de paquetes electorales, en la que se garantice que los tiempos de recepción de los paquetes electorales en las instalaciones del INE y de los organismos electorales se ajusten a lo establecido en la Ley General y las leyes vigentes de los estados que corresponda, en cumplimiento a los principios de certeza y legalidad.</w:t>
      </w:r>
    </w:p>
    <w:p w14:paraId="53E57FA0" w14:textId="77777777" w:rsidR="00E36BF3" w:rsidRPr="00641AF3" w:rsidRDefault="00E36BF3" w:rsidP="00E36BF3">
      <w:pPr>
        <w:pStyle w:val="Ttulo2"/>
        <w:rPr>
          <w:rFonts w:ascii="Arial" w:hAnsi="Arial" w:cs="Arial"/>
          <w:sz w:val="23"/>
        </w:rPr>
      </w:pPr>
      <w:r w:rsidRPr="00641AF3">
        <w:rPr>
          <w:rFonts w:ascii="Arial" w:hAnsi="Arial" w:cs="Arial"/>
          <w:sz w:val="23"/>
        </w:rPr>
        <w:t>Depósito de la documentación electoral</w:t>
      </w:r>
    </w:p>
    <w:p w14:paraId="265E1131" w14:textId="77777777" w:rsidR="00E36BF3" w:rsidRPr="00641AF3" w:rsidRDefault="00E36BF3" w:rsidP="00E36BF3">
      <w:pPr>
        <w:rPr>
          <w:rFonts w:ascii="Arial" w:hAnsi="Arial" w:cs="Arial"/>
        </w:rPr>
      </w:pPr>
      <w:r w:rsidRPr="00641AF3">
        <w:rPr>
          <w:rFonts w:ascii="Arial" w:hAnsi="Arial" w:cs="Arial"/>
        </w:rPr>
        <w:t>Que, el artículo 279 de la Ley Electoral, establece que las Presidencias de los Consejos Electorales Distritales conservarán en su poder una copia certificada de todas las actas y documentación de cada uno de los expedientes de los cómputos distritales y municipales. Concluido el proceso electoral, remitirán a la Secretaría Ejecutiva la totalidad de la documentación y material</w:t>
      </w:r>
      <w:r w:rsidR="00450118" w:rsidRPr="00641AF3">
        <w:rPr>
          <w:rFonts w:ascii="Arial" w:hAnsi="Arial" w:cs="Arial"/>
        </w:rPr>
        <w:t xml:space="preserve"> electoral utilizado y sobrante</w:t>
      </w:r>
      <w:r w:rsidRPr="00641AF3">
        <w:rPr>
          <w:rFonts w:ascii="Arial" w:hAnsi="Arial" w:cs="Arial"/>
        </w:rPr>
        <w:t>, para ser depositados en lugar seguro. El Consejo Estatal determinará el procedimiento para su destrucción.</w:t>
      </w:r>
    </w:p>
    <w:p w14:paraId="01C64624" w14:textId="77777777" w:rsidR="00E36BF3" w:rsidRPr="00641AF3" w:rsidRDefault="00E36BF3" w:rsidP="00E36BF3">
      <w:pPr>
        <w:pStyle w:val="Ttulo2"/>
        <w:rPr>
          <w:rFonts w:ascii="Arial" w:hAnsi="Arial" w:cs="Arial"/>
          <w:sz w:val="23"/>
        </w:rPr>
      </w:pPr>
      <w:r w:rsidRPr="00641AF3">
        <w:rPr>
          <w:rFonts w:ascii="Arial" w:hAnsi="Arial" w:cs="Arial"/>
          <w:sz w:val="23"/>
        </w:rPr>
        <w:t>Resguardo de la documentación electoral</w:t>
      </w:r>
    </w:p>
    <w:p w14:paraId="2E7D958A" w14:textId="77777777" w:rsidR="00E36BF3" w:rsidRPr="00641AF3" w:rsidRDefault="00E36BF3" w:rsidP="00E36BF3">
      <w:pPr>
        <w:rPr>
          <w:rFonts w:ascii="Arial" w:hAnsi="Arial" w:cs="Arial"/>
        </w:rPr>
      </w:pPr>
      <w:r w:rsidRPr="00641AF3">
        <w:rPr>
          <w:rFonts w:ascii="Arial" w:hAnsi="Arial" w:cs="Arial"/>
        </w:rPr>
        <w:t>Que, de acuerdo con lo anterior, la Secretaría Ejecutiva en ejercicio de las atribuciones que le confieren los artículos 117, numeral 2, fracción XXVI y 279 numeral 1 de la Ley Electoral, instruyó a los integrantes de los consejos electorales distritales, cuyas actividades habían concluido en virtud de haber quedado firmes los resultados de los cómputos y las constancias de mayoría y validez otorgados en el ámbito de su competencia, concentrar en el almacén general del Instituto Electoral, toda la documentación y material correspondiente al Proceso Electoral, para su resguardo.</w:t>
      </w:r>
    </w:p>
    <w:p w14:paraId="22DEAD66" w14:textId="77777777" w:rsidR="00E36BF3" w:rsidRPr="00641AF3" w:rsidRDefault="00E36BF3" w:rsidP="00E36BF3">
      <w:pPr>
        <w:pStyle w:val="Ttulo2"/>
        <w:rPr>
          <w:rFonts w:ascii="Arial" w:hAnsi="Arial" w:cs="Arial"/>
          <w:sz w:val="23"/>
        </w:rPr>
      </w:pPr>
      <w:r w:rsidRPr="00641AF3">
        <w:rPr>
          <w:rFonts w:ascii="Arial" w:hAnsi="Arial" w:cs="Arial"/>
          <w:sz w:val="23"/>
        </w:rPr>
        <w:lastRenderedPageBreak/>
        <w:t>Destrucción de la documentación electoral</w:t>
      </w:r>
    </w:p>
    <w:p w14:paraId="53AED980" w14:textId="77777777" w:rsidR="00E36BF3" w:rsidRPr="00641AF3" w:rsidRDefault="00E36BF3" w:rsidP="00E36BF3">
      <w:pPr>
        <w:rPr>
          <w:rFonts w:ascii="Arial" w:hAnsi="Arial" w:cs="Arial"/>
        </w:rPr>
      </w:pPr>
      <w:r w:rsidRPr="00641AF3">
        <w:rPr>
          <w:rFonts w:ascii="Arial" w:hAnsi="Arial" w:cs="Arial"/>
        </w:rPr>
        <w:t>Que, las fracciones I y III del artículo 171, numeral 1 de la Ley Electoral, señalan que la documentación y materiales electorales que se aprueben y utilicen en los procesos electorales locales, serán elaborados utilizando materias primas que permitan ser recicladas, una vez que se proceda a su destrucción; y que ésta deberá llevarse a cabo empleando métodos que protejan el medio ambiente, según lo apruebe el Consejo Estatal.</w:t>
      </w:r>
    </w:p>
    <w:p w14:paraId="75DAED39" w14:textId="77777777" w:rsidR="00E36BF3" w:rsidRPr="00641AF3" w:rsidRDefault="00E36BF3" w:rsidP="00E36BF3">
      <w:pPr>
        <w:rPr>
          <w:rFonts w:ascii="Arial" w:hAnsi="Arial" w:cs="Arial"/>
        </w:rPr>
      </w:pPr>
      <w:r w:rsidRPr="00641AF3">
        <w:rPr>
          <w:rFonts w:ascii="Arial" w:hAnsi="Arial" w:cs="Arial"/>
        </w:rPr>
        <w:t>Por su parte, el artículo 434 del Reglamento de Elecciones, dispone que el órgano superior de dirección del organismo público, deberá aprobar la destrucción de la documentación electoral una vez concluido el proceso electoral correspondiente. En el acuerdo respectivo se deberán precisar los documentos objeto de la destrucción, entre los que se encuentran, los votos válidos, los votos nulos, las boletas sobrantes de la elección correspondiente, así como de aquellas que fueron inutilizadas durante la actividad de conteo, sellado y enfajillado, una vez concluido el proceso electoral respectivo</w:t>
      </w:r>
    </w:p>
    <w:p w14:paraId="6ACB88DC" w14:textId="77777777" w:rsidR="00E36BF3" w:rsidRPr="00641AF3" w:rsidRDefault="00E36BF3" w:rsidP="00E36BF3">
      <w:pPr>
        <w:rPr>
          <w:rFonts w:ascii="Arial" w:hAnsi="Arial" w:cs="Arial"/>
        </w:rPr>
      </w:pPr>
      <w:r w:rsidRPr="00641AF3">
        <w:rPr>
          <w:rFonts w:ascii="Arial" w:hAnsi="Arial" w:cs="Arial"/>
        </w:rPr>
        <w:t>Además, se deberá prever que se realice bajo estricta supervisión y observándose en todo momento las medidas de seguridad correspondientes, así como la incorporación de procedimientos ecológicos no contaminantes que permitan su reciclaje.</w:t>
      </w:r>
    </w:p>
    <w:p w14:paraId="1D4E4228" w14:textId="77777777" w:rsidR="00E36BF3" w:rsidRPr="00641AF3" w:rsidRDefault="00E36BF3" w:rsidP="00E36BF3">
      <w:pPr>
        <w:pStyle w:val="Ttulo2"/>
        <w:rPr>
          <w:rFonts w:ascii="Arial" w:hAnsi="Arial" w:cs="Arial"/>
          <w:sz w:val="23"/>
        </w:rPr>
      </w:pPr>
      <w:r w:rsidRPr="00641AF3">
        <w:rPr>
          <w:rFonts w:ascii="Arial" w:hAnsi="Arial" w:cs="Arial"/>
          <w:sz w:val="23"/>
        </w:rPr>
        <w:t>Actos previos a la destrucción de la documentación electoral</w:t>
      </w:r>
    </w:p>
    <w:p w14:paraId="5E4CB11A" w14:textId="77777777" w:rsidR="00E36BF3" w:rsidRPr="00641AF3" w:rsidRDefault="00E36BF3" w:rsidP="00E36BF3">
      <w:pPr>
        <w:rPr>
          <w:rFonts w:ascii="Arial" w:hAnsi="Arial" w:cs="Arial"/>
        </w:rPr>
      </w:pPr>
      <w:r w:rsidRPr="00641AF3">
        <w:rPr>
          <w:rFonts w:ascii="Arial" w:hAnsi="Arial" w:cs="Arial"/>
        </w:rPr>
        <w:t>Que, el artículo 435 del Reglamento de Elecciones, establece que los organismos electorales para la destrucción de la documentación electoral, deben realizar lo siguiente:</w:t>
      </w:r>
    </w:p>
    <w:p w14:paraId="3F33119B" w14:textId="52076949" w:rsidR="00E36BF3" w:rsidRPr="00641AF3" w:rsidRDefault="00E36BF3" w:rsidP="0090497F">
      <w:pPr>
        <w:pStyle w:val="Prrafodelista"/>
        <w:numPr>
          <w:ilvl w:val="0"/>
          <w:numId w:val="5"/>
        </w:numPr>
        <w:ind w:left="703" w:hanging="703"/>
        <w:contextualSpacing w:val="0"/>
        <w:rPr>
          <w:rFonts w:ascii="Arial" w:hAnsi="Arial" w:cs="Arial"/>
          <w:sz w:val="23"/>
          <w:szCs w:val="23"/>
        </w:rPr>
      </w:pPr>
      <w:r w:rsidRPr="00641AF3">
        <w:rPr>
          <w:rFonts w:ascii="Arial" w:hAnsi="Arial" w:cs="Arial"/>
          <w:sz w:val="23"/>
          <w:szCs w:val="23"/>
        </w:rPr>
        <w:t xml:space="preserve">Contactar a las empresas o instituciones con capacidad para destruir la documentación electoral bajo procedimientos no contaminantes, procurando que suministren el material de empaque de la documentación, absorban los costos del traslado de la bodega electoral al lugar donde se efectuará la destrucción y proporcionen algún beneficio económico por el reciclamiento del papel al INE o al organismo electoral. En caso de no conocer las instalaciones de la empresa o institución, se hará una visita para confirmar el modo de destrucción y las medidas de seguridad para dicha actividad; </w:t>
      </w:r>
    </w:p>
    <w:p w14:paraId="25373503" w14:textId="5C475F2F" w:rsidR="00E36BF3" w:rsidRPr="00641AF3" w:rsidRDefault="00E36BF3" w:rsidP="0090497F">
      <w:pPr>
        <w:pStyle w:val="Prrafodelista"/>
        <w:numPr>
          <w:ilvl w:val="0"/>
          <w:numId w:val="5"/>
        </w:numPr>
        <w:ind w:left="703" w:hanging="703"/>
        <w:contextualSpacing w:val="0"/>
        <w:rPr>
          <w:rFonts w:ascii="Arial" w:hAnsi="Arial" w:cs="Arial"/>
          <w:sz w:val="23"/>
          <w:szCs w:val="23"/>
        </w:rPr>
      </w:pPr>
      <w:r w:rsidRPr="00641AF3">
        <w:rPr>
          <w:rFonts w:ascii="Arial" w:hAnsi="Arial" w:cs="Arial"/>
          <w:sz w:val="23"/>
          <w:szCs w:val="23"/>
        </w:rPr>
        <w:t xml:space="preserve">Seleccionar a la empresa o institución mediante el procedimiento administrativo que considere la normatividad vigente respectiva. Los acuerdos establecidos entre el INE o el organismo electoral y la empresa o institución que realizará la </w:t>
      </w:r>
      <w:r w:rsidRPr="00641AF3">
        <w:rPr>
          <w:rFonts w:ascii="Arial" w:hAnsi="Arial" w:cs="Arial"/>
          <w:sz w:val="23"/>
          <w:szCs w:val="23"/>
        </w:rPr>
        <w:lastRenderedPageBreak/>
        <w:t>destrucción, deberán plasmarse en un documento con el fin de garantizar el cumplimiento de los compromisos;</w:t>
      </w:r>
    </w:p>
    <w:p w14:paraId="51F9756D" w14:textId="2557DECA" w:rsidR="00E36BF3" w:rsidRPr="00641AF3" w:rsidRDefault="00E36BF3" w:rsidP="0090497F">
      <w:pPr>
        <w:pStyle w:val="Prrafodelista"/>
        <w:numPr>
          <w:ilvl w:val="0"/>
          <w:numId w:val="5"/>
        </w:numPr>
        <w:ind w:left="703" w:hanging="703"/>
        <w:contextualSpacing w:val="0"/>
        <w:rPr>
          <w:rFonts w:ascii="Arial" w:hAnsi="Arial" w:cs="Arial"/>
          <w:sz w:val="23"/>
          <w:szCs w:val="23"/>
        </w:rPr>
      </w:pPr>
      <w:r w:rsidRPr="00641AF3">
        <w:rPr>
          <w:rFonts w:ascii="Arial" w:hAnsi="Arial" w:cs="Arial"/>
          <w:sz w:val="23"/>
          <w:szCs w:val="23"/>
        </w:rPr>
        <w:t>Elaborar un calendario de actividades relativas a la preparación, traslado y destrucción de la documentación electoral del año correspondiente a la celebración de la jornada electoral, en formatos diseñados para tal fin;</w:t>
      </w:r>
    </w:p>
    <w:p w14:paraId="6A1ABF6C" w14:textId="2A5830D0" w:rsidR="00E36BF3" w:rsidRPr="00641AF3" w:rsidRDefault="00E36BF3" w:rsidP="0090497F">
      <w:pPr>
        <w:pStyle w:val="Prrafodelista"/>
        <w:numPr>
          <w:ilvl w:val="0"/>
          <w:numId w:val="5"/>
        </w:numPr>
        <w:ind w:left="703" w:hanging="703"/>
        <w:contextualSpacing w:val="0"/>
        <w:rPr>
          <w:rFonts w:ascii="Arial" w:hAnsi="Arial" w:cs="Arial"/>
          <w:sz w:val="23"/>
          <w:szCs w:val="23"/>
        </w:rPr>
      </w:pPr>
      <w:r w:rsidRPr="00641AF3">
        <w:rPr>
          <w:rFonts w:ascii="Arial" w:hAnsi="Arial" w:cs="Arial"/>
          <w:sz w:val="23"/>
          <w:szCs w:val="23"/>
        </w:rPr>
        <w:t>Coordinar con la empresa o institución seleccionada, el tipo de vehículos que proporcionará para el traslado de la documentación electoral o, en su caso, programar el uso de algunos vehículos propiedad del Instituto o del OPL, o en su caso, llevar a cabo la contratación del servicio de flete;</w:t>
      </w:r>
    </w:p>
    <w:p w14:paraId="1F2E707F" w14:textId="5BEB7040" w:rsidR="00E36BF3" w:rsidRPr="00641AF3" w:rsidRDefault="00E36BF3" w:rsidP="00780340">
      <w:pPr>
        <w:pStyle w:val="Prrafodelista"/>
        <w:numPr>
          <w:ilvl w:val="0"/>
          <w:numId w:val="5"/>
        </w:numPr>
        <w:ind w:left="703" w:hanging="703"/>
        <w:contextualSpacing w:val="0"/>
        <w:rPr>
          <w:rFonts w:ascii="Arial" w:hAnsi="Arial" w:cs="Arial"/>
          <w:sz w:val="23"/>
          <w:szCs w:val="23"/>
        </w:rPr>
      </w:pPr>
      <w:r w:rsidRPr="00641AF3">
        <w:rPr>
          <w:rFonts w:ascii="Arial" w:hAnsi="Arial" w:cs="Arial"/>
          <w:sz w:val="23"/>
          <w:szCs w:val="23"/>
        </w:rPr>
        <w:t>Adquirir los elementos necesarios para la preparación, traslado y destrucción de la documentación; y</w:t>
      </w:r>
    </w:p>
    <w:p w14:paraId="539E7EF1" w14:textId="34986AF3" w:rsidR="00E36BF3" w:rsidRPr="00641AF3" w:rsidRDefault="00E36BF3" w:rsidP="0090497F">
      <w:pPr>
        <w:pStyle w:val="Prrafodelista"/>
        <w:numPr>
          <w:ilvl w:val="0"/>
          <w:numId w:val="5"/>
        </w:numPr>
        <w:ind w:left="703" w:hanging="703"/>
        <w:contextualSpacing w:val="0"/>
        <w:rPr>
          <w:rFonts w:ascii="Arial" w:hAnsi="Arial" w:cs="Arial"/>
          <w:sz w:val="23"/>
          <w:szCs w:val="23"/>
        </w:rPr>
      </w:pPr>
      <w:r w:rsidRPr="00641AF3">
        <w:rPr>
          <w:rFonts w:ascii="Arial" w:hAnsi="Arial" w:cs="Arial"/>
          <w:sz w:val="23"/>
          <w:szCs w:val="23"/>
        </w:rPr>
        <w:t xml:space="preserve">Convocar con setenta y dos horas antes del inicio de la preparación de la documentación electoral para su destrucción, a las y los ciudadanos que fungieron como consejeros electorales en el ámbito que corresponda, a los representantes de partidos políticos y, en su caso, candidatos independientes. </w:t>
      </w:r>
    </w:p>
    <w:p w14:paraId="0278D658" w14:textId="77777777" w:rsidR="00E36BF3" w:rsidRPr="00641AF3" w:rsidRDefault="00E36BF3" w:rsidP="00E36BF3">
      <w:pPr>
        <w:rPr>
          <w:rFonts w:ascii="Arial" w:hAnsi="Arial" w:cs="Arial"/>
        </w:rPr>
      </w:pPr>
      <w:r w:rsidRPr="00641AF3">
        <w:rPr>
          <w:rFonts w:ascii="Arial" w:hAnsi="Arial" w:cs="Arial"/>
        </w:rPr>
        <w:t>Asimismo, como lo prevé el artículo 436 del Reglamento de Elecciones, se deberá levantar un acta circunstanciada en donde se asiente el procedimiento de apertura de la bodega; del estado físico en el que se encontraron los paquetes y de su preparación; el número resultante de cajas o bolsas con documentación; la hora de apertura y cierre de la bodega; la hora de salida del vehículo y llegada al domicilio de la empresa o institución que realizará la destrucción; la hora de inicio y término de la destrucción; y el nombre y firma de los funcionarios electorales, representantes de partidos políticos y, en su caso, de candidaturas independientes presentes durante estos actos.</w:t>
      </w:r>
    </w:p>
    <w:p w14:paraId="70C3ABEF" w14:textId="77777777" w:rsidR="00E36BF3" w:rsidRPr="00641AF3" w:rsidRDefault="00E36BF3" w:rsidP="00E36BF3">
      <w:pPr>
        <w:pStyle w:val="Ttulo2"/>
        <w:rPr>
          <w:rFonts w:ascii="Arial" w:hAnsi="Arial" w:cs="Arial"/>
          <w:sz w:val="23"/>
        </w:rPr>
      </w:pPr>
      <w:r w:rsidRPr="00641AF3">
        <w:rPr>
          <w:rFonts w:ascii="Arial" w:hAnsi="Arial" w:cs="Arial"/>
          <w:sz w:val="23"/>
        </w:rPr>
        <w:t>Procedimiento de destrucción de la documentación electoral</w:t>
      </w:r>
    </w:p>
    <w:p w14:paraId="1DA7D1FC" w14:textId="77777777" w:rsidR="00E36BF3" w:rsidRPr="00641AF3" w:rsidRDefault="00E36BF3" w:rsidP="00E36BF3">
      <w:pPr>
        <w:rPr>
          <w:rFonts w:ascii="Arial" w:hAnsi="Arial" w:cs="Arial"/>
        </w:rPr>
      </w:pPr>
      <w:r w:rsidRPr="00641AF3">
        <w:rPr>
          <w:rFonts w:ascii="Arial" w:hAnsi="Arial" w:cs="Arial"/>
        </w:rPr>
        <w:t>Que, de acuerdo con el anexo 16 del Reglamento de Elecciones para la destrucción de la documentación electoral a que hace referencia el artículo 435 del propio ordenamiento, se deberá realizar el siguiente procedimiento:</w:t>
      </w:r>
    </w:p>
    <w:p w14:paraId="4A2F7927" w14:textId="1D964009"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t xml:space="preserve">Iniciar la preparación de la documentación electoral a destruir, procediendo a ordenar la apertura de la bodega, misma que debe ser mostrada a quienes fungieron como consejeras o consejeros electorales, a las representaciones de </w:t>
      </w:r>
      <w:r w:rsidRPr="00641AF3">
        <w:rPr>
          <w:rFonts w:ascii="Arial" w:hAnsi="Arial" w:cs="Arial"/>
          <w:sz w:val="23"/>
          <w:szCs w:val="23"/>
        </w:rPr>
        <w:lastRenderedPageBreak/>
        <w:t>partidos políticos y, en su caso, de candidaturas independientes, en las pasadas elecciones, quienes podrán constatar el estado en que se encuentra la bodega y los paquetes electorales.</w:t>
      </w:r>
    </w:p>
    <w:p w14:paraId="1A47A762" w14:textId="6EFF44EF"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t>Realizar la preparación de la documentación electoral a destruir, dentro de las bodegas electorales, si el espacio lo permite, o en el área más próxima y adecuada. Solamente el personal autorizado podrá participar en este ejercicio. El trabajo a efectuar es el siguiente:</w:t>
      </w:r>
    </w:p>
    <w:p w14:paraId="49ED28C0" w14:textId="45C5EC06" w:rsidR="00E36BF3" w:rsidRPr="00641AF3" w:rsidRDefault="00E36BF3" w:rsidP="00780340">
      <w:pPr>
        <w:pStyle w:val="Prrafodelista"/>
        <w:numPr>
          <w:ilvl w:val="0"/>
          <w:numId w:val="6"/>
        </w:numPr>
        <w:ind w:left="1406" w:hanging="703"/>
        <w:contextualSpacing w:val="0"/>
        <w:rPr>
          <w:rFonts w:ascii="Arial" w:hAnsi="Arial" w:cs="Arial"/>
          <w:sz w:val="23"/>
          <w:szCs w:val="23"/>
        </w:rPr>
      </w:pPr>
      <w:r w:rsidRPr="00641AF3">
        <w:rPr>
          <w:rFonts w:ascii="Arial" w:hAnsi="Arial" w:cs="Arial"/>
          <w:sz w:val="23"/>
          <w:szCs w:val="23"/>
        </w:rPr>
        <w:t>Extraer de las cajas paquete electoral todas las boletas y el resto de la documentación autorizada a destruir; para ello, se deberá abrir en orden consecutivo cada caja paquete electoral, de conformidad con el número de sección y tipo de casilla. La documentación extraída se colocará en cajas de cartón o bolsas de plástico.</w:t>
      </w:r>
    </w:p>
    <w:p w14:paraId="2A4138E6" w14:textId="303F9E1A" w:rsidR="00E36BF3" w:rsidRPr="00641AF3" w:rsidRDefault="00E36BF3" w:rsidP="00780340">
      <w:pPr>
        <w:pStyle w:val="Prrafodelista"/>
        <w:numPr>
          <w:ilvl w:val="0"/>
          <w:numId w:val="6"/>
        </w:numPr>
        <w:ind w:left="1406" w:hanging="703"/>
        <w:contextualSpacing w:val="0"/>
        <w:rPr>
          <w:rFonts w:ascii="Arial" w:hAnsi="Arial" w:cs="Arial"/>
          <w:sz w:val="23"/>
          <w:szCs w:val="23"/>
        </w:rPr>
      </w:pPr>
      <w:r w:rsidRPr="00641AF3">
        <w:rPr>
          <w:rFonts w:ascii="Arial" w:hAnsi="Arial" w:cs="Arial"/>
          <w:sz w:val="23"/>
          <w:szCs w:val="23"/>
        </w:rPr>
        <w:t>Separar los artículos de oficina, así como los que no sean de papel, para desincorporarse de acuerdo a las disposiciones jurídicas existentes para el INE y los organismos electorales.</w:t>
      </w:r>
    </w:p>
    <w:p w14:paraId="23309FA8" w14:textId="118589D9" w:rsidR="00E36BF3" w:rsidRPr="00641AF3" w:rsidRDefault="00E36BF3" w:rsidP="00780340">
      <w:pPr>
        <w:pStyle w:val="Prrafodelista"/>
        <w:numPr>
          <w:ilvl w:val="0"/>
          <w:numId w:val="6"/>
        </w:numPr>
        <w:ind w:left="1406" w:hanging="703"/>
        <w:contextualSpacing w:val="0"/>
        <w:rPr>
          <w:rFonts w:ascii="Arial" w:hAnsi="Arial" w:cs="Arial"/>
          <w:sz w:val="23"/>
          <w:szCs w:val="23"/>
        </w:rPr>
      </w:pPr>
      <w:r w:rsidRPr="00641AF3">
        <w:rPr>
          <w:rFonts w:ascii="Arial" w:hAnsi="Arial" w:cs="Arial"/>
          <w:sz w:val="23"/>
          <w:szCs w:val="23"/>
        </w:rPr>
        <w:t>Extraer las boletas sobrantes inutilizadas durante el conteo, sellado y agrupamiento, así como el resto de la documentación electoral sobrante y colocar en cajas o bolsas.</w:t>
      </w:r>
    </w:p>
    <w:p w14:paraId="1B69AA2E" w14:textId="3E95C698" w:rsidR="00E36BF3" w:rsidRPr="00641AF3" w:rsidRDefault="00E36BF3" w:rsidP="00780340">
      <w:pPr>
        <w:pStyle w:val="Prrafodelista"/>
        <w:numPr>
          <w:ilvl w:val="0"/>
          <w:numId w:val="6"/>
        </w:numPr>
        <w:ind w:left="1406" w:hanging="703"/>
        <w:contextualSpacing w:val="0"/>
        <w:rPr>
          <w:rFonts w:ascii="Arial" w:hAnsi="Arial" w:cs="Arial"/>
          <w:sz w:val="23"/>
          <w:szCs w:val="23"/>
        </w:rPr>
      </w:pPr>
      <w:r w:rsidRPr="00641AF3">
        <w:rPr>
          <w:rFonts w:ascii="Arial" w:hAnsi="Arial" w:cs="Arial"/>
          <w:sz w:val="23"/>
          <w:szCs w:val="23"/>
        </w:rPr>
        <w:t>Conservar, en su caso, los documentos electorales que hayan sido seleccionados para la realización de los estudios que mandaten los Consejos Generales del INE o de los organismos electorales. Estos documentos se deberán separar del resto que será destruido. En este caso, se establecerá un área debidamente diferenciada, en donde se conservarán los paquetes de la muestra para estudios.</w:t>
      </w:r>
    </w:p>
    <w:p w14:paraId="3FB25864" w14:textId="68D418FA" w:rsidR="00E36BF3" w:rsidRPr="00641AF3" w:rsidRDefault="00E36BF3" w:rsidP="00780340">
      <w:pPr>
        <w:pStyle w:val="Prrafodelista"/>
        <w:numPr>
          <w:ilvl w:val="0"/>
          <w:numId w:val="6"/>
        </w:numPr>
        <w:ind w:left="1406" w:hanging="703"/>
        <w:contextualSpacing w:val="0"/>
        <w:rPr>
          <w:rFonts w:ascii="Arial" w:hAnsi="Arial" w:cs="Arial"/>
          <w:sz w:val="23"/>
          <w:szCs w:val="23"/>
        </w:rPr>
      </w:pPr>
      <w:r w:rsidRPr="00641AF3">
        <w:rPr>
          <w:rFonts w:ascii="Arial" w:hAnsi="Arial" w:cs="Arial"/>
          <w:sz w:val="23"/>
          <w:szCs w:val="23"/>
        </w:rPr>
        <w:t>Cerrar las cajas o bolsas que se vayan llenando con la documentación electoral y colocarlas dentro de la bodega electoral, llevando el control de esta operación.</w:t>
      </w:r>
    </w:p>
    <w:p w14:paraId="37F5B837" w14:textId="7FD0A09C" w:rsidR="00E36BF3" w:rsidRPr="00641AF3" w:rsidRDefault="00E36BF3" w:rsidP="00780340">
      <w:pPr>
        <w:pStyle w:val="Prrafodelista"/>
        <w:numPr>
          <w:ilvl w:val="0"/>
          <w:numId w:val="6"/>
        </w:numPr>
        <w:ind w:left="1406" w:hanging="703"/>
        <w:contextualSpacing w:val="0"/>
        <w:rPr>
          <w:rFonts w:ascii="Arial" w:hAnsi="Arial" w:cs="Arial"/>
          <w:sz w:val="23"/>
          <w:szCs w:val="23"/>
        </w:rPr>
      </w:pPr>
      <w:r w:rsidRPr="00641AF3">
        <w:rPr>
          <w:rFonts w:ascii="Arial" w:hAnsi="Arial" w:cs="Arial"/>
          <w:sz w:val="23"/>
          <w:szCs w:val="23"/>
        </w:rPr>
        <w:t>Cerrar la puerta de la bodega electoral en caso de que el traslado y destrucción de las boletas se realice en un día diferente, colocando nuevos sellos sobre ella, en donde firmarán los funcionarios y representantes presentes.</w:t>
      </w:r>
    </w:p>
    <w:p w14:paraId="68A8DF2F" w14:textId="54948A1E"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lastRenderedPageBreak/>
        <w:t xml:space="preserve">Cargar el vehículo con las cajas o bolsas que contienen la documentación a destruir, llevando el control estricto conforme se van sacando de la bodega y subiendo al vehículo. Una vez que se haya cargado la última caja, se cerrarán las puertas del vehículo y se colocarán sellos de papel donde firmarán la o el Vocal Ejecutivo Distrital en el caso del INE y del funcionario o funcionaria responsable en el caso de los organismos electorales, las y los exconsejeros electorales, las representaciones de los partidos políticos y, en su caso, de candidaturas independientes. Además, se deberá constatar por los presentes que no hayan quedado cajas o bolsas con documentación electoral programada para destrucción dentro de la bodega. </w:t>
      </w:r>
    </w:p>
    <w:p w14:paraId="3186F9AC" w14:textId="11450AAC"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t xml:space="preserve">Garantizar en todo momento la seguridad de las boletas electorales por parte de las o los vocales ejecutivos distritales o locales en el caso del INE, o del funcionario o funcionaria responsable en caso de los organismos electorales. </w:t>
      </w:r>
    </w:p>
    <w:p w14:paraId="22250F08" w14:textId="5B73BA1C"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t>Trasladar de manera inmediata la documentación a destruir una vez concluida la carga del vehículo.</w:t>
      </w:r>
    </w:p>
    <w:p w14:paraId="02BE6DB1" w14:textId="67E822C3"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t xml:space="preserve">Verificar por parte de los funcionarios del </w:t>
      </w:r>
      <w:r w:rsidR="00EE1A33" w:rsidRPr="00641AF3">
        <w:rPr>
          <w:rFonts w:ascii="Arial" w:hAnsi="Arial" w:cs="Arial"/>
          <w:sz w:val="23"/>
          <w:szCs w:val="23"/>
        </w:rPr>
        <w:t>INE</w:t>
      </w:r>
      <w:r w:rsidRPr="00641AF3">
        <w:rPr>
          <w:rFonts w:ascii="Arial" w:hAnsi="Arial" w:cs="Arial"/>
          <w:sz w:val="23"/>
          <w:szCs w:val="23"/>
        </w:rPr>
        <w:t xml:space="preserve"> o de los </w:t>
      </w:r>
      <w:r w:rsidR="00EE1A33" w:rsidRPr="00641AF3">
        <w:rPr>
          <w:rFonts w:ascii="Arial" w:hAnsi="Arial" w:cs="Arial"/>
          <w:sz w:val="23"/>
          <w:szCs w:val="23"/>
        </w:rPr>
        <w:t>organismos electorales</w:t>
      </w:r>
      <w:r w:rsidRPr="00641AF3">
        <w:rPr>
          <w:rFonts w:ascii="Arial" w:hAnsi="Arial" w:cs="Arial"/>
          <w:sz w:val="23"/>
          <w:szCs w:val="23"/>
        </w:rPr>
        <w:t xml:space="preserve">, así como de </w:t>
      </w:r>
      <w:r w:rsidR="00EE1A33" w:rsidRPr="00641AF3">
        <w:rPr>
          <w:rFonts w:ascii="Arial" w:hAnsi="Arial" w:cs="Arial"/>
          <w:sz w:val="23"/>
          <w:szCs w:val="23"/>
        </w:rPr>
        <w:t xml:space="preserve">las y </w:t>
      </w:r>
      <w:r w:rsidRPr="00641AF3">
        <w:rPr>
          <w:rFonts w:ascii="Arial" w:hAnsi="Arial" w:cs="Arial"/>
          <w:sz w:val="23"/>
          <w:szCs w:val="23"/>
        </w:rPr>
        <w:t>los consejer</w:t>
      </w:r>
      <w:r w:rsidR="00EE1A33" w:rsidRPr="00641AF3">
        <w:rPr>
          <w:rFonts w:ascii="Arial" w:hAnsi="Arial" w:cs="Arial"/>
          <w:sz w:val="23"/>
          <w:szCs w:val="23"/>
        </w:rPr>
        <w:t>os electorales, representaciones</w:t>
      </w:r>
      <w:r w:rsidRPr="00641AF3">
        <w:rPr>
          <w:rFonts w:ascii="Arial" w:hAnsi="Arial" w:cs="Arial"/>
          <w:sz w:val="23"/>
          <w:szCs w:val="23"/>
        </w:rPr>
        <w:t xml:space="preserve"> de partidos polít</w:t>
      </w:r>
      <w:r w:rsidR="00EE1A33" w:rsidRPr="00641AF3">
        <w:rPr>
          <w:rFonts w:ascii="Arial" w:hAnsi="Arial" w:cs="Arial"/>
          <w:sz w:val="23"/>
          <w:szCs w:val="23"/>
        </w:rPr>
        <w:t>icos y, en su caso, de candidatura</w:t>
      </w:r>
      <w:r w:rsidRPr="00641AF3">
        <w:rPr>
          <w:rFonts w:ascii="Arial" w:hAnsi="Arial" w:cs="Arial"/>
          <w:sz w:val="23"/>
          <w:szCs w:val="23"/>
        </w:rPr>
        <w:t>s independientes presentes, la destrucción de la documentación electoral.</w:t>
      </w:r>
    </w:p>
    <w:p w14:paraId="5E82D339" w14:textId="48C68A82" w:rsidR="00E36BF3" w:rsidRPr="00641AF3" w:rsidRDefault="00E36BF3" w:rsidP="00780340">
      <w:pPr>
        <w:pStyle w:val="Prrafodelista"/>
        <w:numPr>
          <w:ilvl w:val="1"/>
          <w:numId w:val="5"/>
        </w:numPr>
        <w:ind w:left="703" w:hanging="703"/>
        <w:contextualSpacing w:val="0"/>
        <w:rPr>
          <w:rFonts w:ascii="Arial" w:hAnsi="Arial" w:cs="Arial"/>
          <w:sz w:val="23"/>
          <w:szCs w:val="23"/>
        </w:rPr>
      </w:pPr>
      <w:r w:rsidRPr="00641AF3">
        <w:rPr>
          <w:rFonts w:ascii="Arial" w:hAnsi="Arial" w:cs="Arial"/>
          <w:sz w:val="23"/>
          <w:szCs w:val="23"/>
        </w:rPr>
        <w:t>Registrar los avances de la actividad en los form</w:t>
      </w:r>
      <w:r w:rsidR="00EE1A33" w:rsidRPr="00641AF3">
        <w:rPr>
          <w:rFonts w:ascii="Arial" w:hAnsi="Arial" w:cs="Arial"/>
          <w:sz w:val="23"/>
          <w:szCs w:val="23"/>
        </w:rPr>
        <w:t>atos diseñados para tal efecto.</w:t>
      </w:r>
    </w:p>
    <w:p w14:paraId="5BEE2D31" w14:textId="77777777" w:rsidR="00EE1A33" w:rsidRPr="00641AF3" w:rsidRDefault="00E36BF3" w:rsidP="00EE1A33">
      <w:pPr>
        <w:pStyle w:val="Ttulo2"/>
        <w:rPr>
          <w:rFonts w:ascii="Arial" w:hAnsi="Arial" w:cs="Arial"/>
          <w:sz w:val="23"/>
        </w:rPr>
      </w:pPr>
      <w:r w:rsidRPr="00641AF3">
        <w:rPr>
          <w:rFonts w:ascii="Arial" w:hAnsi="Arial" w:cs="Arial"/>
          <w:sz w:val="23"/>
        </w:rPr>
        <w:t>Actos posteriores a la destrucción de la documentación electoral</w:t>
      </w:r>
    </w:p>
    <w:p w14:paraId="5B488877" w14:textId="77777777" w:rsidR="00E36BF3" w:rsidRPr="00641AF3" w:rsidRDefault="00E36BF3" w:rsidP="00E36BF3">
      <w:pPr>
        <w:rPr>
          <w:rFonts w:ascii="Arial" w:hAnsi="Arial" w:cs="Arial"/>
        </w:rPr>
      </w:pPr>
      <w:r w:rsidRPr="00641AF3">
        <w:rPr>
          <w:rFonts w:ascii="Arial" w:hAnsi="Arial" w:cs="Arial"/>
        </w:rPr>
        <w:t>Que, el artículo 437 del Reglamento de Elecciones establece que, de forma posterior a la destrucción, el personal del organismo electoral designado deberá llevar a cabo las siguientes acciones:</w:t>
      </w:r>
    </w:p>
    <w:p w14:paraId="08A82B01" w14:textId="095782ED" w:rsidR="00E36BF3" w:rsidRPr="00641AF3" w:rsidRDefault="00E36BF3" w:rsidP="001615D4">
      <w:pPr>
        <w:pStyle w:val="Prrafodelista"/>
        <w:numPr>
          <w:ilvl w:val="0"/>
          <w:numId w:val="7"/>
        </w:numPr>
        <w:ind w:left="703" w:hanging="703"/>
        <w:contextualSpacing w:val="0"/>
        <w:rPr>
          <w:rFonts w:ascii="Arial" w:hAnsi="Arial" w:cs="Arial"/>
          <w:sz w:val="23"/>
          <w:szCs w:val="23"/>
        </w:rPr>
      </w:pPr>
      <w:r w:rsidRPr="00641AF3">
        <w:rPr>
          <w:rFonts w:ascii="Arial" w:hAnsi="Arial" w:cs="Arial"/>
          <w:sz w:val="23"/>
          <w:szCs w:val="23"/>
        </w:rPr>
        <w:t>Solicitar a la empresa o institución qu</w:t>
      </w:r>
      <w:r w:rsidR="00B27DDE" w:rsidRPr="00641AF3">
        <w:rPr>
          <w:rFonts w:ascii="Arial" w:hAnsi="Arial" w:cs="Arial"/>
          <w:sz w:val="23"/>
          <w:szCs w:val="23"/>
        </w:rPr>
        <w:t>e destruye el papel, que expida</w:t>
      </w:r>
      <w:r w:rsidRPr="00641AF3">
        <w:rPr>
          <w:rFonts w:ascii="Arial" w:hAnsi="Arial" w:cs="Arial"/>
          <w:sz w:val="23"/>
          <w:szCs w:val="23"/>
        </w:rPr>
        <w:t xml:space="preserve"> al </w:t>
      </w:r>
      <w:r w:rsidR="00B27DDE" w:rsidRPr="00641AF3">
        <w:rPr>
          <w:rFonts w:ascii="Arial" w:hAnsi="Arial" w:cs="Arial"/>
          <w:sz w:val="23"/>
          <w:szCs w:val="23"/>
        </w:rPr>
        <w:t xml:space="preserve">INE </w:t>
      </w:r>
      <w:r w:rsidRPr="00641AF3">
        <w:rPr>
          <w:rFonts w:ascii="Arial" w:hAnsi="Arial" w:cs="Arial"/>
          <w:sz w:val="23"/>
          <w:szCs w:val="23"/>
        </w:rPr>
        <w:t xml:space="preserve">o al </w:t>
      </w:r>
      <w:r w:rsidR="00B27DDE" w:rsidRPr="00641AF3">
        <w:rPr>
          <w:rFonts w:ascii="Arial" w:hAnsi="Arial" w:cs="Arial"/>
          <w:sz w:val="23"/>
          <w:szCs w:val="23"/>
        </w:rPr>
        <w:t xml:space="preserve">organismo electoral </w:t>
      </w:r>
      <w:r w:rsidRPr="00641AF3">
        <w:rPr>
          <w:rFonts w:ascii="Arial" w:hAnsi="Arial" w:cs="Arial"/>
          <w:sz w:val="23"/>
          <w:szCs w:val="23"/>
        </w:rPr>
        <w:t xml:space="preserve">una constancia en la que manifiesten la cantidad de papel recibido y el destino que le dieron o darán al mismo, el cual en todos los casos deberá de ser para reciclamiento; </w:t>
      </w:r>
    </w:p>
    <w:p w14:paraId="36867CD0" w14:textId="46D27042" w:rsidR="00E36BF3" w:rsidRPr="00641AF3" w:rsidRDefault="00E36BF3" w:rsidP="001615D4">
      <w:pPr>
        <w:pStyle w:val="Prrafodelista"/>
        <w:numPr>
          <w:ilvl w:val="0"/>
          <w:numId w:val="7"/>
        </w:numPr>
        <w:ind w:left="703" w:hanging="703"/>
        <w:contextualSpacing w:val="0"/>
        <w:rPr>
          <w:rFonts w:ascii="Arial" w:hAnsi="Arial" w:cs="Arial"/>
          <w:sz w:val="23"/>
          <w:szCs w:val="23"/>
        </w:rPr>
      </w:pPr>
      <w:r w:rsidRPr="00641AF3">
        <w:rPr>
          <w:rFonts w:ascii="Arial" w:hAnsi="Arial" w:cs="Arial"/>
          <w:sz w:val="23"/>
          <w:szCs w:val="23"/>
        </w:rPr>
        <w:t xml:space="preserve">Elaborar un informe pormenorizado de las actividades llevadas a cabo en su ámbito de competencia, que incluya: fechas y horarios de las diferentes actividades de </w:t>
      </w:r>
      <w:r w:rsidRPr="00641AF3">
        <w:rPr>
          <w:rFonts w:ascii="Arial" w:hAnsi="Arial" w:cs="Arial"/>
          <w:sz w:val="23"/>
          <w:szCs w:val="23"/>
        </w:rPr>
        <w:lastRenderedPageBreak/>
        <w:t>preparación, traslado y destrucción de la documentación electoral del año correspondiente a la celebración de la jornada electoral; descripción de las actividades llevadas a cabo; nombre y cargo de funcionarios</w:t>
      </w:r>
      <w:r w:rsidR="00B27DDE" w:rsidRPr="00641AF3">
        <w:rPr>
          <w:rFonts w:ascii="Arial" w:hAnsi="Arial" w:cs="Arial"/>
          <w:sz w:val="23"/>
          <w:szCs w:val="23"/>
        </w:rPr>
        <w:t xml:space="preserve"> o funcionarias</w:t>
      </w:r>
      <w:r w:rsidRPr="00641AF3">
        <w:rPr>
          <w:rFonts w:ascii="Arial" w:hAnsi="Arial" w:cs="Arial"/>
          <w:sz w:val="23"/>
          <w:szCs w:val="23"/>
        </w:rPr>
        <w:t xml:space="preserve">, ex consejeros </w:t>
      </w:r>
      <w:r w:rsidR="00B27DDE" w:rsidRPr="00641AF3">
        <w:rPr>
          <w:rFonts w:ascii="Arial" w:hAnsi="Arial" w:cs="Arial"/>
          <w:sz w:val="23"/>
          <w:szCs w:val="23"/>
        </w:rPr>
        <w:t xml:space="preserve">o consejeras </w:t>
      </w:r>
      <w:r w:rsidRPr="00641AF3">
        <w:rPr>
          <w:rFonts w:ascii="Arial" w:hAnsi="Arial" w:cs="Arial"/>
          <w:sz w:val="23"/>
          <w:szCs w:val="23"/>
        </w:rPr>
        <w:t xml:space="preserve">electorales, </w:t>
      </w:r>
      <w:r w:rsidR="00B27DDE" w:rsidRPr="00641AF3">
        <w:rPr>
          <w:rFonts w:ascii="Arial" w:hAnsi="Arial" w:cs="Arial"/>
          <w:sz w:val="23"/>
          <w:szCs w:val="23"/>
        </w:rPr>
        <w:t xml:space="preserve">representaciones </w:t>
      </w:r>
      <w:r w:rsidRPr="00641AF3">
        <w:rPr>
          <w:rFonts w:ascii="Arial" w:hAnsi="Arial" w:cs="Arial"/>
          <w:sz w:val="23"/>
          <w:szCs w:val="23"/>
        </w:rPr>
        <w:t>de partidos polít</w:t>
      </w:r>
      <w:r w:rsidR="00B27DDE" w:rsidRPr="00641AF3">
        <w:rPr>
          <w:rFonts w:ascii="Arial" w:hAnsi="Arial" w:cs="Arial"/>
          <w:sz w:val="23"/>
          <w:szCs w:val="23"/>
        </w:rPr>
        <w:t>icos y en su caso, de candidaturas</w:t>
      </w:r>
      <w:r w:rsidRPr="00641AF3">
        <w:rPr>
          <w:rFonts w:ascii="Arial" w:hAnsi="Arial" w:cs="Arial"/>
          <w:sz w:val="23"/>
          <w:szCs w:val="23"/>
        </w:rPr>
        <w:t xml:space="preserve"> independientes asistentes a las diferentes actividades; razón social y dirección de la empresa encargada de la destrucción y procedimiento utilizado; recursos económicos recibidos y aplicados, así como los ahorros generados, en su caso; y recursos obtenidos por el reciclamiento del papel, en su caso, y</w:t>
      </w:r>
    </w:p>
    <w:p w14:paraId="606EFAEC" w14:textId="2238B5B6" w:rsidR="00E36BF3" w:rsidRPr="00641AF3" w:rsidRDefault="00E36BF3" w:rsidP="001615D4">
      <w:pPr>
        <w:pStyle w:val="Prrafodelista"/>
        <w:numPr>
          <w:ilvl w:val="0"/>
          <w:numId w:val="7"/>
        </w:numPr>
        <w:ind w:left="703" w:hanging="703"/>
        <w:contextualSpacing w:val="0"/>
        <w:rPr>
          <w:rFonts w:ascii="Arial" w:hAnsi="Arial" w:cs="Arial"/>
          <w:sz w:val="23"/>
          <w:szCs w:val="23"/>
        </w:rPr>
      </w:pPr>
      <w:r w:rsidRPr="00641AF3">
        <w:rPr>
          <w:rFonts w:ascii="Arial" w:hAnsi="Arial" w:cs="Arial"/>
          <w:sz w:val="23"/>
          <w:szCs w:val="23"/>
        </w:rPr>
        <w:t xml:space="preserve">Colocar las actas circunstanciadas en la página de internet del </w:t>
      </w:r>
      <w:r w:rsidR="00B27DDE" w:rsidRPr="00641AF3">
        <w:rPr>
          <w:rFonts w:ascii="Arial" w:hAnsi="Arial" w:cs="Arial"/>
          <w:sz w:val="23"/>
          <w:szCs w:val="23"/>
        </w:rPr>
        <w:t>INE</w:t>
      </w:r>
      <w:r w:rsidRPr="00641AF3">
        <w:rPr>
          <w:rFonts w:ascii="Arial" w:hAnsi="Arial" w:cs="Arial"/>
          <w:sz w:val="23"/>
          <w:szCs w:val="23"/>
        </w:rPr>
        <w:t xml:space="preserve"> o del </w:t>
      </w:r>
      <w:r w:rsidR="00B27DDE" w:rsidRPr="00641AF3">
        <w:rPr>
          <w:rFonts w:ascii="Arial" w:hAnsi="Arial" w:cs="Arial"/>
          <w:sz w:val="23"/>
          <w:szCs w:val="23"/>
        </w:rPr>
        <w:t>organismo electoral</w:t>
      </w:r>
      <w:r w:rsidRPr="00641AF3">
        <w:rPr>
          <w:rFonts w:ascii="Arial" w:hAnsi="Arial" w:cs="Arial"/>
          <w:sz w:val="23"/>
          <w:szCs w:val="23"/>
        </w:rPr>
        <w:t>, una vez que sea presentado el informe de la destrucción al Consejo General u Órgano Superi</w:t>
      </w:r>
      <w:r w:rsidR="00B27DDE" w:rsidRPr="00641AF3">
        <w:rPr>
          <w:rFonts w:ascii="Arial" w:hAnsi="Arial" w:cs="Arial"/>
          <w:sz w:val="23"/>
          <w:szCs w:val="23"/>
        </w:rPr>
        <w:t>or de Dirección correspondiente</w:t>
      </w:r>
      <w:r w:rsidRPr="00641AF3">
        <w:rPr>
          <w:rFonts w:ascii="Arial" w:hAnsi="Arial" w:cs="Arial"/>
          <w:sz w:val="23"/>
          <w:szCs w:val="23"/>
        </w:rPr>
        <w:t>.</w:t>
      </w:r>
    </w:p>
    <w:p w14:paraId="1C9D14E4" w14:textId="77777777" w:rsidR="00B27DDE" w:rsidRPr="00641AF3" w:rsidRDefault="00E36BF3" w:rsidP="00B27DDE">
      <w:pPr>
        <w:pStyle w:val="Ttulo2"/>
        <w:rPr>
          <w:rFonts w:ascii="Arial" w:hAnsi="Arial" w:cs="Arial"/>
          <w:sz w:val="23"/>
        </w:rPr>
      </w:pPr>
      <w:r w:rsidRPr="00641AF3">
        <w:rPr>
          <w:rFonts w:ascii="Arial" w:hAnsi="Arial" w:cs="Arial"/>
          <w:sz w:val="23"/>
        </w:rPr>
        <w:t>Causas de excepción</w:t>
      </w:r>
    </w:p>
    <w:p w14:paraId="51372A8C" w14:textId="77777777" w:rsidR="00E36BF3" w:rsidRPr="00641AF3" w:rsidRDefault="00E36BF3" w:rsidP="00E36BF3">
      <w:pPr>
        <w:rPr>
          <w:rFonts w:ascii="Arial" w:hAnsi="Arial" w:cs="Arial"/>
        </w:rPr>
      </w:pPr>
      <w:r w:rsidRPr="00641AF3">
        <w:rPr>
          <w:rFonts w:ascii="Arial" w:hAnsi="Arial" w:cs="Arial"/>
        </w:rPr>
        <w:t>Que, el artículo 440 del Reglamento de Elecciones, refiere que, la destrucción de la documentación electoral federal se ajustará, además, a lo establecido en su Anexo 16 y con el empleo de los formatos contenidos en el Anexo 16.1.</w:t>
      </w:r>
    </w:p>
    <w:p w14:paraId="4C680DC8" w14:textId="77777777" w:rsidR="00E36BF3" w:rsidRPr="00641AF3" w:rsidRDefault="00E36BF3" w:rsidP="00E36BF3">
      <w:pPr>
        <w:rPr>
          <w:rFonts w:ascii="Arial" w:hAnsi="Arial" w:cs="Arial"/>
        </w:rPr>
      </w:pPr>
      <w:r w:rsidRPr="00641AF3">
        <w:rPr>
          <w:rFonts w:ascii="Arial" w:hAnsi="Arial" w:cs="Arial"/>
        </w:rPr>
        <w:t xml:space="preserve">Además, refiere que, no deberán destruirse las boletas electorales ni la documentación que se encuentre bajo los supuestos siguientes: </w:t>
      </w:r>
    </w:p>
    <w:p w14:paraId="4EE59217" w14:textId="36A0C59D" w:rsidR="00E36BF3" w:rsidRPr="00641AF3" w:rsidRDefault="00E36BF3" w:rsidP="00110DD2">
      <w:pPr>
        <w:pStyle w:val="Prrafodelista"/>
        <w:numPr>
          <w:ilvl w:val="0"/>
          <w:numId w:val="9"/>
        </w:numPr>
        <w:ind w:left="703" w:hanging="703"/>
        <w:contextualSpacing w:val="0"/>
        <w:rPr>
          <w:rFonts w:ascii="Arial" w:hAnsi="Arial" w:cs="Arial"/>
          <w:sz w:val="23"/>
          <w:szCs w:val="23"/>
        </w:rPr>
      </w:pPr>
      <w:r w:rsidRPr="00641AF3">
        <w:rPr>
          <w:rFonts w:ascii="Arial" w:hAnsi="Arial" w:cs="Arial"/>
          <w:sz w:val="23"/>
          <w:szCs w:val="23"/>
        </w:rPr>
        <w:t xml:space="preserve">Que sean objeto de los diversos estudios que realice el </w:t>
      </w:r>
      <w:r w:rsidR="00B27DDE" w:rsidRPr="00641AF3">
        <w:rPr>
          <w:rFonts w:ascii="Arial" w:hAnsi="Arial" w:cs="Arial"/>
          <w:sz w:val="23"/>
          <w:szCs w:val="23"/>
        </w:rPr>
        <w:t>INE</w:t>
      </w:r>
      <w:r w:rsidRPr="00641AF3">
        <w:rPr>
          <w:rFonts w:ascii="Arial" w:hAnsi="Arial" w:cs="Arial"/>
          <w:sz w:val="23"/>
          <w:szCs w:val="23"/>
        </w:rPr>
        <w:t xml:space="preserve"> o el </w:t>
      </w:r>
      <w:r w:rsidR="00B27DDE" w:rsidRPr="00641AF3">
        <w:rPr>
          <w:rFonts w:ascii="Arial" w:hAnsi="Arial" w:cs="Arial"/>
          <w:sz w:val="23"/>
          <w:szCs w:val="23"/>
        </w:rPr>
        <w:t xml:space="preserve">organismo electoral </w:t>
      </w:r>
      <w:r w:rsidRPr="00641AF3">
        <w:rPr>
          <w:rFonts w:ascii="Arial" w:hAnsi="Arial" w:cs="Arial"/>
          <w:sz w:val="23"/>
          <w:szCs w:val="23"/>
        </w:rPr>
        <w:t>respectivo, hasta en tanto concluyan los mismos, o bien,</w:t>
      </w:r>
    </w:p>
    <w:p w14:paraId="58224D6D" w14:textId="6D0F064C" w:rsidR="00E36BF3" w:rsidRPr="00641AF3" w:rsidRDefault="00E36BF3" w:rsidP="00110DD2">
      <w:pPr>
        <w:pStyle w:val="Prrafodelista"/>
        <w:numPr>
          <w:ilvl w:val="0"/>
          <w:numId w:val="9"/>
        </w:numPr>
        <w:ind w:left="703" w:hanging="703"/>
        <w:contextualSpacing w:val="0"/>
        <w:rPr>
          <w:rFonts w:ascii="Arial" w:hAnsi="Arial" w:cs="Arial"/>
          <w:sz w:val="23"/>
          <w:szCs w:val="23"/>
        </w:rPr>
      </w:pPr>
      <w:r w:rsidRPr="00641AF3">
        <w:rPr>
          <w:rFonts w:ascii="Arial" w:hAnsi="Arial" w:cs="Arial"/>
          <w:sz w:val="23"/>
          <w:szCs w:val="23"/>
        </w:rPr>
        <w:t>Que hayan sido requeridas y formen parte de alguna averiguación de la Fiscalía Especializada para la Atención de Delitos Electorales o la instancia homóloga en las entidades federativas, hasta la conclusión de la respecti</w:t>
      </w:r>
      <w:r w:rsidR="00B27DDE" w:rsidRPr="00641AF3">
        <w:rPr>
          <w:rFonts w:ascii="Arial" w:hAnsi="Arial" w:cs="Arial"/>
          <w:sz w:val="23"/>
          <w:szCs w:val="23"/>
        </w:rPr>
        <w:t>va averiguación o investigación</w:t>
      </w:r>
      <w:r w:rsidRPr="00641AF3">
        <w:rPr>
          <w:rFonts w:ascii="Arial" w:hAnsi="Arial" w:cs="Arial"/>
          <w:sz w:val="23"/>
          <w:szCs w:val="23"/>
        </w:rPr>
        <w:t>.</w:t>
      </w:r>
    </w:p>
    <w:p w14:paraId="37013CF8" w14:textId="0C0CC888" w:rsidR="00E36BF3" w:rsidRPr="00641AF3" w:rsidRDefault="00E36BF3" w:rsidP="00E36BF3">
      <w:pPr>
        <w:rPr>
          <w:rFonts w:ascii="Arial" w:hAnsi="Arial" w:cs="Arial"/>
        </w:rPr>
      </w:pPr>
      <w:r w:rsidRPr="00641AF3">
        <w:rPr>
          <w:rFonts w:ascii="Arial" w:hAnsi="Arial" w:cs="Arial"/>
        </w:rPr>
        <w:t>Finalmente, de acuerdo con el artículo mencionado, la destrucción de la documentación electoral en los organismos electorales, se realizará conforme a los lineamientos que para tal efecto apruebe el Órgano Superior de Dirección correspondiente, pudiendo en todo momento tomar como guía el anexo a que alude el artículo 440 del Reglamento de Elecciones.</w:t>
      </w:r>
    </w:p>
    <w:p w14:paraId="6175D35C" w14:textId="2036E39D" w:rsidR="00817F52" w:rsidRPr="00641AF3" w:rsidRDefault="00817F52" w:rsidP="00817F52">
      <w:pPr>
        <w:pStyle w:val="Ttulo2"/>
        <w:rPr>
          <w:rFonts w:ascii="Arial" w:hAnsi="Arial" w:cs="Arial"/>
          <w:sz w:val="23"/>
        </w:rPr>
      </w:pPr>
      <w:r w:rsidRPr="00641AF3">
        <w:rPr>
          <w:rFonts w:ascii="Arial" w:hAnsi="Arial" w:cs="Arial"/>
          <w:sz w:val="23"/>
        </w:rPr>
        <w:lastRenderedPageBreak/>
        <w:t>Propuesta de Lineamientos</w:t>
      </w:r>
    </w:p>
    <w:p w14:paraId="2E107B97" w14:textId="2FF5760E" w:rsidR="00817F52" w:rsidRPr="00641AF3" w:rsidRDefault="00817F52" w:rsidP="00817F52">
      <w:pPr>
        <w:rPr>
          <w:rFonts w:ascii="Arial" w:hAnsi="Arial" w:cs="Arial"/>
        </w:rPr>
      </w:pPr>
      <w:r w:rsidRPr="00641AF3">
        <w:rPr>
          <w:rFonts w:ascii="Arial" w:hAnsi="Arial" w:cs="Arial"/>
        </w:rPr>
        <w:t>Que, conforme a las disposiciones mencionadas,</w:t>
      </w:r>
      <w:r w:rsidR="0094765E">
        <w:rPr>
          <w:rFonts w:ascii="Arial" w:hAnsi="Arial" w:cs="Arial"/>
        </w:rPr>
        <w:t xml:space="preserve"> las Consejerías Electorales que integran la Comisión de Organización Electoral y Educación Cívica en colaboración con</w:t>
      </w:r>
      <w:r w:rsidRPr="00641AF3">
        <w:rPr>
          <w:rFonts w:ascii="Arial" w:hAnsi="Arial" w:cs="Arial"/>
        </w:rPr>
        <w:t xml:space="preserve"> la Dirección de Organización Electoral y Educación Cívica presentó a este Consejo Estatal, los Lineamientos para la destrucción y reciclado bajo procedimiento ecológico de la documentación y boletas electorales de los Procesos Electorales Locales, los cuales tienen como propósito regular la destrucción y reciclado de la documentación y boletas electorales utilizadas en las contiendas electorales concluidas.</w:t>
      </w:r>
    </w:p>
    <w:p w14:paraId="385C5B00" w14:textId="4470972B" w:rsidR="00817F52" w:rsidRPr="00641AF3" w:rsidRDefault="00817F52" w:rsidP="00114F7C">
      <w:pPr>
        <w:rPr>
          <w:rFonts w:ascii="Arial" w:hAnsi="Arial" w:cs="Arial"/>
        </w:rPr>
      </w:pPr>
      <w:r w:rsidRPr="00641AF3">
        <w:rPr>
          <w:rFonts w:ascii="Arial" w:hAnsi="Arial" w:cs="Arial"/>
        </w:rPr>
        <w:t xml:space="preserve">Los Lineamientos consideran la realización de un procedimiento de destrucción </w:t>
      </w:r>
      <w:r w:rsidR="00114F7C" w:rsidRPr="00641AF3">
        <w:rPr>
          <w:rFonts w:ascii="Arial" w:hAnsi="Arial" w:cs="Arial"/>
        </w:rPr>
        <w:t>mediante la implementación de prácticas ecológica</w:t>
      </w:r>
      <w:r w:rsidRPr="00641AF3">
        <w:rPr>
          <w:rFonts w:ascii="Arial" w:hAnsi="Arial" w:cs="Arial"/>
        </w:rPr>
        <w:t>s que permitan el reciclaje del material utilizado en la documentación electoral</w:t>
      </w:r>
      <w:r w:rsidR="00114F7C" w:rsidRPr="00641AF3">
        <w:rPr>
          <w:rFonts w:ascii="Arial" w:hAnsi="Arial" w:cs="Arial"/>
        </w:rPr>
        <w:t xml:space="preserve"> y con ello contribuir a la protección del </w:t>
      </w:r>
      <w:r w:rsidRPr="00641AF3">
        <w:rPr>
          <w:rFonts w:ascii="Arial" w:hAnsi="Arial" w:cs="Arial"/>
        </w:rPr>
        <w:t>medio ambiente.</w:t>
      </w:r>
    </w:p>
    <w:p w14:paraId="521DA16B" w14:textId="42DC08ED" w:rsidR="00E94D57" w:rsidRPr="00641AF3" w:rsidRDefault="00E94D57" w:rsidP="0094765E">
      <w:pPr>
        <w:spacing w:before="0" w:after="0"/>
        <w:rPr>
          <w:rFonts w:ascii="Arial" w:hAnsi="Arial" w:cs="Arial"/>
        </w:rPr>
      </w:pPr>
      <w:r w:rsidRPr="00641AF3">
        <w:rPr>
          <w:rFonts w:ascii="Arial" w:hAnsi="Arial" w:cs="Arial"/>
        </w:rPr>
        <w:t xml:space="preserve">A partir de la aplicación de los Lineamientos, resulta viable que este Consejo Estatal determine la destrucción de la documentación y boletas electorales utilizadas en aquellos procesos electorales concluidos, siempre y cuando dicha documentación cumpla con los requisitos establecidos en dicho ordenamiento; es decir, no sean motivo de estudio, esté vinculada con procedimientos administrativos o de investigación por parte de </w:t>
      </w:r>
      <w:r w:rsidR="00892D31" w:rsidRPr="00641AF3">
        <w:rPr>
          <w:rFonts w:ascii="Arial" w:hAnsi="Arial" w:cs="Arial"/>
        </w:rPr>
        <w:t>alguna autoridad</w:t>
      </w:r>
      <w:r w:rsidR="00FF3B8C" w:rsidRPr="00641AF3">
        <w:rPr>
          <w:rFonts w:ascii="Arial" w:hAnsi="Arial" w:cs="Arial"/>
        </w:rPr>
        <w:t>, en cuyo caso la documentación será</w:t>
      </w:r>
      <w:r w:rsidRPr="00641AF3">
        <w:rPr>
          <w:rFonts w:ascii="Arial" w:hAnsi="Arial" w:cs="Arial"/>
        </w:rPr>
        <w:t xml:space="preserve"> preservadas hasta en tanto concluya el motivo o la causa y así lo determine la </w:t>
      </w:r>
      <w:r w:rsidR="00FF3B8C" w:rsidRPr="00641AF3">
        <w:rPr>
          <w:rFonts w:ascii="Arial" w:hAnsi="Arial" w:cs="Arial"/>
        </w:rPr>
        <w:t xml:space="preserve">propia </w:t>
      </w:r>
      <w:r w:rsidRPr="00641AF3">
        <w:rPr>
          <w:rFonts w:ascii="Arial" w:hAnsi="Arial" w:cs="Arial"/>
        </w:rPr>
        <w:t xml:space="preserve">autoridad </w:t>
      </w:r>
      <w:r w:rsidR="00FF3B8C" w:rsidRPr="00641AF3">
        <w:rPr>
          <w:rFonts w:ascii="Arial" w:hAnsi="Arial" w:cs="Arial"/>
        </w:rPr>
        <w:t>competente</w:t>
      </w:r>
      <w:r w:rsidRPr="00641AF3">
        <w:rPr>
          <w:rFonts w:ascii="Arial" w:hAnsi="Arial" w:cs="Arial"/>
        </w:rPr>
        <w:t>.</w:t>
      </w:r>
    </w:p>
    <w:p w14:paraId="458CBEED" w14:textId="4C5E8C16" w:rsidR="00C841C8" w:rsidRDefault="00D33D4B" w:rsidP="0094765E">
      <w:pPr>
        <w:spacing w:before="0" w:after="0"/>
        <w:rPr>
          <w:rFonts w:ascii="Arial" w:hAnsi="Arial" w:cs="Arial"/>
        </w:rPr>
      </w:pPr>
      <w:r w:rsidRPr="00641AF3">
        <w:rPr>
          <w:rFonts w:ascii="Arial" w:hAnsi="Arial" w:cs="Arial"/>
        </w:rPr>
        <w:t>Sobre la base de las consideraciones señaladas, este Consejo Estatal emite el siguiente:</w:t>
      </w:r>
    </w:p>
    <w:p w14:paraId="6230F58B" w14:textId="77777777" w:rsidR="0094765E" w:rsidRDefault="0094765E" w:rsidP="0094765E">
      <w:pPr>
        <w:spacing w:before="0" w:after="0"/>
        <w:rPr>
          <w:rFonts w:ascii="Arial" w:hAnsi="Arial" w:cs="Arial"/>
        </w:rPr>
      </w:pPr>
    </w:p>
    <w:p w14:paraId="62686AF7" w14:textId="455FCB0C" w:rsidR="0094765E" w:rsidRDefault="0094765E" w:rsidP="0094765E">
      <w:pPr>
        <w:spacing w:before="0" w:after="0"/>
        <w:rPr>
          <w:rFonts w:ascii="Arial" w:hAnsi="Arial" w:cs="Arial"/>
        </w:rPr>
      </w:pPr>
    </w:p>
    <w:p w14:paraId="06FD70D1" w14:textId="77777777" w:rsidR="0094765E" w:rsidRDefault="0094765E" w:rsidP="0094765E">
      <w:pPr>
        <w:spacing w:before="0" w:after="0"/>
        <w:rPr>
          <w:rFonts w:ascii="Arial" w:hAnsi="Arial" w:cs="Arial"/>
        </w:rPr>
      </w:pPr>
    </w:p>
    <w:p w14:paraId="438552DA" w14:textId="000D5526" w:rsidR="00D33D4B" w:rsidRDefault="00D33D4B" w:rsidP="0094765E">
      <w:pPr>
        <w:pStyle w:val="Ttulo1"/>
        <w:spacing w:before="0" w:after="0"/>
        <w:rPr>
          <w:rFonts w:ascii="Arial" w:hAnsi="Arial" w:cs="Arial"/>
          <w:sz w:val="23"/>
        </w:rPr>
      </w:pPr>
      <w:r w:rsidRPr="00641AF3">
        <w:rPr>
          <w:rFonts w:ascii="Arial" w:hAnsi="Arial" w:cs="Arial"/>
          <w:sz w:val="23"/>
        </w:rPr>
        <w:t>Acuerdo</w:t>
      </w:r>
    </w:p>
    <w:p w14:paraId="1A883ABE" w14:textId="77777777" w:rsidR="0094765E" w:rsidRPr="0094765E" w:rsidRDefault="0094765E" w:rsidP="0094765E">
      <w:pPr>
        <w:spacing w:before="0" w:after="0"/>
      </w:pPr>
    </w:p>
    <w:p w14:paraId="5B03971C" w14:textId="73963E54" w:rsidR="003677EA" w:rsidRPr="00641AF3" w:rsidRDefault="00D33D4B" w:rsidP="0094765E">
      <w:pPr>
        <w:spacing w:before="0" w:after="0"/>
        <w:rPr>
          <w:rFonts w:ascii="Arial" w:hAnsi="Arial" w:cs="Arial"/>
        </w:rPr>
      </w:pPr>
      <w:r w:rsidRPr="00641AF3">
        <w:rPr>
          <w:rFonts w:ascii="Arial" w:hAnsi="Arial" w:cs="Arial"/>
          <w:b/>
        </w:rPr>
        <w:t>Primero.</w:t>
      </w:r>
      <w:r w:rsidRPr="00641AF3">
        <w:rPr>
          <w:rFonts w:ascii="Arial" w:hAnsi="Arial" w:cs="Arial"/>
        </w:rPr>
        <w:t xml:space="preserve"> Se aprueba</w:t>
      </w:r>
      <w:r w:rsidR="003677EA" w:rsidRPr="00641AF3">
        <w:rPr>
          <w:rFonts w:ascii="Arial" w:hAnsi="Arial" w:cs="Arial"/>
        </w:rPr>
        <w:t xml:space="preserve">n </w:t>
      </w:r>
      <w:r w:rsidR="00DF012E" w:rsidRPr="00641AF3">
        <w:rPr>
          <w:rFonts w:ascii="Arial" w:hAnsi="Arial" w:cs="Arial"/>
        </w:rPr>
        <w:t>los Lineamientos para la destrucción y reciclado bajo procedimiento ecológico de la documentación y boletas electorales de los Procesos Electorales Locales</w:t>
      </w:r>
      <w:r w:rsidR="003677EA" w:rsidRPr="00641AF3">
        <w:rPr>
          <w:rFonts w:ascii="Arial" w:hAnsi="Arial" w:cs="Arial"/>
        </w:rPr>
        <w:t xml:space="preserve"> anexos al presente acuerdo.</w:t>
      </w:r>
    </w:p>
    <w:p w14:paraId="24313018" w14:textId="196B61C1" w:rsidR="00655100" w:rsidRPr="00641AF3" w:rsidRDefault="00D33D4B" w:rsidP="00655100">
      <w:pPr>
        <w:rPr>
          <w:rFonts w:ascii="Arial" w:hAnsi="Arial" w:cs="Arial"/>
        </w:rPr>
      </w:pPr>
      <w:r w:rsidRPr="00641AF3">
        <w:rPr>
          <w:rFonts w:ascii="Arial" w:hAnsi="Arial" w:cs="Arial"/>
          <w:b/>
        </w:rPr>
        <w:t>Segundo.</w:t>
      </w:r>
      <w:r w:rsidRPr="00641AF3">
        <w:rPr>
          <w:rFonts w:ascii="Arial" w:hAnsi="Arial" w:cs="Arial"/>
        </w:rPr>
        <w:t xml:space="preserve"> </w:t>
      </w:r>
      <w:r w:rsidR="00583DB4" w:rsidRPr="00641AF3">
        <w:rPr>
          <w:rFonts w:ascii="Arial" w:hAnsi="Arial" w:cs="Arial"/>
        </w:rPr>
        <w:t>En consecuencia</w:t>
      </w:r>
      <w:r w:rsidR="005614E8" w:rsidRPr="00641AF3">
        <w:rPr>
          <w:rFonts w:ascii="Arial" w:hAnsi="Arial" w:cs="Arial"/>
        </w:rPr>
        <w:t xml:space="preserve">, se aprueba la destrucción de la documentación electoral utilizado </w:t>
      </w:r>
      <w:r w:rsidR="00892D31" w:rsidRPr="00641AF3">
        <w:rPr>
          <w:rFonts w:ascii="Arial" w:hAnsi="Arial" w:cs="Arial"/>
        </w:rPr>
        <w:t xml:space="preserve">en los procesos electorales locales concluidos que no </w:t>
      </w:r>
      <w:r w:rsidR="002C757B" w:rsidRPr="00641AF3">
        <w:rPr>
          <w:rFonts w:ascii="Arial" w:hAnsi="Arial" w:cs="Arial"/>
        </w:rPr>
        <w:t>sea</w:t>
      </w:r>
      <w:r w:rsidR="00892D31" w:rsidRPr="00641AF3">
        <w:rPr>
          <w:rFonts w:ascii="Arial" w:hAnsi="Arial" w:cs="Arial"/>
        </w:rPr>
        <w:t xml:space="preserve"> motivo de estudio, esté vinculada con procedimientos administrativos o de investigación por parte de alguna autoridad</w:t>
      </w:r>
      <w:r w:rsidR="00655100" w:rsidRPr="00641AF3">
        <w:rPr>
          <w:rFonts w:ascii="Arial" w:hAnsi="Arial" w:cs="Arial"/>
        </w:rPr>
        <w:t>, en cuyo caso la documentación será preservada hasta en tanto concluya el motivo o la causa y así lo determine la propia autoridad</w:t>
      </w:r>
      <w:r w:rsidR="007A203F" w:rsidRPr="00641AF3">
        <w:rPr>
          <w:rFonts w:ascii="Arial" w:hAnsi="Arial" w:cs="Arial"/>
        </w:rPr>
        <w:t xml:space="preserve"> competente</w:t>
      </w:r>
      <w:r w:rsidR="00655100" w:rsidRPr="00641AF3">
        <w:rPr>
          <w:rFonts w:ascii="Arial" w:hAnsi="Arial" w:cs="Arial"/>
        </w:rPr>
        <w:t>.</w:t>
      </w:r>
    </w:p>
    <w:p w14:paraId="0CB44123" w14:textId="67D4AA40" w:rsidR="00D33D4B" w:rsidRPr="00641AF3" w:rsidRDefault="00D33D4B" w:rsidP="00D33D4B">
      <w:pPr>
        <w:rPr>
          <w:rFonts w:ascii="Arial" w:hAnsi="Arial" w:cs="Arial"/>
        </w:rPr>
      </w:pPr>
      <w:r w:rsidRPr="00641AF3">
        <w:rPr>
          <w:rFonts w:ascii="Arial" w:hAnsi="Arial" w:cs="Arial"/>
          <w:b/>
        </w:rPr>
        <w:lastRenderedPageBreak/>
        <w:t xml:space="preserve">Tercero. </w:t>
      </w:r>
      <w:r w:rsidR="00AE2A09" w:rsidRPr="00641AF3">
        <w:rPr>
          <w:rFonts w:ascii="Arial" w:hAnsi="Arial" w:cs="Arial"/>
        </w:rPr>
        <w:t xml:space="preserve">Se instruye a la Secretaría Ejecutiva y a la Dirección de Organización Electoral y Educación Cívica </w:t>
      </w:r>
      <w:r w:rsidR="008F0EBA" w:rsidRPr="00641AF3">
        <w:rPr>
          <w:rFonts w:ascii="Arial" w:hAnsi="Arial" w:cs="Arial"/>
        </w:rPr>
        <w:t xml:space="preserve">que, </w:t>
      </w:r>
      <w:r w:rsidR="00AE2A09" w:rsidRPr="00641AF3">
        <w:rPr>
          <w:rFonts w:ascii="Arial" w:hAnsi="Arial" w:cs="Arial"/>
        </w:rPr>
        <w:t xml:space="preserve">en cumplimiento </w:t>
      </w:r>
      <w:r w:rsidR="008F0EBA" w:rsidRPr="00641AF3">
        <w:rPr>
          <w:rFonts w:ascii="Arial" w:hAnsi="Arial" w:cs="Arial"/>
        </w:rPr>
        <w:t xml:space="preserve">al </w:t>
      </w:r>
      <w:r w:rsidR="00AE2A09" w:rsidRPr="00641AF3">
        <w:rPr>
          <w:rFonts w:ascii="Arial" w:hAnsi="Arial" w:cs="Arial"/>
        </w:rPr>
        <w:t>presente acuerdo</w:t>
      </w:r>
      <w:r w:rsidR="008F0EBA" w:rsidRPr="00641AF3">
        <w:rPr>
          <w:rFonts w:ascii="Arial" w:hAnsi="Arial" w:cs="Arial"/>
        </w:rPr>
        <w:t>, procedan con la destrucción de la documentación y boletas electorales con sujeción a los Lineamientos aprobados.</w:t>
      </w:r>
    </w:p>
    <w:p w14:paraId="7A33855F" w14:textId="78C3CC3B" w:rsidR="00D33D4B" w:rsidRPr="00641AF3" w:rsidRDefault="00D33D4B" w:rsidP="00D33D4B">
      <w:pPr>
        <w:rPr>
          <w:rFonts w:ascii="Arial" w:hAnsi="Arial" w:cs="Arial"/>
        </w:rPr>
      </w:pPr>
      <w:r w:rsidRPr="00641AF3">
        <w:rPr>
          <w:rFonts w:ascii="Arial" w:hAnsi="Arial" w:cs="Arial"/>
          <w:b/>
        </w:rPr>
        <w:t>Cuarto.</w:t>
      </w:r>
      <w:r w:rsidRPr="00641AF3">
        <w:rPr>
          <w:rFonts w:ascii="Arial" w:hAnsi="Arial" w:cs="Arial"/>
        </w:rPr>
        <w:t xml:space="preserve"> </w:t>
      </w:r>
      <w:r w:rsidR="008F0EBA" w:rsidRPr="00641AF3">
        <w:rPr>
          <w:rFonts w:ascii="Arial" w:hAnsi="Arial" w:cs="Arial"/>
        </w:rPr>
        <w:t>Asimismo, s</w:t>
      </w:r>
      <w:r w:rsidRPr="00641AF3">
        <w:rPr>
          <w:rFonts w:ascii="Arial" w:hAnsi="Arial" w:cs="Arial"/>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5908D6B" w14:textId="2F217014" w:rsidR="00D33D4B" w:rsidRPr="00641AF3" w:rsidRDefault="00D33D4B" w:rsidP="00D33D4B">
      <w:pPr>
        <w:rPr>
          <w:rFonts w:ascii="Arial" w:hAnsi="Arial" w:cs="Arial"/>
        </w:rPr>
      </w:pPr>
      <w:r w:rsidRPr="00641AF3">
        <w:rPr>
          <w:rFonts w:ascii="Arial" w:hAnsi="Arial" w:cs="Arial"/>
          <w:b/>
        </w:rPr>
        <w:t>Quinto.</w:t>
      </w:r>
      <w:r w:rsidRPr="00641AF3">
        <w:rPr>
          <w:rFonts w:ascii="Arial" w:hAnsi="Arial" w:cs="Arial"/>
        </w:rPr>
        <w:t xml:space="preserve"> Publíquese en el Periódico Oficial del Estado, y en la página de internet del Instituto, de conformidad con lo dispuesto en el artículo 114 de la Ley Electoral y de Partidos Políticos del Estado de Tabasco.</w:t>
      </w:r>
    </w:p>
    <w:p w14:paraId="743CBEE7" w14:textId="18680ABC" w:rsidR="00550A15" w:rsidRDefault="00550A15" w:rsidP="00550A15">
      <w:pPr>
        <w:rPr>
          <w:rFonts w:ascii="Arial" w:hAnsi="Arial" w:cs="Arial"/>
        </w:rPr>
      </w:pPr>
      <w:r w:rsidRPr="00641AF3">
        <w:rPr>
          <w:rFonts w:ascii="Arial" w:hAnsi="Arial" w:cs="Arial"/>
        </w:rPr>
        <w:t xml:space="preserve">El presente acuerdo fue aprobado en sesión </w:t>
      </w:r>
      <w:r w:rsidR="00D5099F">
        <w:rPr>
          <w:rFonts w:ascii="Arial" w:hAnsi="Arial" w:cs="Arial"/>
        </w:rPr>
        <w:t>ordinaria</w:t>
      </w:r>
      <w:r w:rsidRPr="00641AF3">
        <w:rPr>
          <w:rFonts w:ascii="Arial" w:hAnsi="Arial" w:cs="Arial"/>
        </w:rPr>
        <w:t xml:space="preserve"> efectuada el </w:t>
      </w:r>
      <w:r w:rsidR="00D75726">
        <w:rPr>
          <w:rFonts w:ascii="Arial" w:hAnsi="Arial" w:cs="Arial"/>
        </w:rPr>
        <w:t xml:space="preserve">día </w:t>
      </w:r>
      <w:r w:rsidR="00D5099F">
        <w:rPr>
          <w:rFonts w:ascii="Arial" w:hAnsi="Arial" w:cs="Arial"/>
        </w:rPr>
        <w:t>veintinueve</w:t>
      </w:r>
      <w:r w:rsidRPr="00641AF3">
        <w:rPr>
          <w:rFonts w:ascii="Arial" w:hAnsi="Arial" w:cs="Arial"/>
        </w:rPr>
        <w:t xml:space="preserve"> de noviembre del año dos mil veinticuatro, por votación </w:t>
      </w:r>
      <w:r w:rsidR="00D5099F">
        <w:rPr>
          <w:rFonts w:ascii="Arial" w:hAnsi="Arial" w:cs="Arial"/>
        </w:rPr>
        <w:t>unánime</w:t>
      </w:r>
      <w:r w:rsidRPr="00641AF3">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w:t>
      </w:r>
      <w:proofErr w:type="spellStart"/>
      <w:r w:rsidRPr="00641AF3">
        <w:rPr>
          <w:rFonts w:ascii="Arial" w:hAnsi="Arial" w:cs="Arial"/>
        </w:rPr>
        <w:t>Lizette</w:t>
      </w:r>
      <w:proofErr w:type="spellEnd"/>
      <w:r w:rsidRPr="00641AF3">
        <w:rPr>
          <w:rFonts w:ascii="Arial" w:hAnsi="Arial" w:cs="Arial"/>
        </w:rPr>
        <w:t xml:space="preserve"> Toledo Peral y la Consejera Presidenta, Mtra. Elizabeth Nava Gutiérrez.</w:t>
      </w:r>
    </w:p>
    <w:p w14:paraId="6A707F13" w14:textId="199C7EA1" w:rsidR="0094765E" w:rsidRDefault="0094765E" w:rsidP="00550A15">
      <w:pPr>
        <w:rPr>
          <w:rFonts w:ascii="Arial" w:hAnsi="Arial" w:cs="Arial"/>
        </w:rPr>
      </w:pPr>
    </w:p>
    <w:p w14:paraId="23B2B1F1" w14:textId="77777777" w:rsidR="0094765E" w:rsidRPr="00641AF3" w:rsidRDefault="0094765E" w:rsidP="00550A15">
      <w:pPr>
        <w:rPr>
          <w:rFonts w:ascii="Arial" w:hAnsi="Arial" w:cs="Arial"/>
        </w:rPr>
      </w:pPr>
      <w:bookmarkStart w:id="0" w:name="_GoBack"/>
      <w:bookmarkEnd w:id="0"/>
    </w:p>
    <w:p w14:paraId="696A5AC9" w14:textId="77777777" w:rsidR="00550A15" w:rsidRPr="00641AF3" w:rsidRDefault="00550A15" w:rsidP="00550A15">
      <w:pPr>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550A15" w:rsidRPr="00641AF3" w14:paraId="6B466C5A" w14:textId="77777777" w:rsidTr="00B07C29">
        <w:tc>
          <w:tcPr>
            <w:tcW w:w="4395" w:type="dxa"/>
          </w:tcPr>
          <w:p w14:paraId="3029B56D" w14:textId="77777777" w:rsidR="00550A15" w:rsidRPr="00641AF3" w:rsidRDefault="00550A15" w:rsidP="00B07C29">
            <w:pPr>
              <w:widowControl w:val="0"/>
              <w:spacing w:before="0" w:after="0"/>
              <w:jc w:val="center"/>
              <w:rPr>
                <w:rFonts w:ascii="Arial" w:hAnsi="Arial" w:cs="Arial"/>
                <w:b/>
                <w:spacing w:val="-10"/>
              </w:rPr>
            </w:pPr>
            <w:r w:rsidRPr="00641AF3">
              <w:rPr>
                <w:rFonts w:ascii="Arial" w:hAnsi="Arial" w:cs="Arial"/>
                <w:b/>
                <w:spacing w:val="-10"/>
              </w:rPr>
              <w:t>MTRA. ELIZABETH NAVA GUTIÉRREZ</w:t>
            </w:r>
          </w:p>
          <w:p w14:paraId="4B21D95C" w14:textId="77777777" w:rsidR="00550A15" w:rsidRPr="00641AF3" w:rsidRDefault="00550A15" w:rsidP="00B07C29">
            <w:pPr>
              <w:widowControl w:val="0"/>
              <w:spacing w:before="0" w:after="0"/>
              <w:jc w:val="center"/>
              <w:rPr>
                <w:rFonts w:ascii="Arial" w:hAnsi="Arial" w:cs="Arial"/>
                <w:b/>
              </w:rPr>
            </w:pPr>
            <w:r w:rsidRPr="00641AF3">
              <w:rPr>
                <w:rFonts w:ascii="Arial" w:hAnsi="Arial" w:cs="Arial"/>
                <w:b/>
                <w:spacing w:val="-10"/>
              </w:rPr>
              <w:t>CONSEJERA PRESIDENTA</w:t>
            </w:r>
          </w:p>
        </w:tc>
        <w:tc>
          <w:tcPr>
            <w:tcW w:w="278" w:type="dxa"/>
          </w:tcPr>
          <w:p w14:paraId="6C9C7230" w14:textId="77777777" w:rsidR="00550A15" w:rsidRPr="00641AF3" w:rsidRDefault="00550A15" w:rsidP="00B07C29">
            <w:pPr>
              <w:widowControl w:val="0"/>
              <w:spacing w:before="0" w:after="0"/>
              <w:rPr>
                <w:rFonts w:ascii="Arial" w:hAnsi="Arial" w:cs="Arial"/>
                <w:b/>
              </w:rPr>
            </w:pPr>
          </w:p>
        </w:tc>
        <w:tc>
          <w:tcPr>
            <w:tcW w:w="4400" w:type="dxa"/>
          </w:tcPr>
          <w:p w14:paraId="48D59E7D" w14:textId="77777777" w:rsidR="00550A15" w:rsidRPr="00641AF3" w:rsidRDefault="00550A15" w:rsidP="00B07C29">
            <w:pPr>
              <w:widowControl w:val="0"/>
              <w:spacing w:before="0" w:after="0"/>
              <w:jc w:val="center"/>
              <w:rPr>
                <w:rFonts w:ascii="Arial" w:hAnsi="Arial" w:cs="Arial"/>
                <w:b/>
                <w:spacing w:val="-10"/>
              </w:rPr>
            </w:pPr>
            <w:r w:rsidRPr="00641AF3">
              <w:rPr>
                <w:rFonts w:ascii="Arial" w:hAnsi="Arial" w:cs="Arial"/>
                <w:b/>
                <w:spacing w:val="-10"/>
              </w:rPr>
              <w:t>LIC. JORGE ALBERTO ZAVALA FRÍAS</w:t>
            </w:r>
          </w:p>
          <w:p w14:paraId="462DEF69" w14:textId="77777777" w:rsidR="00550A15" w:rsidRPr="00641AF3" w:rsidRDefault="00550A15" w:rsidP="00B07C29">
            <w:pPr>
              <w:widowControl w:val="0"/>
              <w:spacing w:before="0" w:after="0"/>
              <w:jc w:val="center"/>
              <w:rPr>
                <w:rFonts w:ascii="Arial" w:hAnsi="Arial" w:cs="Arial"/>
                <w:b/>
              </w:rPr>
            </w:pPr>
            <w:r w:rsidRPr="00641AF3">
              <w:rPr>
                <w:rFonts w:ascii="Arial" w:hAnsi="Arial" w:cs="Arial"/>
                <w:b/>
                <w:spacing w:val="-10"/>
              </w:rPr>
              <w:t>SECRETARIO DEL CONSEJO</w:t>
            </w:r>
          </w:p>
        </w:tc>
      </w:tr>
    </w:tbl>
    <w:p w14:paraId="30D571E1" w14:textId="77777777" w:rsidR="00550A15" w:rsidRPr="00641AF3" w:rsidRDefault="00550A15" w:rsidP="00D33D4B">
      <w:pPr>
        <w:rPr>
          <w:rFonts w:ascii="Arial" w:hAnsi="Arial" w:cs="Arial"/>
        </w:rPr>
      </w:pPr>
    </w:p>
    <w:sectPr w:rsidR="00550A15" w:rsidRPr="00641AF3" w:rsidSect="0094765E">
      <w:headerReference w:type="default" r:id="rId8"/>
      <w:footerReference w:type="default" r:id="rId9"/>
      <w:pgSz w:w="12240" w:h="15840" w:code="1"/>
      <w:pgMar w:top="3119" w:right="1467"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F5497" w14:textId="77777777" w:rsidR="00880E6D" w:rsidRDefault="00880E6D" w:rsidP="006C69F3">
      <w:pPr>
        <w:spacing w:before="0" w:after="0" w:line="240" w:lineRule="auto"/>
      </w:pPr>
      <w:r>
        <w:separator/>
      </w:r>
    </w:p>
  </w:endnote>
  <w:endnote w:type="continuationSeparator" w:id="0">
    <w:p w14:paraId="54AE450F" w14:textId="77777777" w:rsidR="00880E6D" w:rsidRDefault="00880E6D" w:rsidP="006C69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2B64A5-D5C1-4205-BDE4-F01C36A8B3C0}"/>
    <w:embedBold r:id="rId2" w:fontKey="{2B83A83C-22B3-48A2-9AD9-3E67E5083E7F}"/>
  </w:font>
  <w:font w:name="Exo">
    <w:altName w:val="Times New Roman"/>
    <w:charset w:val="00"/>
    <w:family w:val="auto"/>
    <w:pitch w:val="variable"/>
    <w:sig w:usb0="00000001" w:usb1="4000204B" w:usb2="00000000" w:usb3="00000000" w:csb0="00000193" w:csb1="00000000"/>
    <w:embedRegular r:id="rId3" w:fontKey="{21CA2B9A-5817-4541-B62B-C775639C7A8D}"/>
    <w:embedBold r:id="rId4" w:fontKey="{44168B48-530B-4C3B-B101-02BFE5584260}"/>
  </w:font>
  <w:font w:name="Calibri Light">
    <w:panose1 w:val="020F0302020204030204"/>
    <w:charset w:val="00"/>
    <w:family w:val="swiss"/>
    <w:pitch w:val="variable"/>
    <w:sig w:usb0="E4002EFF" w:usb1="C200247B" w:usb2="00000009" w:usb3="00000000" w:csb0="000001FF" w:csb1="00000000"/>
    <w:embedRegular r:id="rId5" w:fontKey="{EA96FE09-EE26-41C2-9F4B-ACC414D31BC8}"/>
    <w:embedItalic r:id="rId6" w:fontKey="{E6F7BAC6-C262-4971-A7C3-E0DCEE05E4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626989856"/>
      <w:docPartObj>
        <w:docPartGallery w:val="Page Numbers (Top of Page)"/>
        <w:docPartUnique/>
      </w:docPartObj>
    </w:sdtPr>
    <w:sdtEndPr/>
    <w:sdtContent>
      <w:p w14:paraId="677AF73F" w14:textId="14FC2429" w:rsidR="00E94D57" w:rsidRPr="00D5099F" w:rsidRDefault="00E94D57" w:rsidP="006C69F3">
        <w:pPr>
          <w:pStyle w:val="Piedepgina"/>
          <w:jc w:val="right"/>
          <w:rPr>
            <w:rFonts w:ascii="Arial" w:hAnsi="Arial" w:cs="Arial"/>
            <w:color w:val="993366"/>
            <w:sz w:val="20"/>
            <w:szCs w:val="20"/>
          </w:rPr>
        </w:pPr>
        <w:r w:rsidRPr="00D5099F">
          <w:rPr>
            <w:rFonts w:ascii="Arial" w:hAnsi="Arial" w:cs="Arial"/>
            <w:b/>
            <w:bCs/>
            <w:color w:val="993366"/>
          </w:rPr>
          <w:t xml:space="preserve">Página </w:t>
        </w:r>
        <w:r w:rsidRPr="00D5099F">
          <w:rPr>
            <w:rFonts w:ascii="Arial" w:hAnsi="Arial" w:cs="Arial"/>
            <w:b/>
            <w:bCs/>
            <w:color w:val="993366"/>
          </w:rPr>
          <w:fldChar w:fldCharType="begin"/>
        </w:r>
        <w:r w:rsidRPr="00D5099F">
          <w:rPr>
            <w:rFonts w:ascii="Arial" w:hAnsi="Arial" w:cs="Arial"/>
            <w:b/>
            <w:bCs/>
            <w:color w:val="993366"/>
          </w:rPr>
          <w:instrText>PAGE</w:instrText>
        </w:r>
        <w:r w:rsidRPr="00D5099F">
          <w:rPr>
            <w:rFonts w:ascii="Arial" w:hAnsi="Arial" w:cs="Arial"/>
            <w:b/>
            <w:bCs/>
            <w:color w:val="993366"/>
          </w:rPr>
          <w:fldChar w:fldCharType="separate"/>
        </w:r>
        <w:r w:rsidR="0094765E">
          <w:rPr>
            <w:rFonts w:ascii="Arial" w:hAnsi="Arial" w:cs="Arial"/>
            <w:b/>
            <w:bCs/>
            <w:noProof/>
            <w:color w:val="993366"/>
          </w:rPr>
          <w:t>12</w:t>
        </w:r>
        <w:r w:rsidRPr="00D5099F">
          <w:rPr>
            <w:rFonts w:ascii="Arial" w:hAnsi="Arial" w:cs="Arial"/>
            <w:b/>
            <w:bCs/>
            <w:color w:val="993366"/>
          </w:rPr>
          <w:fldChar w:fldCharType="end"/>
        </w:r>
        <w:r w:rsidRPr="00D5099F">
          <w:rPr>
            <w:rFonts w:ascii="Arial" w:hAnsi="Arial" w:cs="Arial"/>
            <w:b/>
            <w:bCs/>
            <w:color w:val="993366"/>
          </w:rPr>
          <w:t xml:space="preserve"> | </w:t>
        </w:r>
        <w:r w:rsidRPr="00D5099F">
          <w:rPr>
            <w:rFonts w:ascii="Arial" w:hAnsi="Arial" w:cs="Arial"/>
            <w:b/>
            <w:bCs/>
            <w:color w:val="993366"/>
          </w:rPr>
          <w:fldChar w:fldCharType="begin"/>
        </w:r>
        <w:r w:rsidRPr="00D5099F">
          <w:rPr>
            <w:rFonts w:ascii="Arial" w:hAnsi="Arial" w:cs="Arial"/>
            <w:b/>
            <w:bCs/>
            <w:color w:val="993366"/>
          </w:rPr>
          <w:instrText>NUMPAGES</w:instrText>
        </w:r>
        <w:r w:rsidRPr="00D5099F">
          <w:rPr>
            <w:rFonts w:ascii="Arial" w:hAnsi="Arial" w:cs="Arial"/>
            <w:b/>
            <w:bCs/>
            <w:color w:val="993366"/>
          </w:rPr>
          <w:fldChar w:fldCharType="separate"/>
        </w:r>
        <w:r w:rsidR="0094765E">
          <w:rPr>
            <w:rFonts w:ascii="Arial" w:hAnsi="Arial" w:cs="Arial"/>
            <w:b/>
            <w:bCs/>
            <w:noProof/>
            <w:color w:val="993366"/>
          </w:rPr>
          <w:t>13</w:t>
        </w:r>
        <w:r w:rsidRPr="00D5099F">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E0A84" w14:textId="77777777" w:rsidR="00880E6D" w:rsidRDefault="00880E6D" w:rsidP="006C69F3">
      <w:pPr>
        <w:spacing w:before="0" w:after="0" w:line="240" w:lineRule="auto"/>
      </w:pPr>
      <w:r>
        <w:separator/>
      </w:r>
    </w:p>
  </w:footnote>
  <w:footnote w:type="continuationSeparator" w:id="0">
    <w:p w14:paraId="7C010750" w14:textId="77777777" w:rsidR="00880E6D" w:rsidRDefault="00880E6D" w:rsidP="006C69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E94D57" w:rsidRPr="00063338" w14:paraId="279DCB2F" w14:textId="77777777" w:rsidTr="00E94D57">
      <w:tc>
        <w:tcPr>
          <w:tcW w:w="1418" w:type="dxa"/>
        </w:tcPr>
        <w:p w14:paraId="7EC128BF" w14:textId="77777777" w:rsidR="00E94D57" w:rsidRPr="00063338" w:rsidRDefault="00E94D57" w:rsidP="006C69F3">
          <w:pPr>
            <w:pStyle w:val="Encabezado"/>
            <w:ind w:left="-170"/>
            <w:jc w:val="left"/>
          </w:pPr>
          <w:r>
            <w:rPr>
              <w:b/>
              <w:noProof/>
              <w:sz w:val="32"/>
              <w:lang w:eastAsia="es-MX"/>
            </w:rPr>
            <w:drawing>
              <wp:inline distT="0" distB="0" distL="0" distR="0" wp14:anchorId="68597EA0" wp14:editId="4C5BB5C3">
                <wp:extent cx="1014331" cy="1199403"/>
                <wp:effectExtent l="0" t="0" r="0" b="1270"/>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53453646" w14:textId="77777777" w:rsidR="00E94D57" w:rsidRPr="00641AF3" w:rsidRDefault="00E94D57" w:rsidP="006C69F3">
          <w:pPr>
            <w:pStyle w:val="Encabezado"/>
            <w:spacing w:before="720"/>
            <w:jc w:val="center"/>
            <w:rPr>
              <w:rFonts w:ascii="Arial" w:hAnsi="Arial" w:cs="Arial"/>
              <w:b/>
              <w:bCs/>
              <w:sz w:val="25"/>
              <w:szCs w:val="25"/>
            </w:rPr>
          </w:pPr>
          <w:r w:rsidRPr="00641AF3">
            <w:rPr>
              <w:rFonts w:ascii="Arial" w:hAnsi="Arial" w:cs="Arial"/>
              <w:b/>
              <w:bCs/>
              <w:sz w:val="25"/>
              <w:szCs w:val="25"/>
            </w:rPr>
            <w:t>INSTITUTO ELECTORAL Y DE PARTICIPACIÓN CIUDADANA DE TABASCO</w:t>
          </w:r>
        </w:p>
        <w:p w14:paraId="21400442" w14:textId="77777777" w:rsidR="00E94D57" w:rsidRPr="00063338" w:rsidRDefault="00E94D57" w:rsidP="006C69F3">
          <w:pPr>
            <w:pStyle w:val="Encabezado"/>
            <w:jc w:val="center"/>
          </w:pPr>
          <w:r w:rsidRPr="00641AF3">
            <w:rPr>
              <w:rFonts w:ascii="Arial" w:hAnsi="Arial" w:cs="Arial"/>
              <w:sz w:val="26"/>
              <w:szCs w:val="26"/>
            </w:rPr>
            <w:t>CONSEJO ESTATAL</w:t>
          </w:r>
        </w:p>
      </w:tc>
      <w:tc>
        <w:tcPr>
          <w:tcW w:w="1701" w:type="dxa"/>
        </w:tcPr>
        <w:p w14:paraId="2FF00FE0" w14:textId="77777777" w:rsidR="00E94D57" w:rsidRPr="00063338" w:rsidRDefault="00E94D57" w:rsidP="006C69F3">
          <w:pPr>
            <w:pStyle w:val="Encabezado"/>
            <w:spacing w:before="480"/>
          </w:pPr>
          <w:r>
            <w:rPr>
              <w:noProof/>
              <w:lang w:eastAsia="es-MX"/>
            </w:rPr>
            <w:drawing>
              <wp:inline distT="0" distB="0" distL="0" distR="0" wp14:anchorId="7558DA6B" wp14:editId="6CC0403E">
                <wp:extent cx="942975" cy="774065"/>
                <wp:effectExtent l="0" t="0" r="9525" b="6985"/>
                <wp:docPr id="8" name="Imagen 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B889680" w14:textId="5DFF5722" w:rsidR="00E94D57" w:rsidRPr="00D5099F" w:rsidRDefault="00D5099F" w:rsidP="00D5099F">
    <w:pPr>
      <w:pStyle w:val="Encabezado"/>
      <w:jc w:val="right"/>
      <w:rPr>
        <w:rFonts w:ascii="Arial" w:hAnsi="Arial" w:cs="Arial"/>
        <w:b/>
        <w:sz w:val="24"/>
        <w:szCs w:val="24"/>
      </w:rPr>
    </w:pPr>
    <w:r w:rsidRPr="00D5099F">
      <w:rPr>
        <w:rFonts w:ascii="Arial" w:hAnsi="Arial" w:cs="Arial"/>
        <w:b/>
        <w:sz w:val="24"/>
        <w:szCs w:val="24"/>
      </w:rPr>
      <w:t>CE/2024/101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4B1"/>
    <w:multiLevelType w:val="hybridMultilevel"/>
    <w:tmpl w:val="5046E41C"/>
    <w:lvl w:ilvl="0" w:tplc="76C26680">
      <w:start w:val="1"/>
      <w:numFmt w:val="lowerLetter"/>
      <w:lvlText w:val="%1)"/>
      <w:lvlJc w:val="left"/>
      <w:pPr>
        <w:ind w:left="1065" w:hanging="705"/>
      </w:pPr>
      <w:rPr>
        <w:rFonts w:hint="default"/>
      </w:rPr>
    </w:lvl>
    <w:lvl w:ilvl="1" w:tplc="AC4ED110">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CF27F3"/>
    <w:multiLevelType w:val="hybridMultilevel"/>
    <w:tmpl w:val="30B84B30"/>
    <w:lvl w:ilvl="0" w:tplc="C334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A70275"/>
    <w:multiLevelType w:val="hybridMultilevel"/>
    <w:tmpl w:val="123A928A"/>
    <w:lvl w:ilvl="0" w:tplc="C334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B1700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50C96C9B"/>
    <w:multiLevelType w:val="hybridMultilevel"/>
    <w:tmpl w:val="240C5B7E"/>
    <w:lvl w:ilvl="0" w:tplc="708C2AC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FB751F"/>
    <w:multiLevelType w:val="hybridMultilevel"/>
    <w:tmpl w:val="1D6C30DE"/>
    <w:lvl w:ilvl="0" w:tplc="E4AC392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CD76EA"/>
    <w:multiLevelType w:val="multilevel"/>
    <w:tmpl w:val="C1BE3A5E"/>
    <w:lvl w:ilvl="0">
      <w:start w:val="1"/>
      <w:numFmt w:val="lowerLetter"/>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77F24EBB"/>
    <w:multiLevelType w:val="hybridMultilevel"/>
    <w:tmpl w:val="1F8ED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4512B6"/>
    <w:multiLevelType w:val="hybridMultilevel"/>
    <w:tmpl w:val="C1BE3A5E"/>
    <w:lvl w:ilvl="0" w:tplc="C0086BB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7"/>
  </w:num>
  <w:num w:numId="5">
    <w:abstractNumId w:val="0"/>
  </w:num>
  <w:num w:numId="6">
    <w:abstractNumId w:val="5"/>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B39"/>
    <w:rsid w:val="0007182C"/>
    <w:rsid w:val="00086984"/>
    <w:rsid w:val="0009766A"/>
    <w:rsid w:val="00110515"/>
    <w:rsid w:val="00110DD2"/>
    <w:rsid w:val="00114F7C"/>
    <w:rsid w:val="001615D4"/>
    <w:rsid w:val="001709A5"/>
    <w:rsid w:val="00171A3A"/>
    <w:rsid w:val="00184118"/>
    <w:rsid w:val="00191DD1"/>
    <w:rsid w:val="001B2BB0"/>
    <w:rsid w:val="001E4A1A"/>
    <w:rsid w:val="002A0E1B"/>
    <w:rsid w:val="002A1F8F"/>
    <w:rsid w:val="002C757B"/>
    <w:rsid w:val="002E6222"/>
    <w:rsid w:val="002F4947"/>
    <w:rsid w:val="003677EA"/>
    <w:rsid w:val="00427182"/>
    <w:rsid w:val="00450118"/>
    <w:rsid w:val="004F2A3F"/>
    <w:rsid w:val="005038BC"/>
    <w:rsid w:val="00504A5F"/>
    <w:rsid w:val="00550A15"/>
    <w:rsid w:val="005614E8"/>
    <w:rsid w:val="00583DB4"/>
    <w:rsid w:val="0060091B"/>
    <w:rsid w:val="006202F2"/>
    <w:rsid w:val="00631BB0"/>
    <w:rsid w:val="00641AF3"/>
    <w:rsid w:val="00655100"/>
    <w:rsid w:val="006C69F3"/>
    <w:rsid w:val="006E304A"/>
    <w:rsid w:val="006F1A3F"/>
    <w:rsid w:val="00780340"/>
    <w:rsid w:val="007A203F"/>
    <w:rsid w:val="007E54E0"/>
    <w:rsid w:val="00817F52"/>
    <w:rsid w:val="00880E6D"/>
    <w:rsid w:val="00892D31"/>
    <w:rsid w:val="008C45D5"/>
    <w:rsid w:val="008F0EBA"/>
    <w:rsid w:val="008F1159"/>
    <w:rsid w:val="0090497F"/>
    <w:rsid w:val="009178D5"/>
    <w:rsid w:val="0094765E"/>
    <w:rsid w:val="00956480"/>
    <w:rsid w:val="00960821"/>
    <w:rsid w:val="0097570A"/>
    <w:rsid w:val="00997245"/>
    <w:rsid w:val="009D20FB"/>
    <w:rsid w:val="009E79B3"/>
    <w:rsid w:val="00A578DE"/>
    <w:rsid w:val="00AD5A3A"/>
    <w:rsid w:val="00AE2A09"/>
    <w:rsid w:val="00AF5F60"/>
    <w:rsid w:val="00B27DDE"/>
    <w:rsid w:val="00B75B39"/>
    <w:rsid w:val="00C44F9B"/>
    <w:rsid w:val="00C64C60"/>
    <w:rsid w:val="00C841C8"/>
    <w:rsid w:val="00CB73C6"/>
    <w:rsid w:val="00CE05D5"/>
    <w:rsid w:val="00CF1F0A"/>
    <w:rsid w:val="00D33D4B"/>
    <w:rsid w:val="00D5099F"/>
    <w:rsid w:val="00D749D8"/>
    <w:rsid w:val="00D75726"/>
    <w:rsid w:val="00DB4AE2"/>
    <w:rsid w:val="00DF012E"/>
    <w:rsid w:val="00E2567D"/>
    <w:rsid w:val="00E36BF3"/>
    <w:rsid w:val="00E94D57"/>
    <w:rsid w:val="00E97F30"/>
    <w:rsid w:val="00EC0645"/>
    <w:rsid w:val="00EE1A33"/>
    <w:rsid w:val="00F11CE1"/>
    <w:rsid w:val="00F4372A"/>
    <w:rsid w:val="00F6099E"/>
    <w:rsid w:val="00F65DEE"/>
    <w:rsid w:val="00FB2E56"/>
    <w:rsid w:val="00FE52F2"/>
    <w:rsid w:val="00FF2EDB"/>
    <w:rsid w:val="00FF3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78052"/>
  <w15:chartTrackingRefBased/>
  <w15:docId w15:val="{C960F521-7A12-46D2-AE1E-416EBCE8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B39"/>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B75B39"/>
    <w:pPr>
      <w:numPr>
        <w:numId w:val="3"/>
      </w:numPr>
      <w:spacing w:before="600"/>
      <w:jc w:val="center"/>
      <w:outlineLvl w:val="0"/>
    </w:pPr>
    <w:rPr>
      <w:b/>
      <w:sz w:val="28"/>
    </w:rPr>
  </w:style>
  <w:style w:type="paragraph" w:styleId="Ttulo2">
    <w:name w:val="heading 2"/>
    <w:basedOn w:val="Normal"/>
    <w:next w:val="Normal"/>
    <w:link w:val="Ttulo2Car"/>
    <w:uiPriority w:val="9"/>
    <w:unhideWhenUsed/>
    <w:qFormat/>
    <w:rsid w:val="00B75B39"/>
    <w:pPr>
      <w:numPr>
        <w:ilvl w:val="1"/>
        <w:numId w:val="3"/>
      </w:numPr>
      <w:spacing w:before="480"/>
      <w:outlineLvl w:val="1"/>
    </w:pPr>
    <w:rPr>
      <w:b/>
      <w:sz w:val="24"/>
    </w:rPr>
  </w:style>
  <w:style w:type="paragraph" w:styleId="Ttulo3">
    <w:name w:val="heading 3"/>
    <w:basedOn w:val="Normal"/>
    <w:next w:val="Normal"/>
    <w:link w:val="Ttulo3Car"/>
    <w:uiPriority w:val="9"/>
    <w:semiHidden/>
    <w:unhideWhenUsed/>
    <w:qFormat/>
    <w:rsid w:val="007E54E0"/>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E54E0"/>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E54E0"/>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E54E0"/>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E54E0"/>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E54E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E54E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5B39"/>
    <w:rPr>
      <w:rFonts w:ascii="Exo" w:hAnsi="Exo"/>
      <w:b/>
      <w:sz w:val="28"/>
      <w:szCs w:val="23"/>
    </w:rPr>
  </w:style>
  <w:style w:type="character" w:customStyle="1" w:styleId="Ttulo2Car">
    <w:name w:val="Título 2 Car"/>
    <w:basedOn w:val="Fuentedeprrafopredeter"/>
    <w:link w:val="Ttulo2"/>
    <w:uiPriority w:val="9"/>
    <w:rsid w:val="00B75B39"/>
    <w:rPr>
      <w:rFonts w:ascii="Exo" w:hAnsi="Exo"/>
      <w:b/>
      <w:sz w:val="24"/>
      <w:szCs w:val="23"/>
    </w:rPr>
  </w:style>
  <w:style w:type="table" w:styleId="Tablaconcuadrcula">
    <w:name w:val="Table Grid"/>
    <w:basedOn w:val="Tablanormal"/>
    <w:uiPriority w:val="39"/>
    <w:rsid w:val="00C8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C69F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C69F3"/>
    <w:rPr>
      <w:rFonts w:ascii="Exo" w:hAnsi="Exo"/>
      <w:sz w:val="23"/>
      <w:szCs w:val="23"/>
    </w:rPr>
  </w:style>
  <w:style w:type="paragraph" w:styleId="Piedepgina">
    <w:name w:val="footer"/>
    <w:basedOn w:val="Normal"/>
    <w:link w:val="PiedepginaCar"/>
    <w:uiPriority w:val="99"/>
    <w:unhideWhenUsed/>
    <w:rsid w:val="006C69F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C69F3"/>
    <w:rPr>
      <w:rFonts w:ascii="Exo" w:hAnsi="Exo"/>
      <w:sz w:val="23"/>
      <w:szCs w:val="23"/>
    </w:rPr>
  </w:style>
  <w:style w:type="paragraph" w:styleId="Prrafodelista">
    <w:name w:val="List Paragraph"/>
    <w:basedOn w:val="Normal"/>
    <w:uiPriority w:val="34"/>
    <w:qFormat/>
    <w:rsid w:val="006E304A"/>
    <w:pPr>
      <w:ind w:left="720"/>
      <w:contextualSpacing/>
    </w:pPr>
    <w:rPr>
      <w:sz w:val="22"/>
      <w:szCs w:val="22"/>
    </w:rPr>
  </w:style>
  <w:style w:type="character" w:customStyle="1" w:styleId="Ttulo3Car">
    <w:name w:val="Título 3 Car"/>
    <w:basedOn w:val="Fuentedeprrafopredeter"/>
    <w:link w:val="Ttulo3"/>
    <w:uiPriority w:val="9"/>
    <w:semiHidden/>
    <w:rsid w:val="007E54E0"/>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E54E0"/>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7E54E0"/>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7E54E0"/>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7E54E0"/>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7E54E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E54E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0C168-4958-497D-9F81-E4DCE55D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13</Pages>
  <Words>3856</Words>
  <Characters>21213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56</cp:revision>
  <dcterms:created xsi:type="dcterms:W3CDTF">2024-09-03T21:28:00Z</dcterms:created>
  <dcterms:modified xsi:type="dcterms:W3CDTF">2024-11-29T21:58:00Z</dcterms:modified>
</cp:coreProperties>
</file>