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D8F5" w14:textId="437492F1" w:rsidR="00612E59" w:rsidRDefault="008F09DD" w:rsidP="00E81509">
      <w:pPr>
        <w:pStyle w:val="Ttulo"/>
        <w:rPr>
          <w:szCs w:val="23"/>
        </w:rPr>
      </w:pPr>
      <w:r w:rsidRPr="00E81509">
        <w:rPr>
          <w:szCs w:val="23"/>
        </w:rPr>
        <w:t xml:space="preserve">ACUERDO QUE EMITE EL CONSEJO ESTATAL DEL INSTITUTO ELECTORAL Y DE PARTICIPACIÓN CIUDADANA DE TABASCO, A PROPUESTA DE LA COMISIÓN TEMPORAL DEL PROGRAMA DE RESULTADOS ELECTORALES PRELIMINARES DEL ESTADO DE TABASCO, MEDIANTE EL CUAL APRUEBA EL PROCESO TÉCNICO OPERATIVO </w:t>
      </w:r>
      <w:r>
        <w:rPr>
          <w:szCs w:val="23"/>
        </w:rPr>
        <w:t>D</w:t>
      </w:r>
      <w:r w:rsidRPr="003D6B4E">
        <w:rPr>
          <w:szCs w:val="23"/>
        </w:rPr>
        <w:t>EL SISTEMA “CANDIDATAS Y CANDIDATOS: CONÓCELES” CON MOTIVO DEL PROCESO ELECTORAL LOCAL ORDINARIO 2023 – 2024</w:t>
      </w:r>
    </w:p>
    <w:p w14:paraId="75BFF895" w14:textId="54B2F694" w:rsidR="00851620" w:rsidRDefault="00851620" w:rsidP="00851620">
      <w:r w:rsidRPr="00D5543E">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851620" w:rsidRPr="003D6B4E" w14:paraId="48310BB0" w14:textId="77777777" w:rsidTr="009A251F">
        <w:trPr>
          <w:trHeight w:val="624"/>
          <w:jc w:val="center"/>
        </w:trPr>
        <w:tc>
          <w:tcPr>
            <w:tcW w:w="2042" w:type="pct"/>
            <w:shd w:val="clear" w:color="auto" w:fill="auto"/>
            <w:vAlign w:val="center"/>
          </w:tcPr>
          <w:p w14:paraId="60B05434" w14:textId="77777777" w:rsidR="00851620" w:rsidRPr="008F09DD" w:rsidRDefault="00851620" w:rsidP="009A251F">
            <w:pPr>
              <w:spacing w:before="60" w:after="60" w:line="288" w:lineRule="auto"/>
              <w:ind w:left="57"/>
              <w:jc w:val="right"/>
              <w:rPr>
                <w:b/>
                <w:sz w:val="20"/>
                <w:szCs w:val="20"/>
              </w:rPr>
            </w:pPr>
            <w:r w:rsidRPr="008F09DD">
              <w:rPr>
                <w:b/>
                <w:sz w:val="20"/>
                <w:szCs w:val="20"/>
              </w:rPr>
              <w:t>Consejo Estatal:</w:t>
            </w:r>
          </w:p>
        </w:tc>
        <w:tc>
          <w:tcPr>
            <w:tcW w:w="2958" w:type="pct"/>
            <w:shd w:val="clear" w:color="auto" w:fill="auto"/>
            <w:vAlign w:val="center"/>
          </w:tcPr>
          <w:p w14:paraId="679B3444" w14:textId="77777777" w:rsidR="00851620" w:rsidRPr="008F09DD" w:rsidRDefault="00851620" w:rsidP="009A251F">
            <w:pPr>
              <w:spacing w:before="60" w:after="60" w:line="288" w:lineRule="auto"/>
              <w:ind w:left="57"/>
              <w:rPr>
                <w:sz w:val="20"/>
                <w:szCs w:val="20"/>
              </w:rPr>
            </w:pPr>
            <w:r w:rsidRPr="008F09DD">
              <w:rPr>
                <w:sz w:val="20"/>
                <w:szCs w:val="20"/>
              </w:rPr>
              <w:t>Consejo Estatal del Instituto Electoral y de Participación Ciudadana de Tabasco.</w:t>
            </w:r>
          </w:p>
        </w:tc>
      </w:tr>
      <w:tr w:rsidR="00851620" w:rsidRPr="003D6B4E" w14:paraId="1D055B32" w14:textId="77777777" w:rsidTr="009A251F">
        <w:trPr>
          <w:trHeight w:val="624"/>
          <w:jc w:val="center"/>
        </w:trPr>
        <w:tc>
          <w:tcPr>
            <w:tcW w:w="2042" w:type="pct"/>
            <w:shd w:val="clear" w:color="auto" w:fill="auto"/>
            <w:vAlign w:val="center"/>
          </w:tcPr>
          <w:p w14:paraId="1C9A49DD" w14:textId="77777777" w:rsidR="00851620" w:rsidRPr="008F09DD" w:rsidRDefault="00851620" w:rsidP="009A251F">
            <w:pPr>
              <w:spacing w:before="60" w:after="60" w:line="288" w:lineRule="auto"/>
              <w:ind w:left="57"/>
              <w:jc w:val="right"/>
              <w:rPr>
                <w:b/>
                <w:sz w:val="20"/>
                <w:szCs w:val="20"/>
              </w:rPr>
            </w:pPr>
            <w:r w:rsidRPr="008F09DD">
              <w:rPr>
                <w:b/>
                <w:sz w:val="20"/>
                <w:szCs w:val="20"/>
              </w:rPr>
              <w:t>Constitución Federal:</w:t>
            </w:r>
          </w:p>
        </w:tc>
        <w:tc>
          <w:tcPr>
            <w:tcW w:w="2958" w:type="pct"/>
            <w:shd w:val="clear" w:color="auto" w:fill="auto"/>
            <w:vAlign w:val="center"/>
          </w:tcPr>
          <w:p w14:paraId="66105E7A" w14:textId="77777777" w:rsidR="00851620" w:rsidRPr="008F09DD" w:rsidRDefault="00851620" w:rsidP="009A251F">
            <w:pPr>
              <w:spacing w:before="60" w:after="60" w:line="288" w:lineRule="auto"/>
              <w:ind w:left="57"/>
              <w:rPr>
                <w:sz w:val="20"/>
                <w:szCs w:val="20"/>
              </w:rPr>
            </w:pPr>
            <w:r w:rsidRPr="008F09DD">
              <w:rPr>
                <w:sz w:val="20"/>
                <w:szCs w:val="20"/>
              </w:rPr>
              <w:t>Constitución Política de los Estados Unidos Mexicanos.</w:t>
            </w:r>
          </w:p>
        </w:tc>
      </w:tr>
      <w:tr w:rsidR="00851620" w:rsidRPr="003D6B4E" w14:paraId="332A3FFB" w14:textId="77777777" w:rsidTr="009A251F">
        <w:trPr>
          <w:trHeight w:val="624"/>
          <w:jc w:val="center"/>
        </w:trPr>
        <w:tc>
          <w:tcPr>
            <w:tcW w:w="2042" w:type="pct"/>
            <w:shd w:val="clear" w:color="auto" w:fill="auto"/>
            <w:vAlign w:val="center"/>
          </w:tcPr>
          <w:p w14:paraId="71883DB7" w14:textId="77777777" w:rsidR="00851620" w:rsidRPr="008F09DD" w:rsidRDefault="00851620" w:rsidP="009A251F">
            <w:pPr>
              <w:spacing w:before="60" w:after="60" w:line="288" w:lineRule="auto"/>
              <w:ind w:left="57"/>
              <w:jc w:val="right"/>
              <w:rPr>
                <w:b/>
                <w:sz w:val="20"/>
                <w:szCs w:val="20"/>
              </w:rPr>
            </w:pPr>
            <w:r w:rsidRPr="008F09DD">
              <w:rPr>
                <w:b/>
                <w:sz w:val="20"/>
                <w:szCs w:val="20"/>
              </w:rPr>
              <w:t>Constitución Local:</w:t>
            </w:r>
          </w:p>
        </w:tc>
        <w:tc>
          <w:tcPr>
            <w:tcW w:w="2958" w:type="pct"/>
            <w:shd w:val="clear" w:color="auto" w:fill="auto"/>
            <w:vAlign w:val="center"/>
          </w:tcPr>
          <w:p w14:paraId="12B48A4C" w14:textId="77777777" w:rsidR="00851620" w:rsidRPr="008F09DD" w:rsidRDefault="00851620" w:rsidP="009A251F">
            <w:pPr>
              <w:spacing w:before="60" w:after="60" w:line="288" w:lineRule="auto"/>
              <w:ind w:left="57"/>
              <w:rPr>
                <w:sz w:val="20"/>
                <w:szCs w:val="20"/>
              </w:rPr>
            </w:pPr>
            <w:r w:rsidRPr="008F09DD">
              <w:rPr>
                <w:sz w:val="20"/>
                <w:szCs w:val="20"/>
              </w:rPr>
              <w:t>Constitución Política del Estado Libre y Soberano de Tabasco.</w:t>
            </w:r>
          </w:p>
        </w:tc>
      </w:tr>
      <w:tr w:rsidR="00851620" w:rsidRPr="003D6B4E" w14:paraId="17285BC3" w14:textId="77777777" w:rsidTr="009A251F">
        <w:trPr>
          <w:trHeight w:val="624"/>
          <w:jc w:val="center"/>
        </w:trPr>
        <w:tc>
          <w:tcPr>
            <w:tcW w:w="2042" w:type="pct"/>
            <w:shd w:val="clear" w:color="auto" w:fill="auto"/>
            <w:vAlign w:val="center"/>
          </w:tcPr>
          <w:p w14:paraId="76E546C3" w14:textId="77777777" w:rsidR="00851620" w:rsidRPr="008F09DD" w:rsidRDefault="00851620" w:rsidP="009A251F">
            <w:pPr>
              <w:spacing w:before="60" w:after="60" w:line="288" w:lineRule="auto"/>
              <w:ind w:left="57"/>
              <w:jc w:val="right"/>
              <w:rPr>
                <w:b/>
                <w:sz w:val="20"/>
                <w:szCs w:val="20"/>
              </w:rPr>
            </w:pPr>
            <w:r w:rsidRPr="008F09DD">
              <w:rPr>
                <w:b/>
                <w:sz w:val="20"/>
                <w:szCs w:val="20"/>
              </w:rPr>
              <w:t>INE:</w:t>
            </w:r>
          </w:p>
        </w:tc>
        <w:tc>
          <w:tcPr>
            <w:tcW w:w="2958" w:type="pct"/>
            <w:shd w:val="clear" w:color="auto" w:fill="auto"/>
            <w:vAlign w:val="center"/>
          </w:tcPr>
          <w:p w14:paraId="54D8AB16" w14:textId="77777777" w:rsidR="00851620" w:rsidRPr="008F09DD" w:rsidRDefault="00851620" w:rsidP="009A251F">
            <w:pPr>
              <w:spacing w:before="60" w:after="60" w:line="288" w:lineRule="auto"/>
              <w:ind w:left="57"/>
              <w:rPr>
                <w:sz w:val="20"/>
                <w:szCs w:val="20"/>
              </w:rPr>
            </w:pPr>
            <w:r w:rsidRPr="008F09DD">
              <w:rPr>
                <w:sz w:val="20"/>
                <w:szCs w:val="20"/>
              </w:rPr>
              <w:t>Instituto Nacional Electoral.</w:t>
            </w:r>
          </w:p>
        </w:tc>
      </w:tr>
      <w:tr w:rsidR="00851620" w:rsidRPr="003D6B4E" w14:paraId="6883D9CF" w14:textId="77777777" w:rsidTr="009A251F">
        <w:trPr>
          <w:trHeight w:val="624"/>
          <w:jc w:val="center"/>
        </w:trPr>
        <w:tc>
          <w:tcPr>
            <w:tcW w:w="2042" w:type="pct"/>
            <w:shd w:val="clear" w:color="auto" w:fill="auto"/>
            <w:vAlign w:val="center"/>
          </w:tcPr>
          <w:p w14:paraId="0255097B" w14:textId="77777777" w:rsidR="00851620" w:rsidRPr="008F09DD" w:rsidRDefault="00851620" w:rsidP="009A251F">
            <w:pPr>
              <w:spacing w:before="60" w:after="60" w:line="288" w:lineRule="auto"/>
              <w:ind w:left="57"/>
              <w:jc w:val="right"/>
              <w:rPr>
                <w:b/>
                <w:sz w:val="20"/>
                <w:szCs w:val="20"/>
              </w:rPr>
            </w:pPr>
            <w:r w:rsidRPr="008F09DD">
              <w:rPr>
                <w:b/>
                <w:sz w:val="20"/>
                <w:szCs w:val="20"/>
              </w:rPr>
              <w:t>Instituto Electoral:</w:t>
            </w:r>
          </w:p>
        </w:tc>
        <w:tc>
          <w:tcPr>
            <w:tcW w:w="2958" w:type="pct"/>
            <w:shd w:val="clear" w:color="auto" w:fill="auto"/>
          </w:tcPr>
          <w:p w14:paraId="13596BA8" w14:textId="77777777" w:rsidR="00851620" w:rsidRPr="008F09DD" w:rsidRDefault="00851620" w:rsidP="009A251F">
            <w:pPr>
              <w:spacing w:before="60" w:after="60" w:line="288" w:lineRule="auto"/>
              <w:ind w:left="57"/>
              <w:rPr>
                <w:sz w:val="20"/>
                <w:szCs w:val="20"/>
              </w:rPr>
            </w:pPr>
            <w:r w:rsidRPr="008F09DD">
              <w:rPr>
                <w:sz w:val="20"/>
                <w:szCs w:val="20"/>
              </w:rPr>
              <w:t>Instituto Electoral y de Participación Ciudadana de Tabasco.</w:t>
            </w:r>
          </w:p>
        </w:tc>
      </w:tr>
      <w:tr w:rsidR="00851620" w:rsidRPr="003D6B4E" w14:paraId="02967CBF" w14:textId="77777777" w:rsidTr="009A251F">
        <w:trPr>
          <w:trHeight w:val="624"/>
          <w:jc w:val="center"/>
        </w:trPr>
        <w:tc>
          <w:tcPr>
            <w:tcW w:w="2042" w:type="pct"/>
            <w:shd w:val="clear" w:color="auto" w:fill="auto"/>
            <w:vAlign w:val="center"/>
          </w:tcPr>
          <w:p w14:paraId="2547B983" w14:textId="77777777" w:rsidR="00851620" w:rsidRPr="008F09DD" w:rsidRDefault="00851620" w:rsidP="009A251F">
            <w:pPr>
              <w:spacing w:before="60" w:after="60" w:line="288" w:lineRule="auto"/>
              <w:ind w:left="57"/>
              <w:jc w:val="right"/>
              <w:rPr>
                <w:b/>
                <w:sz w:val="20"/>
                <w:szCs w:val="20"/>
              </w:rPr>
            </w:pPr>
            <w:r w:rsidRPr="008F09DD">
              <w:rPr>
                <w:b/>
                <w:sz w:val="20"/>
                <w:szCs w:val="20"/>
              </w:rPr>
              <w:t>Ley Electoral:</w:t>
            </w:r>
          </w:p>
        </w:tc>
        <w:tc>
          <w:tcPr>
            <w:tcW w:w="2958" w:type="pct"/>
            <w:shd w:val="clear" w:color="auto" w:fill="auto"/>
            <w:vAlign w:val="center"/>
          </w:tcPr>
          <w:p w14:paraId="4BA48BDD" w14:textId="77777777" w:rsidR="00851620" w:rsidRPr="008F09DD" w:rsidRDefault="00851620" w:rsidP="009A251F">
            <w:pPr>
              <w:spacing w:before="60" w:after="60" w:line="288" w:lineRule="auto"/>
              <w:ind w:left="57"/>
              <w:rPr>
                <w:sz w:val="20"/>
                <w:szCs w:val="20"/>
              </w:rPr>
            </w:pPr>
            <w:r w:rsidRPr="008F09DD">
              <w:rPr>
                <w:sz w:val="20"/>
                <w:szCs w:val="20"/>
              </w:rPr>
              <w:t>Ley Electoral y de Partidos Políticos del Estado de Tabasco.</w:t>
            </w:r>
          </w:p>
        </w:tc>
      </w:tr>
      <w:tr w:rsidR="00851620" w:rsidRPr="003D6B4E" w14:paraId="16EA2570" w14:textId="77777777" w:rsidTr="009A251F">
        <w:trPr>
          <w:trHeight w:val="624"/>
          <w:jc w:val="center"/>
        </w:trPr>
        <w:tc>
          <w:tcPr>
            <w:tcW w:w="2042" w:type="pct"/>
            <w:shd w:val="clear" w:color="auto" w:fill="auto"/>
            <w:vAlign w:val="center"/>
          </w:tcPr>
          <w:p w14:paraId="623C6E98" w14:textId="77777777" w:rsidR="00851620" w:rsidRPr="008F09DD" w:rsidRDefault="00851620" w:rsidP="009A251F">
            <w:pPr>
              <w:spacing w:before="60" w:after="60" w:line="288" w:lineRule="auto"/>
              <w:ind w:left="57"/>
              <w:jc w:val="right"/>
              <w:rPr>
                <w:b/>
                <w:sz w:val="20"/>
                <w:szCs w:val="20"/>
              </w:rPr>
            </w:pPr>
            <w:r w:rsidRPr="008F09DD">
              <w:rPr>
                <w:b/>
                <w:sz w:val="20"/>
                <w:szCs w:val="20"/>
              </w:rPr>
              <w:t>Ley General:</w:t>
            </w:r>
          </w:p>
        </w:tc>
        <w:tc>
          <w:tcPr>
            <w:tcW w:w="2958" w:type="pct"/>
            <w:shd w:val="clear" w:color="auto" w:fill="auto"/>
            <w:vAlign w:val="center"/>
          </w:tcPr>
          <w:p w14:paraId="436BBACD" w14:textId="77777777" w:rsidR="00851620" w:rsidRPr="008F09DD" w:rsidRDefault="00851620" w:rsidP="009A251F">
            <w:pPr>
              <w:spacing w:before="60" w:after="60" w:line="288" w:lineRule="auto"/>
              <w:ind w:left="57"/>
              <w:rPr>
                <w:sz w:val="20"/>
                <w:szCs w:val="20"/>
              </w:rPr>
            </w:pPr>
            <w:r w:rsidRPr="008F09DD">
              <w:rPr>
                <w:sz w:val="20"/>
                <w:szCs w:val="20"/>
              </w:rPr>
              <w:t>Ley General de Instituciones y Procedimientos Electorales.</w:t>
            </w:r>
          </w:p>
        </w:tc>
      </w:tr>
      <w:tr w:rsidR="00851620" w:rsidRPr="003D6B4E" w14:paraId="14872435" w14:textId="77777777" w:rsidTr="009A251F">
        <w:trPr>
          <w:trHeight w:val="624"/>
          <w:jc w:val="center"/>
        </w:trPr>
        <w:tc>
          <w:tcPr>
            <w:tcW w:w="2042" w:type="pct"/>
            <w:shd w:val="clear" w:color="auto" w:fill="auto"/>
            <w:vAlign w:val="center"/>
          </w:tcPr>
          <w:p w14:paraId="2FAB00CC" w14:textId="77777777" w:rsidR="00851620" w:rsidRPr="008F09DD" w:rsidRDefault="00851620" w:rsidP="009A251F">
            <w:pPr>
              <w:spacing w:before="60" w:after="60" w:line="288" w:lineRule="auto"/>
              <w:ind w:left="57"/>
              <w:jc w:val="right"/>
              <w:rPr>
                <w:b/>
                <w:sz w:val="20"/>
                <w:szCs w:val="20"/>
              </w:rPr>
            </w:pPr>
            <w:r w:rsidRPr="008F09DD">
              <w:rPr>
                <w:b/>
                <w:sz w:val="20"/>
                <w:szCs w:val="20"/>
              </w:rPr>
              <w:t>Organismo electoral:</w:t>
            </w:r>
          </w:p>
        </w:tc>
        <w:tc>
          <w:tcPr>
            <w:tcW w:w="2958" w:type="pct"/>
            <w:shd w:val="clear" w:color="auto" w:fill="auto"/>
            <w:vAlign w:val="center"/>
          </w:tcPr>
          <w:p w14:paraId="4E4A540C" w14:textId="77777777" w:rsidR="00851620" w:rsidRPr="008F09DD" w:rsidRDefault="00851620" w:rsidP="009A251F">
            <w:pPr>
              <w:spacing w:before="60" w:after="60" w:line="288" w:lineRule="auto"/>
              <w:ind w:left="57"/>
              <w:rPr>
                <w:sz w:val="20"/>
                <w:szCs w:val="20"/>
              </w:rPr>
            </w:pPr>
            <w:r w:rsidRPr="008F09DD">
              <w:rPr>
                <w:sz w:val="20"/>
                <w:szCs w:val="20"/>
              </w:rPr>
              <w:t xml:space="preserve">Organismo(s) público(s) local(es) electoral(es). </w:t>
            </w:r>
          </w:p>
        </w:tc>
      </w:tr>
      <w:tr w:rsidR="00851620" w:rsidRPr="003D6B4E" w14:paraId="79F8D65F" w14:textId="77777777" w:rsidTr="009A251F">
        <w:trPr>
          <w:trHeight w:val="624"/>
          <w:jc w:val="center"/>
        </w:trPr>
        <w:tc>
          <w:tcPr>
            <w:tcW w:w="2042" w:type="pct"/>
            <w:shd w:val="clear" w:color="auto" w:fill="auto"/>
            <w:vAlign w:val="center"/>
          </w:tcPr>
          <w:p w14:paraId="1F84C28C" w14:textId="77777777" w:rsidR="00851620" w:rsidRPr="008F09DD" w:rsidRDefault="00851620" w:rsidP="009A251F">
            <w:pPr>
              <w:spacing w:before="60" w:after="60" w:line="288" w:lineRule="auto"/>
              <w:ind w:left="57"/>
              <w:jc w:val="right"/>
              <w:rPr>
                <w:b/>
                <w:sz w:val="20"/>
                <w:szCs w:val="20"/>
              </w:rPr>
            </w:pPr>
            <w:r w:rsidRPr="008F09DD">
              <w:rPr>
                <w:b/>
                <w:sz w:val="20"/>
                <w:szCs w:val="20"/>
              </w:rPr>
              <w:t>Reglamento de Elecciones:</w:t>
            </w:r>
          </w:p>
        </w:tc>
        <w:tc>
          <w:tcPr>
            <w:tcW w:w="2958" w:type="pct"/>
            <w:shd w:val="clear" w:color="auto" w:fill="auto"/>
            <w:vAlign w:val="center"/>
          </w:tcPr>
          <w:p w14:paraId="43283EAA" w14:textId="77777777" w:rsidR="00851620" w:rsidRPr="008F09DD" w:rsidRDefault="00851620" w:rsidP="009A251F">
            <w:pPr>
              <w:spacing w:before="60" w:after="60" w:line="288" w:lineRule="auto"/>
              <w:ind w:left="57"/>
              <w:rPr>
                <w:sz w:val="20"/>
                <w:szCs w:val="20"/>
              </w:rPr>
            </w:pPr>
            <w:r w:rsidRPr="008F09DD">
              <w:rPr>
                <w:sz w:val="20"/>
                <w:szCs w:val="20"/>
              </w:rPr>
              <w:t>Reglamento de Elecciones del Instituto Nacional Electoral.</w:t>
            </w:r>
          </w:p>
        </w:tc>
      </w:tr>
      <w:tr w:rsidR="00851620" w:rsidRPr="003D6B4E" w14:paraId="19556ABE" w14:textId="77777777" w:rsidTr="009A251F">
        <w:trPr>
          <w:trHeight w:val="624"/>
          <w:jc w:val="center"/>
        </w:trPr>
        <w:tc>
          <w:tcPr>
            <w:tcW w:w="2042" w:type="pct"/>
            <w:shd w:val="clear" w:color="auto" w:fill="auto"/>
            <w:vAlign w:val="center"/>
          </w:tcPr>
          <w:p w14:paraId="5A44F9D0" w14:textId="77777777" w:rsidR="00851620" w:rsidRPr="008F09DD" w:rsidRDefault="00851620" w:rsidP="009A251F">
            <w:pPr>
              <w:spacing w:before="60" w:after="60" w:line="288" w:lineRule="auto"/>
              <w:ind w:left="57"/>
              <w:jc w:val="right"/>
              <w:rPr>
                <w:b/>
                <w:sz w:val="20"/>
                <w:szCs w:val="20"/>
              </w:rPr>
            </w:pPr>
            <w:r w:rsidRPr="008F09DD">
              <w:rPr>
                <w:b/>
                <w:sz w:val="20"/>
                <w:szCs w:val="20"/>
              </w:rPr>
              <w:t>Secretaría Ejecutiva:</w:t>
            </w:r>
          </w:p>
        </w:tc>
        <w:tc>
          <w:tcPr>
            <w:tcW w:w="2958" w:type="pct"/>
            <w:shd w:val="clear" w:color="auto" w:fill="auto"/>
            <w:vAlign w:val="center"/>
          </w:tcPr>
          <w:p w14:paraId="233091C8" w14:textId="77777777" w:rsidR="00851620" w:rsidRPr="008F09DD" w:rsidRDefault="00851620" w:rsidP="009A251F">
            <w:pPr>
              <w:spacing w:before="60" w:after="60" w:line="288" w:lineRule="auto"/>
              <w:ind w:left="57"/>
              <w:rPr>
                <w:sz w:val="20"/>
                <w:szCs w:val="20"/>
              </w:rPr>
            </w:pPr>
            <w:r w:rsidRPr="008F09DD">
              <w:rPr>
                <w:sz w:val="20"/>
                <w:szCs w:val="20"/>
              </w:rPr>
              <w:t>Secretaría Ejecutiva del Instituto Electoral y de Participación Ciudadana de Tabasco.</w:t>
            </w:r>
          </w:p>
        </w:tc>
      </w:tr>
      <w:tr w:rsidR="00F317DB" w:rsidRPr="003D6B4E" w14:paraId="20448337" w14:textId="77777777" w:rsidTr="009A251F">
        <w:trPr>
          <w:trHeight w:val="624"/>
          <w:jc w:val="center"/>
        </w:trPr>
        <w:tc>
          <w:tcPr>
            <w:tcW w:w="2042" w:type="pct"/>
            <w:shd w:val="clear" w:color="auto" w:fill="auto"/>
            <w:vAlign w:val="center"/>
          </w:tcPr>
          <w:p w14:paraId="4FA0799C" w14:textId="1AF3347D" w:rsidR="00F317DB" w:rsidRPr="008F09DD" w:rsidRDefault="00F317DB" w:rsidP="009A251F">
            <w:pPr>
              <w:spacing w:before="60" w:after="60" w:line="288" w:lineRule="auto"/>
              <w:ind w:left="57"/>
              <w:jc w:val="right"/>
              <w:rPr>
                <w:b/>
                <w:sz w:val="20"/>
                <w:szCs w:val="20"/>
              </w:rPr>
            </w:pPr>
            <w:r w:rsidRPr="008F09DD">
              <w:rPr>
                <w:b/>
                <w:sz w:val="20"/>
                <w:szCs w:val="20"/>
              </w:rPr>
              <w:t>Sistema:</w:t>
            </w:r>
          </w:p>
        </w:tc>
        <w:tc>
          <w:tcPr>
            <w:tcW w:w="2958" w:type="pct"/>
            <w:shd w:val="clear" w:color="auto" w:fill="auto"/>
            <w:vAlign w:val="center"/>
          </w:tcPr>
          <w:p w14:paraId="5A6643D1" w14:textId="3420F7E3" w:rsidR="00F317DB" w:rsidRPr="008F09DD" w:rsidRDefault="00F317DB" w:rsidP="009A251F">
            <w:pPr>
              <w:spacing w:before="60" w:after="60" w:line="288" w:lineRule="auto"/>
              <w:ind w:left="57"/>
              <w:rPr>
                <w:sz w:val="20"/>
                <w:szCs w:val="20"/>
              </w:rPr>
            </w:pPr>
            <w:r w:rsidRPr="008F09DD">
              <w:rPr>
                <w:sz w:val="20"/>
                <w:szCs w:val="20"/>
              </w:rPr>
              <w:t xml:space="preserve">Sistema </w:t>
            </w:r>
            <w:r w:rsidR="00D350B0" w:rsidRPr="008F09DD">
              <w:rPr>
                <w:sz w:val="20"/>
                <w:szCs w:val="20"/>
              </w:rPr>
              <w:t>“</w:t>
            </w:r>
            <w:r w:rsidRPr="008F09DD">
              <w:rPr>
                <w:sz w:val="20"/>
                <w:szCs w:val="20"/>
              </w:rPr>
              <w:t>Candidatas y Candidatos</w:t>
            </w:r>
            <w:r w:rsidR="00D350B0" w:rsidRPr="008F09DD">
              <w:rPr>
                <w:sz w:val="20"/>
                <w:szCs w:val="20"/>
              </w:rPr>
              <w:t>:</w:t>
            </w:r>
            <w:r w:rsidRPr="008F09DD">
              <w:rPr>
                <w:sz w:val="20"/>
                <w:szCs w:val="20"/>
              </w:rPr>
              <w:t xml:space="preserve"> Conóceles”.</w:t>
            </w:r>
          </w:p>
        </w:tc>
      </w:tr>
      <w:tr w:rsidR="009E03AD" w:rsidRPr="003D6B4E" w14:paraId="04CCBF7A" w14:textId="77777777" w:rsidTr="009A251F">
        <w:trPr>
          <w:trHeight w:val="624"/>
          <w:jc w:val="center"/>
        </w:trPr>
        <w:tc>
          <w:tcPr>
            <w:tcW w:w="2042" w:type="pct"/>
            <w:shd w:val="clear" w:color="auto" w:fill="auto"/>
            <w:vAlign w:val="center"/>
          </w:tcPr>
          <w:p w14:paraId="5A9A4298" w14:textId="1EEBD333" w:rsidR="009E03AD" w:rsidRPr="008F09DD" w:rsidRDefault="009E03AD" w:rsidP="009A251F">
            <w:pPr>
              <w:spacing w:before="60" w:after="60" w:line="288" w:lineRule="auto"/>
              <w:ind w:left="57"/>
              <w:jc w:val="right"/>
              <w:rPr>
                <w:b/>
                <w:sz w:val="20"/>
                <w:szCs w:val="20"/>
              </w:rPr>
            </w:pPr>
            <w:r w:rsidRPr="008F09DD">
              <w:rPr>
                <w:b/>
                <w:sz w:val="20"/>
                <w:szCs w:val="20"/>
              </w:rPr>
              <w:lastRenderedPageBreak/>
              <w:t>Lineamientos:</w:t>
            </w:r>
          </w:p>
        </w:tc>
        <w:tc>
          <w:tcPr>
            <w:tcW w:w="2958" w:type="pct"/>
            <w:shd w:val="clear" w:color="auto" w:fill="auto"/>
            <w:vAlign w:val="center"/>
          </w:tcPr>
          <w:p w14:paraId="6AF99B6E" w14:textId="467CD5CF" w:rsidR="009E03AD" w:rsidRPr="008F09DD" w:rsidRDefault="009E03AD" w:rsidP="009A251F">
            <w:pPr>
              <w:spacing w:before="60" w:after="60" w:line="288" w:lineRule="auto"/>
              <w:ind w:left="57"/>
              <w:rPr>
                <w:sz w:val="20"/>
                <w:szCs w:val="20"/>
              </w:rPr>
            </w:pPr>
            <w:r w:rsidRPr="008F09DD">
              <w:rPr>
                <w:sz w:val="20"/>
                <w:szCs w:val="20"/>
              </w:rPr>
              <w:t>Lineamientos para el Uso del Sistema “Candidatas y Candidatos: Conóceles” para los procesos electorales federales y locales.</w:t>
            </w:r>
          </w:p>
        </w:tc>
      </w:tr>
    </w:tbl>
    <w:p w14:paraId="20C4752C" w14:textId="77777777" w:rsidR="00851620" w:rsidRPr="008F09DD" w:rsidRDefault="00851620" w:rsidP="003D6B4E">
      <w:pPr>
        <w:pStyle w:val="Ttulo1"/>
        <w:rPr>
          <w:sz w:val="24"/>
          <w:szCs w:val="24"/>
        </w:rPr>
      </w:pPr>
      <w:r w:rsidRPr="008F09DD">
        <w:rPr>
          <w:sz w:val="24"/>
          <w:szCs w:val="24"/>
        </w:rPr>
        <w:t>Antecedentes</w:t>
      </w:r>
    </w:p>
    <w:p w14:paraId="24AD9F13" w14:textId="77777777" w:rsidR="00E74301" w:rsidRPr="008F09DD" w:rsidRDefault="00E74301" w:rsidP="009538E2">
      <w:pPr>
        <w:pStyle w:val="Ttulo2"/>
        <w:rPr>
          <w:sz w:val="23"/>
          <w:szCs w:val="23"/>
        </w:rPr>
      </w:pPr>
      <w:r w:rsidRPr="008F09DD">
        <w:rPr>
          <w:sz w:val="23"/>
          <w:szCs w:val="23"/>
        </w:rPr>
        <w:t>Homologación de plazos y fechas en los Procesos Electorales Locales Concurrentes</w:t>
      </w:r>
    </w:p>
    <w:p w14:paraId="33BC6D6D" w14:textId="77777777" w:rsidR="00E74301" w:rsidRPr="008F09DD" w:rsidRDefault="00E74301" w:rsidP="00E74301">
      <w:r w:rsidRPr="008F09DD">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EBEBA0D" w14:textId="77777777" w:rsidR="00E74301" w:rsidRPr="008F09DD" w:rsidRDefault="00E74301" w:rsidP="009538E2">
      <w:pPr>
        <w:pStyle w:val="Ttulo2"/>
        <w:rPr>
          <w:sz w:val="23"/>
          <w:szCs w:val="23"/>
        </w:rPr>
      </w:pPr>
      <w:r w:rsidRPr="008F09DD">
        <w:rPr>
          <w:sz w:val="23"/>
          <w:szCs w:val="23"/>
        </w:rPr>
        <w:t xml:space="preserve">Plan Integral y Calendario de Coordinación </w:t>
      </w:r>
    </w:p>
    <w:p w14:paraId="55F45B30" w14:textId="77777777" w:rsidR="00E74301" w:rsidRPr="008F09DD" w:rsidRDefault="00E74301" w:rsidP="00E74301">
      <w:r w:rsidRPr="008F09DD">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EB4BC99" w14:textId="0E8E5212" w:rsidR="00F317DB" w:rsidRPr="008F09DD" w:rsidRDefault="0076229F" w:rsidP="009538E2">
      <w:pPr>
        <w:pStyle w:val="Ttulo2"/>
        <w:rPr>
          <w:sz w:val="23"/>
          <w:szCs w:val="23"/>
        </w:rPr>
      </w:pPr>
      <w:r w:rsidRPr="008F09DD">
        <w:rPr>
          <w:sz w:val="23"/>
          <w:szCs w:val="23"/>
        </w:rPr>
        <w:t>Lineamientos para el uso del Sistema</w:t>
      </w:r>
    </w:p>
    <w:p w14:paraId="333212F8" w14:textId="2016E503" w:rsidR="0076229F" w:rsidRPr="008F09DD" w:rsidRDefault="0076229F" w:rsidP="0076229F">
      <w:r w:rsidRPr="008F09DD">
        <w:t xml:space="preserve">El 7 de septiembre de 2022, el Consejo General del INE, mediante acuerdo INE/CG616/2022 modificó el Reglamento de Elecciones para incorporar la obligatoriedad de la publicación de la información curricular y de identidad de las candidaturas en las elecciones federales y locales. Asimismo, aprobó los Lineamientos para el Uso del Sistema </w:t>
      </w:r>
      <w:r w:rsidR="002A0364" w:rsidRPr="008F09DD">
        <w:t>“</w:t>
      </w:r>
      <w:r w:rsidRPr="008F09DD">
        <w:t>Candidatas y Candidatos</w:t>
      </w:r>
      <w:r w:rsidR="002A0364" w:rsidRPr="008F09DD">
        <w:t>: Conóceles” para los procesos electorales federales y locales.</w:t>
      </w:r>
    </w:p>
    <w:p w14:paraId="295C7623" w14:textId="58D3E43D" w:rsidR="00EB2635" w:rsidRPr="008F09DD" w:rsidRDefault="00EB2635" w:rsidP="009538E2">
      <w:pPr>
        <w:pStyle w:val="Ttulo2"/>
        <w:rPr>
          <w:sz w:val="23"/>
          <w:szCs w:val="23"/>
        </w:rPr>
      </w:pPr>
      <w:r w:rsidRPr="008F09DD">
        <w:rPr>
          <w:sz w:val="23"/>
          <w:szCs w:val="23"/>
        </w:rPr>
        <w:lastRenderedPageBreak/>
        <w:t>Designación de la instancia interna responsable del Sistema</w:t>
      </w:r>
    </w:p>
    <w:p w14:paraId="558B3C23" w14:textId="521532E5" w:rsidR="00EB2635" w:rsidRPr="008F09DD" w:rsidRDefault="00EB2635" w:rsidP="0076229F">
      <w:r w:rsidRPr="008F09DD">
        <w:t>El 31 de agosto de 2023, mediante acuerdo CE/2023/017, el Consejo Estatal designó a la Unidad de Tecnologías de la Información y Comunicación (UNITIC) de este Instituto, como la instancia interna responsable de coordinar el desarrollo de las actividades del Sistema de acuerdo con los Lineamientos aprobados por el INE.</w:t>
      </w:r>
    </w:p>
    <w:p w14:paraId="64BEE5B9" w14:textId="77777777" w:rsidR="00E74301" w:rsidRPr="008F09DD" w:rsidRDefault="00E74301" w:rsidP="009538E2">
      <w:pPr>
        <w:pStyle w:val="Ttulo2"/>
        <w:rPr>
          <w:sz w:val="23"/>
          <w:szCs w:val="23"/>
        </w:rPr>
      </w:pPr>
      <w:r w:rsidRPr="008F09DD">
        <w:rPr>
          <w:sz w:val="23"/>
          <w:szCs w:val="23"/>
        </w:rPr>
        <w:t xml:space="preserve">Integración de la Comisión </w:t>
      </w:r>
    </w:p>
    <w:p w14:paraId="0A7FD56F" w14:textId="77777777" w:rsidR="00E74301" w:rsidRPr="008F09DD" w:rsidRDefault="00E74301" w:rsidP="00E74301">
      <w:r w:rsidRPr="008F09DD">
        <w:t>Del mismo modo, en la fecha señalada, mediante acuerdo CE/2023/018, el Consejo Estatal constituyó la Comisión Temporal del Programa de Resultados Electorales Preliminares con motivo del Proceso Electoral.</w:t>
      </w:r>
    </w:p>
    <w:p w14:paraId="652BB407" w14:textId="77777777" w:rsidR="00E74301" w:rsidRPr="008F09DD" w:rsidRDefault="00E74301" w:rsidP="009538E2">
      <w:pPr>
        <w:pStyle w:val="Ttulo2"/>
        <w:rPr>
          <w:sz w:val="23"/>
          <w:szCs w:val="23"/>
        </w:rPr>
      </w:pPr>
      <w:r w:rsidRPr="008F09DD">
        <w:rPr>
          <w:sz w:val="23"/>
          <w:szCs w:val="23"/>
        </w:rPr>
        <w:t>Designación de las personas integrantes del Comité</w:t>
      </w:r>
    </w:p>
    <w:p w14:paraId="58A64CEE" w14:textId="77777777" w:rsidR="00E74301" w:rsidRPr="008F09DD" w:rsidRDefault="00E74301" w:rsidP="00E74301">
      <w:r w:rsidRPr="008F09DD">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3D5D7937" w14:textId="6A112491" w:rsidR="008F6C38" w:rsidRPr="008F09DD" w:rsidRDefault="008F6C38" w:rsidP="009538E2">
      <w:pPr>
        <w:pStyle w:val="Ttulo2"/>
        <w:rPr>
          <w:sz w:val="23"/>
          <w:szCs w:val="23"/>
        </w:rPr>
      </w:pPr>
      <w:r w:rsidRPr="008F09DD">
        <w:rPr>
          <w:sz w:val="23"/>
          <w:szCs w:val="23"/>
        </w:rPr>
        <w:t>Inicio del Proceso Electoral</w:t>
      </w:r>
    </w:p>
    <w:p w14:paraId="65183B32" w14:textId="32EB6B10" w:rsidR="008F1CD3" w:rsidRPr="008F09DD" w:rsidRDefault="008F1CD3" w:rsidP="00EC1CA4">
      <w:r w:rsidRPr="008F09DD">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0F2D6E61" w14:textId="06B69E12" w:rsidR="00B0013A" w:rsidRPr="008F09DD" w:rsidRDefault="008F6C38" w:rsidP="009538E2">
      <w:pPr>
        <w:pStyle w:val="Ttulo2"/>
        <w:rPr>
          <w:sz w:val="23"/>
          <w:szCs w:val="23"/>
        </w:rPr>
      </w:pPr>
      <w:r w:rsidRPr="008F09DD">
        <w:rPr>
          <w:sz w:val="23"/>
          <w:szCs w:val="23"/>
        </w:rPr>
        <w:t>Jornada electoral</w:t>
      </w:r>
    </w:p>
    <w:p w14:paraId="40330563" w14:textId="2517C480" w:rsidR="008F6C38" w:rsidRPr="008F09DD" w:rsidRDefault="00B0013A" w:rsidP="00EC1CA4">
      <w:r w:rsidRPr="008F09DD">
        <w:t xml:space="preserve">Por su parte, </w:t>
      </w:r>
      <w:r w:rsidR="008F6C38" w:rsidRPr="008F09DD">
        <w:t xml:space="preserve">los artículos 25, numeral 1 de la Ley General y 27, numeral 1, fracciones II y III de la Ley Electoral, </w:t>
      </w:r>
      <w:r w:rsidRPr="008F09DD">
        <w:t xml:space="preserve">disponen que </w:t>
      </w:r>
      <w:r w:rsidR="008F6C38" w:rsidRPr="008F09DD">
        <w:t>las elecciones ordinarias en las que se elijan</w:t>
      </w:r>
      <w:r w:rsidR="005811E9" w:rsidRPr="008F09DD">
        <w:t xml:space="preserve"> Gobernadoras o Gobernadores, miembros de las legislaturas locales e integrantes de los Ayuntamientos</w:t>
      </w:r>
      <w:r w:rsidR="008F6C38" w:rsidRPr="008F09DD">
        <w:t xml:space="preserve">, deberán celebrarse el primer domingo de junio del año que </w:t>
      </w:r>
      <w:r w:rsidR="008F6C38" w:rsidRPr="008F09DD">
        <w:lastRenderedPageBreak/>
        <w:t>corresponda</w:t>
      </w:r>
      <w:r w:rsidR="005811E9" w:rsidRPr="008F09DD">
        <w:t xml:space="preserve">. Conforme a tales disposiciones, la jornada electoral por la que se renovará al titular del Poder Ejecutivo, a </w:t>
      </w:r>
      <w:r w:rsidR="008F6C38" w:rsidRPr="008F09DD">
        <w:t xml:space="preserve">las </w:t>
      </w:r>
      <w:r w:rsidR="005811E9" w:rsidRPr="008F09DD">
        <w:t xml:space="preserve">y los diputados, así como a las regidurías de los 17 ayuntamientos en la entidad </w:t>
      </w:r>
      <w:r w:rsidR="008F6C38" w:rsidRPr="008F09DD">
        <w:t xml:space="preserve">se efectuará el </w:t>
      </w:r>
      <w:r w:rsidR="005811E9" w:rsidRPr="008F09DD">
        <w:t xml:space="preserve">2 </w:t>
      </w:r>
      <w:r w:rsidR="008F6C38" w:rsidRPr="008F09DD">
        <w:t xml:space="preserve">de junio </w:t>
      </w:r>
      <w:r w:rsidR="005811E9" w:rsidRPr="008F09DD">
        <w:t>del 2024</w:t>
      </w:r>
      <w:r w:rsidR="008F6C38" w:rsidRPr="008F09DD">
        <w:t>.</w:t>
      </w:r>
    </w:p>
    <w:p w14:paraId="0A5B2F05" w14:textId="46FF4F8C" w:rsidR="00024F32" w:rsidRPr="008F09DD" w:rsidRDefault="00024F32" w:rsidP="009538E2">
      <w:pPr>
        <w:pStyle w:val="Ttulo2"/>
        <w:rPr>
          <w:sz w:val="23"/>
          <w:szCs w:val="23"/>
        </w:rPr>
      </w:pPr>
      <w:r w:rsidRPr="008F09DD">
        <w:rPr>
          <w:sz w:val="23"/>
          <w:szCs w:val="23"/>
        </w:rPr>
        <w:t>Aprobación de la propuesta del Proceso Técnico Operativo del Sistema</w:t>
      </w:r>
    </w:p>
    <w:p w14:paraId="67278F35" w14:textId="7D67E449" w:rsidR="00024F32" w:rsidRPr="009538E2" w:rsidRDefault="00024F32" w:rsidP="00024F32">
      <w:r w:rsidRPr="008F09DD">
        <w:t xml:space="preserve">El 27 de diciembre de 2023, la Comisión aprobó el proyecto del Proceso Técnico Operativo del </w:t>
      </w:r>
      <w:r w:rsidR="00C05936" w:rsidRPr="008F09DD">
        <w:t>Sistema</w:t>
      </w:r>
      <w:r w:rsidR="00264888" w:rsidRPr="008F09DD">
        <w:t>;</w:t>
      </w:r>
      <w:r w:rsidRPr="008F09DD">
        <w:t xml:space="preserve"> </w:t>
      </w:r>
      <w:r w:rsidR="00264888" w:rsidRPr="008F09DD">
        <w:t>d</w:t>
      </w:r>
      <w:r w:rsidRPr="008F09DD">
        <w:t>ocumento que, en la misma fecha</w:t>
      </w:r>
      <w:r w:rsidR="001E458F" w:rsidRPr="008F09DD">
        <w:t>,</w:t>
      </w:r>
      <w:r w:rsidRPr="008F09DD">
        <w:t xml:space="preserve"> la Secretaría Técnica de la Comisión </w:t>
      </w:r>
      <w:r w:rsidR="00DB0717" w:rsidRPr="008F09DD">
        <w:t xml:space="preserve">remitió </w:t>
      </w:r>
      <w:r w:rsidRPr="008F09DD">
        <w:t xml:space="preserve">a la Presidencia del Consejo Estatal, para </w:t>
      </w:r>
      <w:r w:rsidR="00DB0717" w:rsidRPr="008F09DD">
        <w:t>la deliberación y</w:t>
      </w:r>
      <w:r w:rsidRPr="008F09DD">
        <w:t xml:space="preserve">, en su caso, aprobación </w:t>
      </w:r>
      <w:r w:rsidR="00DB0717" w:rsidRPr="008F09DD">
        <w:t xml:space="preserve">por parte de </w:t>
      </w:r>
      <w:r w:rsidRPr="008F09DD">
        <w:t>este órgano colegiado</w:t>
      </w:r>
      <w:r w:rsidRPr="00945074">
        <w:t>.</w:t>
      </w:r>
    </w:p>
    <w:p w14:paraId="2ED5B820" w14:textId="77777777" w:rsidR="00851620" w:rsidRPr="008F09DD" w:rsidRDefault="00851620" w:rsidP="003D6B4E">
      <w:pPr>
        <w:pStyle w:val="Ttulo1"/>
        <w:rPr>
          <w:sz w:val="24"/>
          <w:szCs w:val="24"/>
        </w:rPr>
      </w:pPr>
      <w:r w:rsidRPr="008F09DD">
        <w:rPr>
          <w:sz w:val="24"/>
          <w:szCs w:val="24"/>
        </w:rPr>
        <w:t>Considerando</w:t>
      </w:r>
    </w:p>
    <w:p w14:paraId="5805754C" w14:textId="425FD616" w:rsidR="00851620" w:rsidRPr="008F09DD" w:rsidRDefault="00851620" w:rsidP="009538E2">
      <w:pPr>
        <w:pStyle w:val="Ttulo2"/>
        <w:rPr>
          <w:sz w:val="23"/>
          <w:szCs w:val="23"/>
        </w:rPr>
      </w:pPr>
      <w:r w:rsidRPr="008F09DD">
        <w:rPr>
          <w:sz w:val="23"/>
          <w:szCs w:val="23"/>
        </w:rPr>
        <w:t xml:space="preserve">Fines del Instituto Electoral </w:t>
      </w:r>
      <w:r w:rsidR="006A72ED" w:rsidRPr="008F09DD">
        <w:rPr>
          <w:sz w:val="23"/>
          <w:szCs w:val="23"/>
        </w:rPr>
        <w:t xml:space="preserve"> </w:t>
      </w:r>
    </w:p>
    <w:p w14:paraId="6471BDFF" w14:textId="77777777" w:rsidR="00851620" w:rsidRPr="008F09DD" w:rsidRDefault="00851620" w:rsidP="00EC1CA4">
      <w:r w:rsidRPr="008F09DD">
        <w:t>Que, de conformidad con los artículos 9, apartado C, fracción I, de la Constitución Local, 3 numeral 3, 100 y 102 numeral 1,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A92D439" w14:textId="77777777" w:rsidR="00851620" w:rsidRPr="008F09DD" w:rsidRDefault="00851620" w:rsidP="00EC1CA4">
      <w:r w:rsidRPr="008F09DD">
        <w:t xml:space="preserve">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w:t>
      </w:r>
      <w:r w:rsidRPr="008F09DD">
        <w:lastRenderedPageBreak/>
        <w:t>las mujeres en el ámbito político y electoral; y, organizar o coadyuvar a la realización de los ejercicios de consultas populares y demás formas de participación ciudadana, de conformidad con lo que dispongan las leyes.</w:t>
      </w:r>
    </w:p>
    <w:p w14:paraId="6DE480D2" w14:textId="77777777" w:rsidR="00851620" w:rsidRPr="008F09DD" w:rsidRDefault="00851620" w:rsidP="009538E2">
      <w:pPr>
        <w:pStyle w:val="Ttulo2"/>
        <w:rPr>
          <w:sz w:val="23"/>
          <w:szCs w:val="23"/>
        </w:rPr>
      </w:pPr>
      <w:r w:rsidRPr="008F09DD">
        <w:rPr>
          <w:sz w:val="23"/>
          <w:szCs w:val="23"/>
        </w:rPr>
        <w:t>Órganos Centrales del Instituto Electoral</w:t>
      </w:r>
    </w:p>
    <w:p w14:paraId="722EEAB4" w14:textId="77777777" w:rsidR="00851620" w:rsidRPr="008F09DD" w:rsidRDefault="00851620" w:rsidP="00EC1CA4">
      <w:r w:rsidRPr="008F09DD">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0CEEE352" w14:textId="77777777" w:rsidR="00851620" w:rsidRPr="008F09DD" w:rsidRDefault="00851620" w:rsidP="009538E2">
      <w:pPr>
        <w:pStyle w:val="Ttulo2"/>
        <w:rPr>
          <w:sz w:val="23"/>
          <w:szCs w:val="23"/>
        </w:rPr>
      </w:pPr>
      <w:r w:rsidRPr="008F09DD">
        <w:rPr>
          <w:sz w:val="23"/>
          <w:szCs w:val="23"/>
        </w:rPr>
        <w:t>Órgano Superior de Dirección del Instituto Electoral</w:t>
      </w:r>
    </w:p>
    <w:p w14:paraId="439371DE" w14:textId="1F95D2FC" w:rsidR="00851620" w:rsidRPr="008F09DD" w:rsidRDefault="00851620" w:rsidP="00EC1CA4">
      <w:r w:rsidRPr="008F09DD">
        <w:t xml:space="preserve">Que, de acuerdo con el artículo 106 de la Ley Electoral, el Consejo Estatal es el órgano superior de dirección, responsable de vigilar el cumplimiento de las disposiciones constitucionales y legales en materia electoral, así como de velar </w:t>
      </w:r>
      <w:r w:rsidR="00792396" w:rsidRPr="008F09DD">
        <w:t>que</w:t>
      </w:r>
      <w:r w:rsidRPr="008F09DD">
        <w:t xml:space="preserve"> los principios de certeza, legalidad, independencia, máxima publicidad, imparcialidad, objetividad y paridad de género, guíen todas las actividades del Instituto Electoral.</w:t>
      </w:r>
    </w:p>
    <w:p w14:paraId="0A842A84" w14:textId="77777777" w:rsidR="00851620" w:rsidRPr="008F09DD" w:rsidRDefault="00851620" w:rsidP="009538E2">
      <w:pPr>
        <w:pStyle w:val="Ttulo2"/>
        <w:rPr>
          <w:sz w:val="23"/>
          <w:szCs w:val="23"/>
        </w:rPr>
      </w:pPr>
      <w:r w:rsidRPr="008F09DD">
        <w:rPr>
          <w:sz w:val="23"/>
          <w:szCs w:val="23"/>
        </w:rPr>
        <w:t>Integración del Órgano de Dirección Superior</w:t>
      </w:r>
    </w:p>
    <w:p w14:paraId="0B5FCDC4" w14:textId="77777777" w:rsidR="00851620" w:rsidRPr="008F09DD" w:rsidRDefault="00851620" w:rsidP="00EC1CA4">
      <w:r w:rsidRPr="008F09DD">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5659A70" w14:textId="77777777" w:rsidR="00851620" w:rsidRPr="008F09DD" w:rsidRDefault="00851620" w:rsidP="009538E2">
      <w:pPr>
        <w:pStyle w:val="Ttulo2"/>
        <w:rPr>
          <w:sz w:val="23"/>
          <w:szCs w:val="23"/>
        </w:rPr>
      </w:pPr>
      <w:r w:rsidRPr="008F09DD">
        <w:rPr>
          <w:sz w:val="23"/>
          <w:szCs w:val="23"/>
        </w:rPr>
        <w:t xml:space="preserve">Competencia del Consejo Estatal </w:t>
      </w:r>
    </w:p>
    <w:p w14:paraId="0C627046" w14:textId="4A4C2B4F" w:rsidR="000A0195" w:rsidRPr="008F09DD" w:rsidRDefault="00851620" w:rsidP="00EC1CA4">
      <w:r w:rsidRPr="008F09DD">
        <w:t xml:space="preserve">Que, de conformidad con el artículo 115, numeral 1, fracciones </w:t>
      </w:r>
      <w:r w:rsidR="00E448E2" w:rsidRPr="008F09DD">
        <w:t xml:space="preserve">I y </w:t>
      </w:r>
      <w:r w:rsidRPr="008F09DD">
        <w:t xml:space="preserve">XV de la Ley Electoral, el Consejo Estatal </w:t>
      </w:r>
      <w:r w:rsidR="00E448E2" w:rsidRPr="008F09DD">
        <w:t xml:space="preserve">es competente para aplicar las disposiciones generales, reglas, lineamientos, criterios y formatos que, en ejercicio de las facultades que le confieren la Constitución Federal y la Ley General, establezca el </w:t>
      </w:r>
      <w:r w:rsidR="00653B98" w:rsidRPr="008F09DD">
        <w:t>INE,</w:t>
      </w:r>
      <w:r w:rsidR="00E448E2" w:rsidRPr="008F09DD">
        <w:t xml:space="preserve"> así como </w:t>
      </w:r>
      <w:r w:rsidRPr="008F09DD">
        <w:t>para llevar a cabo las actividades necesarias para la preparación de la jornada electoral</w:t>
      </w:r>
      <w:r w:rsidR="000A0195" w:rsidRPr="008F09DD">
        <w:t>.</w:t>
      </w:r>
    </w:p>
    <w:p w14:paraId="73B02B06" w14:textId="77777777" w:rsidR="00851620" w:rsidRPr="008F09DD" w:rsidRDefault="00851620" w:rsidP="00EC1CA4">
      <w:r w:rsidRPr="008F09DD">
        <w:lastRenderedPageBreak/>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C4C4AB3" w14:textId="77777777" w:rsidR="00952F25" w:rsidRPr="008F09DD" w:rsidRDefault="00952F25" w:rsidP="009538E2">
      <w:pPr>
        <w:pStyle w:val="Ttulo2"/>
        <w:rPr>
          <w:sz w:val="23"/>
          <w:szCs w:val="23"/>
        </w:rPr>
      </w:pPr>
      <w:r w:rsidRPr="008F09DD">
        <w:rPr>
          <w:sz w:val="23"/>
          <w:szCs w:val="23"/>
        </w:rPr>
        <w:t>Implementación del Sistema “Candidatas y Candidatos: Conóceles”</w:t>
      </w:r>
    </w:p>
    <w:p w14:paraId="75DAA617" w14:textId="77777777" w:rsidR="00952F25" w:rsidRPr="008F09DD" w:rsidRDefault="00952F25" w:rsidP="00952F25">
      <w:r w:rsidRPr="008F09DD">
        <w:t>Que, de conformidad con el artículo 4 de los Lineamientos, el Sistema se implementó el objetivo de facilitar a la ciudadanía el acceso a la información de las personas candidatas que participan a puestos de elección popular en los procesos electorales locales, maximizar la transparencia en la difusión de las candidaturas, la participación de la población y el voto informado y razonado, a efecto de optimizar la toma de decisiones de la ciudadanía; asimismo, para que los organismos electorales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w:t>
      </w:r>
    </w:p>
    <w:p w14:paraId="0CC55F0E" w14:textId="2A2908EA" w:rsidR="00054270" w:rsidRPr="008F09DD" w:rsidRDefault="00054270" w:rsidP="00DA77E9">
      <w:r w:rsidRPr="008F09DD">
        <w:t>El Sistema funcionará conforme a los siguientes criterios:</w:t>
      </w:r>
    </w:p>
    <w:p w14:paraId="5DC6C1C2" w14:textId="24336C7E" w:rsidR="00054270" w:rsidRPr="008F09DD" w:rsidRDefault="00054270" w:rsidP="0045624E">
      <w:pPr>
        <w:pStyle w:val="Prrafodelista"/>
        <w:numPr>
          <w:ilvl w:val="0"/>
          <w:numId w:val="2"/>
        </w:numPr>
        <w:spacing w:before="120" w:after="120"/>
        <w:ind w:left="357" w:hanging="357"/>
        <w:contextualSpacing w:val="0"/>
      </w:pPr>
      <w:r w:rsidRPr="008F09DD">
        <w:t>Sólo podrá ser utilizado para los fines que fue creado;</w:t>
      </w:r>
    </w:p>
    <w:p w14:paraId="129DAF4B" w14:textId="7786A11D" w:rsidR="00054270" w:rsidRPr="008F09DD" w:rsidRDefault="00054270" w:rsidP="0045624E">
      <w:pPr>
        <w:pStyle w:val="Prrafodelista"/>
        <w:numPr>
          <w:ilvl w:val="0"/>
          <w:numId w:val="2"/>
        </w:numPr>
        <w:spacing w:before="120" w:after="120"/>
        <w:ind w:left="357" w:hanging="357"/>
        <w:contextualSpacing w:val="0"/>
      </w:pPr>
      <w:r w:rsidRPr="008F09DD">
        <w:t xml:space="preserve">Generará dos bases de datos, una correspondiente al cuestionario de identidad y la segunda al cuestionario curricular; </w:t>
      </w:r>
    </w:p>
    <w:p w14:paraId="1BF7654D" w14:textId="22790638" w:rsidR="00054270" w:rsidRPr="008F09DD" w:rsidRDefault="00054270" w:rsidP="0045624E">
      <w:pPr>
        <w:pStyle w:val="Prrafodelista"/>
        <w:numPr>
          <w:ilvl w:val="0"/>
          <w:numId w:val="2"/>
        </w:numPr>
        <w:spacing w:before="120" w:after="120"/>
        <w:ind w:left="357" w:hanging="357"/>
        <w:contextualSpacing w:val="0"/>
      </w:pPr>
      <w:r w:rsidRPr="008F09DD">
        <w:t xml:space="preserve">La captura y consulta será a través de Internet, por conducto de la URL que para tal efecto proporcione el organismo electoral que corresponda; </w:t>
      </w:r>
    </w:p>
    <w:p w14:paraId="5FB3345B" w14:textId="6ED58D45" w:rsidR="00054270" w:rsidRPr="008F09DD" w:rsidRDefault="00054270" w:rsidP="0045624E">
      <w:pPr>
        <w:pStyle w:val="Prrafodelista"/>
        <w:numPr>
          <w:ilvl w:val="0"/>
          <w:numId w:val="2"/>
        </w:numPr>
        <w:spacing w:before="120" w:after="120"/>
        <w:ind w:left="357" w:hanging="357"/>
        <w:contextualSpacing w:val="0"/>
      </w:pPr>
      <w:r w:rsidRPr="008F09DD">
        <w:t xml:space="preserve">El contenido de la información difundida será responsabilidad exclusiva de los partidos políticos, las coaliciones, candidaturas comunes y de las candidaturas independientes, según sea el caso; </w:t>
      </w:r>
    </w:p>
    <w:p w14:paraId="205E021E" w14:textId="77777777" w:rsidR="00850C4E" w:rsidRPr="008F09DD" w:rsidRDefault="00054270" w:rsidP="00850C4E">
      <w:pPr>
        <w:pStyle w:val="Prrafodelista"/>
        <w:numPr>
          <w:ilvl w:val="0"/>
          <w:numId w:val="2"/>
        </w:numPr>
        <w:spacing w:before="120" w:after="120"/>
        <w:ind w:left="357" w:hanging="357"/>
        <w:contextualSpacing w:val="0"/>
      </w:pPr>
      <w:r w:rsidRPr="008F09DD">
        <w:t>Es exclusivamente un medio de difusión para que la ciudadanía conozca el perfil de las personas candidatas por lo que de ninguna manera podrá ser un medio de propaganda política; y</w:t>
      </w:r>
    </w:p>
    <w:p w14:paraId="52422684" w14:textId="52A721AA" w:rsidR="00850C4E" w:rsidRPr="008F09DD" w:rsidRDefault="00850C4E" w:rsidP="00850C4E">
      <w:pPr>
        <w:pStyle w:val="Prrafodelista"/>
        <w:numPr>
          <w:ilvl w:val="0"/>
          <w:numId w:val="2"/>
        </w:numPr>
        <w:spacing w:before="120" w:after="120"/>
        <w:ind w:left="357" w:hanging="357"/>
        <w:contextualSpacing w:val="0"/>
      </w:pPr>
      <w:r w:rsidRPr="008F09DD">
        <w:lastRenderedPageBreak/>
        <w:t xml:space="preserve">La información del Sistema es con fines informativos, estadísticos y de carácter público, por lo que cualquier persona podrá acceder a los datos contenidos en el Sistema, con excepción de los datos sensibles –en términos de </w:t>
      </w:r>
      <w:r w:rsidR="0054098A" w:rsidRPr="008F09DD">
        <w:t xml:space="preserve">las disposiciones en la materia </w:t>
      </w:r>
      <w:r w:rsidRPr="008F09DD">
        <w:t>-, cuya publicación requerirá la autorización expresa de la persona titular, salvo que se trate de una persona postulada al amparo de una acción afirmativa, en cuyo caso su información deberá ser publicada por ser de interés público.</w:t>
      </w:r>
    </w:p>
    <w:p w14:paraId="3A0447BF" w14:textId="4F91913D" w:rsidR="00B13FC6" w:rsidRPr="008F09DD" w:rsidRDefault="00B13FC6" w:rsidP="005F015A">
      <w:pPr>
        <w:pStyle w:val="Prrafodelista"/>
        <w:spacing w:before="120" w:after="120"/>
        <w:ind w:left="357"/>
        <w:contextualSpacing w:val="0"/>
      </w:pPr>
      <w:r w:rsidRPr="008F09DD">
        <w:t>En este últim</w:t>
      </w:r>
      <w:r w:rsidR="005F015A" w:rsidRPr="008F09DD">
        <w:t xml:space="preserve">o aspecto, </w:t>
      </w:r>
      <w:r w:rsidR="0047693A" w:rsidRPr="008F09DD">
        <w:t xml:space="preserve">a partir de lo razonado en las resoluciones RRA 11955/21 y RRA 10703/21, en las que </w:t>
      </w:r>
      <w:r w:rsidR="005F015A" w:rsidRPr="008F09DD">
        <w:t xml:space="preserve">el Instituto Nacional de Transparencia y Protección de Datos Personales </w:t>
      </w:r>
      <w:r w:rsidR="0047693A" w:rsidRPr="008F09DD">
        <w:t>resolvió una colisión entre dos derechos fundamentales: el concerniente a la protección de datos personales y el relativo al acceso a la información que podría recalificarse como pública, decantándose por este último, a fin de garantizar a la ciudadanía interesada su acceso, en función de la transpar</w:t>
      </w:r>
      <w:r w:rsidR="005F015A" w:rsidRPr="008F09DD">
        <w:t xml:space="preserve">encia y la rendición de cuentas, la Sala Superior del Tribunal Electoral del Poder Judicial de la Federación, sostuvo en el juicio SUP-RAP-289/2022 </w:t>
      </w:r>
      <w:r w:rsidRPr="008F09DD">
        <w:t>que, las personas que se ubican en el contexto del servicio público tienen un umbral distinto de protección en su esfera jurídica de derechos, pues voluntariamente se exponen a la crítica de la población en general, lo que encuentra justificación precisamente por el interés público de las actividades que desempeñan a partir de su gestión gubernativa y, en ese contexto, resulta de especial trascendencia garantizar que todas las personas puedan debatir y cuestionar la capacidad e idoneidad de las personas gobernantes e incluso de las candidaturas, sus propuestas, perfiles, postulados e ideología, a fin que el electorado y la ciudadanía en general pueda formar su criterio para los fines pertinentes, en función del libre discurso y debate político, herramientas fundamentales para la consolidación de la vida democrática, lo que se inscribe en el ámbito del interés público en que estriba la publicitación de la información atinente.</w:t>
      </w:r>
    </w:p>
    <w:p w14:paraId="53A2FE30" w14:textId="77777777" w:rsidR="00B13FC6" w:rsidRPr="008F09DD" w:rsidRDefault="00B13FC6" w:rsidP="00E46479">
      <w:pPr>
        <w:pStyle w:val="Prrafodelista"/>
        <w:ind w:left="357"/>
        <w:contextualSpacing w:val="0"/>
      </w:pPr>
      <w:r w:rsidRPr="008F09DD">
        <w:t xml:space="preserve">En ese contexto, la Sala Superior señaló que es evidente que el dar a conocer a la ciudadanía y al electorado el perfil y aspectos vinculados con las postulaciones a los cargos de elección popular, así como aquellas personas que habiendo sido inscritas en el marco de una acción afirmativa, accedan al ejercicio del poder público, reviste un innegable interés público a fin de que en una sociedad democrática, abierta y plural existan reales condiciones que permitan escrutar los aspectos previamente referidos, ante lo cual, es factible anteponer el interés público </w:t>
      </w:r>
      <w:r w:rsidRPr="008F09DD">
        <w:lastRenderedPageBreak/>
        <w:t>al personal que pudiera oponerse para dejar de publicitar los datos personales necesarios para el ejercicio de los derechos humanos vinculados con la rendición de cuentas y el acceso a la información necesaria para el debate público y el voto de la ciudadanía, de lo que no escapa la pertenencia a grupos en situación de vulnerabilidad, sino que, por el contrario, en esos casos se hace aún más patente la necesidad del escrutinio público, puesto que se parte de la necesidad de verificar la debida eficacia y cumplimiento de las acciones afirmativas y de quienes se ven vinculados con su satisfacción.</w:t>
      </w:r>
    </w:p>
    <w:p w14:paraId="07603775" w14:textId="77777777" w:rsidR="00B13FC6" w:rsidRPr="008F09DD" w:rsidRDefault="00B13FC6" w:rsidP="00E46479">
      <w:pPr>
        <w:pStyle w:val="Prrafodelista"/>
        <w:ind w:left="357"/>
        <w:contextualSpacing w:val="0"/>
      </w:pPr>
      <w:r w:rsidRPr="008F09DD">
        <w:t>En suma, resulta de la mayor importancia que la ciudadanía cuente con posibilidades reales de conocer a quienes se postulen bajo cualquier acción afirmativa o condición correlativa, a fin de que puedan definir su voto por la opción política que resulte más acorde con sus necesidades o preferencias, lo que requiere de una rendición de cuentas respecto de las candidaturas, hayan o no resultado electas, pues sólo así puede verificarse que se cumplan las medidas afirmativas, así como que pueda verificarse públicamente que las personas inscritas bajo su amparo realmente correspondan al sector que busca compensarse y que, así, puedan realmente estar representadas de resultar electas.</w:t>
      </w:r>
    </w:p>
    <w:p w14:paraId="44ACB742" w14:textId="2CF9D4AA" w:rsidR="00B13FC6" w:rsidRPr="008F09DD" w:rsidRDefault="00B13FC6" w:rsidP="00B13FC6">
      <w:pPr>
        <w:pStyle w:val="Prrafodelista"/>
        <w:spacing w:before="120" w:after="120"/>
        <w:ind w:left="357"/>
      </w:pPr>
      <w:r w:rsidRPr="008F09DD">
        <w:t>En esa medida, la publicitación de la información que permita identificar a las candidaturas en función de la inclusión de personas en representación de grupos en situación de vulnerabilidad para su representación en los espacios gubernativos plurales, sirve de mecanismo para controlar y vigilar el actuar de las autoridades electorales, de los partidos políticos y de las propias personas postuladas en la vía de las acciones afirmativas, atendiendo a que todas las personas deben tener acceso a la información que les permita ejercer el derecho de control del funcionariado público y de sus derechos políticos, en específica el de votar en las elecciones populares, en la vía de la toma de decisiones políticas de manera libre e informada.</w:t>
      </w:r>
    </w:p>
    <w:p w14:paraId="2702D70A" w14:textId="550D8663" w:rsidR="006A4465" w:rsidRPr="008F09DD" w:rsidRDefault="007934A2" w:rsidP="009538E2">
      <w:pPr>
        <w:pStyle w:val="Ttulo2"/>
        <w:rPr>
          <w:sz w:val="23"/>
          <w:szCs w:val="23"/>
        </w:rPr>
      </w:pPr>
      <w:r w:rsidRPr="008F09DD">
        <w:rPr>
          <w:sz w:val="23"/>
          <w:szCs w:val="23"/>
        </w:rPr>
        <w:t>Obligación de capturar la información curricular y de identidad</w:t>
      </w:r>
    </w:p>
    <w:p w14:paraId="2A035488" w14:textId="0635E63C" w:rsidR="006A4465" w:rsidRPr="008F09DD" w:rsidRDefault="006A4465" w:rsidP="006A4465">
      <w:r w:rsidRPr="008F09DD">
        <w:t xml:space="preserve">Que, el artículo 267, numeral 4 del Reglamento de Elecciones, dispone que, en </w:t>
      </w:r>
      <w:r w:rsidR="008A43D8" w:rsidRPr="008F09DD">
        <w:t>el ámbito</w:t>
      </w:r>
      <w:r w:rsidRPr="008F09DD">
        <w:t xml:space="preserve"> local, una vez aprobadas las candidaturas por los órganos correspondientes de </w:t>
      </w:r>
      <w:r w:rsidRPr="008F09DD">
        <w:lastRenderedPageBreak/>
        <w:t>cada organismo electoral, los sujetos obligados deberán capturar la información curricular y de identidad en el Sistema implementado en cada organismo electoral, actividades que se rigen de</w:t>
      </w:r>
      <w:r w:rsidR="00656DA7" w:rsidRPr="008F09DD">
        <w:t xml:space="preserve"> acuerdo con los Lineamientos (a</w:t>
      </w:r>
      <w:r w:rsidRPr="008F09DD">
        <w:t>nexo 24.2).</w:t>
      </w:r>
    </w:p>
    <w:p w14:paraId="1DB7E58D" w14:textId="058D50B0" w:rsidR="00054270" w:rsidRPr="008F09DD" w:rsidRDefault="008F1CD3" w:rsidP="009538E2">
      <w:pPr>
        <w:pStyle w:val="Ttulo2"/>
        <w:rPr>
          <w:sz w:val="23"/>
          <w:szCs w:val="23"/>
        </w:rPr>
      </w:pPr>
      <w:r w:rsidRPr="008F09DD">
        <w:rPr>
          <w:sz w:val="23"/>
          <w:szCs w:val="23"/>
        </w:rPr>
        <w:t>I</w:t>
      </w:r>
      <w:r w:rsidR="00172156" w:rsidRPr="008F09DD">
        <w:rPr>
          <w:sz w:val="23"/>
          <w:szCs w:val="23"/>
        </w:rPr>
        <w:t xml:space="preserve">nstancia responsable de </w:t>
      </w:r>
      <w:r w:rsidRPr="008F09DD">
        <w:rPr>
          <w:sz w:val="23"/>
          <w:szCs w:val="23"/>
        </w:rPr>
        <w:t>c</w:t>
      </w:r>
      <w:r w:rsidR="00172156" w:rsidRPr="008F09DD">
        <w:rPr>
          <w:sz w:val="23"/>
          <w:szCs w:val="23"/>
        </w:rPr>
        <w:t xml:space="preserve">oordinar el </w:t>
      </w:r>
      <w:r w:rsidR="00054270" w:rsidRPr="008F09DD">
        <w:rPr>
          <w:sz w:val="23"/>
          <w:szCs w:val="23"/>
        </w:rPr>
        <w:t>Sistema</w:t>
      </w:r>
    </w:p>
    <w:p w14:paraId="3D8FDAE0" w14:textId="39540E74" w:rsidR="00054270" w:rsidRPr="008F09DD" w:rsidRDefault="00AE7755" w:rsidP="00DA77E9">
      <w:r w:rsidRPr="008F09DD">
        <w:t xml:space="preserve">Que, </w:t>
      </w:r>
      <w:r w:rsidR="00B60F9F" w:rsidRPr="008F09DD">
        <w:t xml:space="preserve">el artículo 6 de los Lineamientos refiere que el Órgano Superior de Dirección </w:t>
      </w:r>
      <w:r w:rsidR="007E3E97" w:rsidRPr="008F09DD">
        <w:t xml:space="preserve">de </w:t>
      </w:r>
      <w:r w:rsidR="00711B98" w:rsidRPr="008F09DD">
        <w:t>cada organismo electoral deberá</w:t>
      </w:r>
      <w:r w:rsidR="007E3E97" w:rsidRPr="008F09DD">
        <w:t xml:space="preserve"> designar o ratificar a la instancia interna responsable de coordinar el Sistema y a las unidades responsables que colaborarán en su implementación. Asimismo, dicha instancia conocerá y analizará las opiniones de los partidos políticos y en su caso, candidaturas independientes </w:t>
      </w:r>
      <w:r w:rsidR="002B2F15" w:rsidRPr="008F09DD">
        <w:t>en relación con su implementación y desarrollo.</w:t>
      </w:r>
    </w:p>
    <w:p w14:paraId="1933DD10" w14:textId="5A5AD2ED" w:rsidR="00374FF8" w:rsidRPr="008F09DD" w:rsidRDefault="00374FF8" w:rsidP="00374FF8">
      <w:r w:rsidRPr="008F09DD">
        <w:t>Adicionalmente, el artículo 7 de los Lineamientos establece que la instancia interna será responsable de asegurar lo establecido en la propia disposición, garantizando el resguardo de la información recopilada en la implementación y operación del Sistema.</w:t>
      </w:r>
    </w:p>
    <w:p w14:paraId="47FEB15F" w14:textId="4FB1D58D" w:rsidR="00846B43" w:rsidRPr="008F09DD" w:rsidRDefault="00C00426" w:rsidP="009538E2">
      <w:pPr>
        <w:pStyle w:val="Ttulo2"/>
        <w:rPr>
          <w:sz w:val="23"/>
          <w:szCs w:val="23"/>
        </w:rPr>
      </w:pPr>
      <w:r w:rsidRPr="008F09DD">
        <w:rPr>
          <w:sz w:val="23"/>
          <w:szCs w:val="23"/>
        </w:rPr>
        <w:t xml:space="preserve">Desarrollo del </w:t>
      </w:r>
      <w:r w:rsidR="00211728" w:rsidRPr="008F09DD">
        <w:rPr>
          <w:sz w:val="23"/>
          <w:szCs w:val="23"/>
        </w:rPr>
        <w:t xml:space="preserve">Sistema </w:t>
      </w:r>
    </w:p>
    <w:p w14:paraId="1CBA479F" w14:textId="0D25E862" w:rsidR="00C774F0" w:rsidRPr="008F09DD" w:rsidRDefault="00846B43" w:rsidP="00C774F0">
      <w:r w:rsidRPr="008F09DD">
        <w:t xml:space="preserve">Que, </w:t>
      </w:r>
      <w:r w:rsidR="00C774F0" w:rsidRPr="008F09DD">
        <w:t xml:space="preserve">en términos del artículo 8 de los Lineamientos, los organismos electorales tienen la facultad y responsabilidad de implementar, supervisar y operar el Sistema. Para el desarrollo </w:t>
      </w:r>
      <w:r w:rsidR="00EA0DCF" w:rsidRPr="008F09DD">
        <w:t xml:space="preserve">de este, </w:t>
      </w:r>
      <w:r w:rsidR="00C774F0" w:rsidRPr="008F09DD">
        <w:t>deberán cumplir</w:t>
      </w:r>
      <w:r w:rsidR="00EA0DCF" w:rsidRPr="008F09DD">
        <w:t xml:space="preserve"> </w:t>
      </w:r>
      <w:r w:rsidR="00C774F0" w:rsidRPr="008F09DD">
        <w:t>las siguientes etapas mínimas y contar con evidencia documental de las mismas:</w:t>
      </w:r>
    </w:p>
    <w:p w14:paraId="20B92CC9" w14:textId="6130800F" w:rsidR="005B490E" w:rsidRPr="008F09DD" w:rsidRDefault="005B490E" w:rsidP="00691277">
      <w:pPr>
        <w:pStyle w:val="Prrafodelista"/>
        <w:numPr>
          <w:ilvl w:val="0"/>
          <w:numId w:val="4"/>
        </w:numPr>
        <w:spacing w:before="120" w:after="120"/>
        <w:ind w:left="357" w:hanging="357"/>
        <w:contextualSpacing w:val="0"/>
      </w:pPr>
      <w:r w:rsidRPr="008F09DD">
        <w:rPr>
          <w:b/>
          <w:bCs/>
        </w:rPr>
        <w:t>Análisis:</w:t>
      </w:r>
      <w:r w:rsidRPr="008F09DD">
        <w:t xml:space="preserve"> En esta etapa se deben llevar a cabo la investigación y revisión de todos los aspectos técnicos relacionados con el desarrollo, implementación y operación de los procesos y del Sistema;</w:t>
      </w:r>
    </w:p>
    <w:p w14:paraId="00C18DA5" w14:textId="3E309DED" w:rsidR="005B490E" w:rsidRPr="008F09DD" w:rsidRDefault="005B490E" w:rsidP="00691277">
      <w:pPr>
        <w:pStyle w:val="Prrafodelista"/>
        <w:numPr>
          <w:ilvl w:val="0"/>
          <w:numId w:val="4"/>
        </w:numPr>
        <w:spacing w:before="120" w:after="120"/>
        <w:ind w:left="357" w:hanging="357"/>
        <w:contextualSpacing w:val="0"/>
      </w:pPr>
      <w:r w:rsidRPr="008F09DD">
        <w:rPr>
          <w:b/>
          <w:bCs/>
        </w:rPr>
        <w:t>Diseño:</w:t>
      </w:r>
      <w:r w:rsidRPr="008F09DD">
        <w:t xml:space="preserve"> Esta etapa consiste en utilizar la información recolectada en la etapa de análisis con el propósito de desarrollar un modelo con las correspondientes especificaciones de cada uno de los componentes del Sistema (hardware, software), así como de los procesos; tomando en cuenta aspectos de funcionalidad, capacidad, continuidad y seguridad;</w:t>
      </w:r>
    </w:p>
    <w:p w14:paraId="16CCEA1C" w14:textId="37B5D9D4" w:rsidR="005B490E" w:rsidRPr="008F09DD" w:rsidRDefault="005B490E" w:rsidP="00691277">
      <w:pPr>
        <w:pStyle w:val="Prrafodelista"/>
        <w:numPr>
          <w:ilvl w:val="0"/>
          <w:numId w:val="4"/>
        </w:numPr>
        <w:spacing w:before="120" w:after="120"/>
        <w:ind w:left="357" w:hanging="357"/>
        <w:contextualSpacing w:val="0"/>
      </w:pPr>
      <w:r w:rsidRPr="008F09DD">
        <w:rPr>
          <w:b/>
          <w:bCs/>
        </w:rPr>
        <w:lastRenderedPageBreak/>
        <w:t>Construcción:</w:t>
      </w:r>
      <w:r w:rsidRPr="008F09DD">
        <w:t xml:space="preserve"> En esta etapa se utiliza el modelo o los modelos establecidos en la etapa de diseño con el objetivo de llevar a cabo las adquisiciones de bienes, la contratación de servicios, así como la instalación y configuración de hardware y software, y el desarrollo de las aplicaciones; y,</w:t>
      </w:r>
    </w:p>
    <w:p w14:paraId="6CF941D7" w14:textId="75DC9837" w:rsidR="00EA0DCF" w:rsidRPr="008F09DD" w:rsidRDefault="005B490E" w:rsidP="00691277">
      <w:pPr>
        <w:pStyle w:val="Prrafodelista"/>
        <w:numPr>
          <w:ilvl w:val="0"/>
          <w:numId w:val="4"/>
        </w:numPr>
        <w:spacing w:before="120" w:after="120"/>
        <w:ind w:left="357" w:hanging="357"/>
        <w:contextualSpacing w:val="0"/>
      </w:pPr>
      <w:r w:rsidRPr="008F09DD">
        <w:rPr>
          <w:b/>
          <w:bCs/>
        </w:rPr>
        <w:t>Pruebas:</w:t>
      </w:r>
      <w:r w:rsidRPr="008F09DD">
        <w:t xml:space="preserve"> Esta etapa consiste en verificar y asegurar que todos los componentes que integran el Sistema operan conforme a los requerimientos establecidos en la etapa de análisis, cumplen con el modelo determinado en la etapa de diseño y aseguran la integridad en el procesamiento de la información. Las pruebas deben realizarse tanto de forma unitaria como de manera integral, cubriendo los aspectos de funcionalidad, capacidad, continuidad y seguridad.</w:t>
      </w:r>
    </w:p>
    <w:p w14:paraId="25775984" w14:textId="64EB0C23" w:rsidR="00052D09" w:rsidRPr="008F09DD" w:rsidRDefault="008F1CD3" w:rsidP="009538E2">
      <w:pPr>
        <w:pStyle w:val="Ttulo2"/>
        <w:rPr>
          <w:sz w:val="23"/>
          <w:szCs w:val="23"/>
        </w:rPr>
      </w:pPr>
      <w:r w:rsidRPr="008F09DD">
        <w:rPr>
          <w:sz w:val="23"/>
          <w:szCs w:val="23"/>
        </w:rPr>
        <w:t>Responsable del Proceso Técnico Operativo</w:t>
      </w:r>
    </w:p>
    <w:p w14:paraId="1DEED9CC" w14:textId="6E2B4314" w:rsidR="00AE19E3" w:rsidRPr="008F09DD" w:rsidRDefault="00AE19E3" w:rsidP="008F1CD3">
      <w:r w:rsidRPr="008F09DD">
        <w:t>Que, el artículo 9 de los Lineamientos establece que, el proceso técnico operativo del Sistema deberá ser desarrollado por la instancia interna que defina el Órgano Superior de Dirección y constará, al menos, de las siguientes fases, cuyo orden de ejecución será definido por el organismo electoral, de acuerdo con sus necesidades operativas:</w:t>
      </w:r>
    </w:p>
    <w:p w14:paraId="0A6D77C5" w14:textId="29152EFE" w:rsidR="008F1CD3" w:rsidRPr="008F09DD" w:rsidRDefault="008F1CD3" w:rsidP="008F1CD3">
      <w:pPr>
        <w:pStyle w:val="Prrafodelista"/>
        <w:numPr>
          <w:ilvl w:val="0"/>
          <w:numId w:val="8"/>
        </w:numPr>
        <w:ind w:left="510" w:hanging="510"/>
        <w:contextualSpacing w:val="0"/>
      </w:pPr>
      <w:r w:rsidRPr="008F09DD">
        <w:rPr>
          <w:b/>
        </w:rPr>
        <w:t>Captura de datos:</w:t>
      </w:r>
      <w:r w:rsidRPr="008F09DD">
        <w:t xml:space="preserve"> En esta fase se registran los datos que deberán capturar los partidos políticos, coaliciones, candidaturas comunes e independientes, así como la fecha y hora de su registro, a través del sistema informático desarrollado para tal fin;</w:t>
      </w:r>
    </w:p>
    <w:p w14:paraId="452DD556" w14:textId="179C612C" w:rsidR="008F1CD3" w:rsidRPr="008F09DD" w:rsidRDefault="008F1CD3" w:rsidP="008F1CD3">
      <w:pPr>
        <w:pStyle w:val="Prrafodelista"/>
        <w:numPr>
          <w:ilvl w:val="0"/>
          <w:numId w:val="8"/>
        </w:numPr>
        <w:ind w:left="510" w:hanging="510"/>
        <w:contextualSpacing w:val="0"/>
      </w:pPr>
      <w:r w:rsidRPr="008F09DD">
        <w:rPr>
          <w:b/>
        </w:rPr>
        <w:t>Validación de datos:</w:t>
      </w:r>
      <w:r w:rsidRPr="008F09DD">
        <w:t xml:space="preserve"> Tiene por objeto corroborar que todos los datos capturados coincidan con los datos solicitados en los cuestionarios curricular y de identidad de las candidaturas;</w:t>
      </w:r>
    </w:p>
    <w:p w14:paraId="3438636E" w14:textId="636AF4A0" w:rsidR="008F1CD3" w:rsidRPr="008F09DD" w:rsidRDefault="008F1CD3" w:rsidP="008F1CD3">
      <w:pPr>
        <w:pStyle w:val="Prrafodelista"/>
        <w:numPr>
          <w:ilvl w:val="0"/>
          <w:numId w:val="8"/>
        </w:numPr>
        <w:ind w:left="510" w:hanging="510"/>
        <w:contextualSpacing w:val="0"/>
      </w:pPr>
      <w:r w:rsidRPr="008F09DD">
        <w:rPr>
          <w:b/>
        </w:rPr>
        <w:t>Publicación de información:</w:t>
      </w:r>
      <w:r w:rsidRPr="008F09DD">
        <w:t xml:space="preserve"> Se refiere a la divulgación de los datos, imágenes y bases de datos del Sistema, misma que se encuentra a cargo de los organismos electorales.</w:t>
      </w:r>
    </w:p>
    <w:p w14:paraId="0516A185" w14:textId="58CF254F" w:rsidR="008F1CD3" w:rsidRPr="008F09DD" w:rsidRDefault="008F1CD3" w:rsidP="009538E2">
      <w:pPr>
        <w:pStyle w:val="Ttulo2"/>
        <w:rPr>
          <w:sz w:val="23"/>
          <w:szCs w:val="23"/>
        </w:rPr>
      </w:pPr>
      <w:r w:rsidRPr="008F09DD">
        <w:rPr>
          <w:sz w:val="23"/>
          <w:szCs w:val="23"/>
        </w:rPr>
        <w:lastRenderedPageBreak/>
        <w:t>Proceso Técnico Operativo</w:t>
      </w:r>
    </w:p>
    <w:p w14:paraId="502DDDDA" w14:textId="77777777" w:rsidR="00AE19E3" w:rsidRPr="008F09DD" w:rsidRDefault="00AE19E3" w:rsidP="00AE19E3">
      <w:r w:rsidRPr="008F09DD">
        <w:t xml:space="preserve">Que, con el propósito de implementar el Sistema para el Proceso Electoral, la Unidad de Unidad de Tecnologías de la Información y Comunicación (UNITIC) de acuerdo con las fases mencionadas, elaboró el Proceso Técnico Operativo de acuerdo con las políticas y criterios establecidos en el Anexo 24.2 del Reglamento de Elecciones. </w:t>
      </w:r>
    </w:p>
    <w:p w14:paraId="0AA4CF03" w14:textId="3E6CB8A6" w:rsidR="00AE19E3" w:rsidRPr="008F09DD" w:rsidRDefault="00AE19E3" w:rsidP="00AE19E3">
      <w:r w:rsidRPr="008F09DD">
        <w:t>El Proceso Técnico Operativo propuesto por la Comisión, tiene por objeto establecer las fases en que debe operar el Sistema “Candidatas y Candidatos, Conóceles” para la captura, validación y publicación de la información de los Cuestionarios Curricular y de Identidad de las personas candidatas en la elección del Proceso Electoral.</w:t>
      </w:r>
    </w:p>
    <w:p w14:paraId="6FA65F42" w14:textId="02707F47" w:rsidR="00AE19E3" w:rsidRPr="008F09DD" w:rsidRDefault="00AE19E3" w:rsidP="00AE19E3">
      <w:r w:rsidRPr="008F09DD">
        <w:t>Asimismo, la propuesta establece los requerimientos técnicos necesarios para el desarrollo, operación y funcionamiento del Sistema, determinando un modelo operativo y funcional implementado con base en las exigencias del modelo. Dicho Proceso Técnico Operativo es de observancia general y carácter obligatorio para el Instituto</w:t>
      </w:r>
      <w:r w:rsidR="00B67E88" w:rsidRPr="008F09DD">
        <w:t>, los partidos políticos</w:t>
      </w:r>
      <w:r w:rsidRPr="008F09DD">
        <w:t xml:space="preserve"> </w:t>
      </w:r>
      <w:r w:rsidR="00B67E88" w:rsidRPr="008F09DD">
        <w:t xml:space="preserve">y personas </w:t>
      </w:r>
      <w:r w:rsidRPr="008F09DD">
        <w:t xml:space="preserve">candidatas que pretendan contender a un cargo local de elección popular en el </w:t>
      </w:r>
      <w:r w:rsidR="00B67E88" w:rsidRPr="008F09DD">
        <w:t>e</w:t>
      </w:r>
      <w:r w:rsidRPr="008F09DD">
        <w:t>stado de Tabasco</w:t>
      </w:r>
    </w:p>
    <w:p w14:paraId="583FF390" w14:textId="2A52C0B7" w:rsidR="00B67E88" w:rsidRPr="008F09DD" w:rsidRDefault="00B67E88" w:rsidP="00AE19E3">
      <w:r w:rsidRPr="008F09DD">
        <w:t xml:space="preserve">Además, </w:t>
      </w:r>
      <w:r w:rsidR="00AE19E3" w:rsidRPr="008F09DD">
        <w:t xml:space="preserve">el documento describe </w:t>
      </w:r>
      <w:r w:rsidRPr="008F09DD">
        <w:t xml:space="preserve">de manera clara, </w:t>
      </w:r>
      <w:r w:rsidR="00AE19E3" w:rsidRPr="008F09DD">
        <w:t>los procedimientos de operación</w:t>
      </w:r>
      <w:r w:rsidRPr="008F09DD">
        <w:t xml:space="preserve"> del Sistema</w:t>
      </w:r>
      <w:r w:rsidR="00AE19E3" w:rsidRPr="008F09DD">
        <w:t xml:space="preserve">, </w:t>
      </w:r>
      <w:r w:rsidRPr="008F09DD">
        <w:t xml:space="preserve">incluyendo por supuesto, </w:t>
      </w:r>
      <w:r w:rsidR="00AE19E3" w:rsidRPr="008F09DD">
        <w:t>la carga de información relacionada con las pe</w:t>
      </w:r>
      <w:r w:rsidR="0005398F" w:rsidRPr="008F09DD">
        <w:t xml:space="preserve">rsonas candidatas que contiendan en la próxima Jornada Electoral. Todo ello con el propósito de que la ciudadanía cuenta con la información necesaria y el conocimiento de las opciones políticas que le permitirán el ejercicio de un voto </w:t>
      </w:r>
      <w:r w:rsidR="00912E52" w:rsidRPr="008F09DD">
        <w:t xml:space="preserve">informado y </w:t>
      </w:r>
      <w:r w:rsidR="0005398F" w:rsidRPr="008F09DD">
        <w:t>razonado.</w:t>
      </w:r>
    </w:p>
    <w:p w14:paraId="486F7DD0" w14:textId="0F1CA057" w:rsidR="00851620" w:rsidRPr="008F09DD" w:rsidRDefault="00851620" w:rsidP="00AE19E3">
      <w:r w:rsidRPr="008F09DD">
        <w:t>Sobre la base de las consideraciones señaladas, este Consejo Estatal emite el siguiente:</w:t>
      </w:r>
    </w:p>
    <w:p w14:paraId="783A7F7B" w14:textId="77777777" w:rsidR="00851620" w:rsidRPr="008F09DD" w:rsidRDefault="00851620" w:rsidP="003D6B4E">
      <w:pPr>
        <w:pStyle w:val="Ttulo1"/>
        <w:rPr>
          <w:sz w:val="24"/>
          <w:szCs w:val="24"/>
        </w:rPr>
      </w:pPr>
      <w:r w:rsidRPr="008F09DD">
        <w:rPr>
          <w:sz w:val="24"/>
          <w:szCs w:val="24"/>
        </w:rPr>
        <w:t>Acuerdo</w:t>
      </w:r>
    </w:p>
    <w:p w14:paraId="1637EDDC" w14:textId="6D183149" w:rsidR="0028736B" w:rsidRPr="008F09DD" w:rsidRDefault="00851620" w:rsidP="00A23391">
      <w:pPr>
        <w:pStyle w:val="Puntos"/>
        <w:spacing w:before="240" w:line="300" w:lineRule="auto"/>
        <w:ind w:left="0"/>
        <w:rPr>
          <w:bCs/>
          <w:sz w:val="23"/>
          <w:szCs w:val="23"/>
        </w:rPr>
      </w:pPr>
      <w:r w:rsidRPr="008F09DD">
        <w:rPr>
          <w:b/>
          <w:sz w:val="23"/>
          <w:szCs w:val="23"/>
        </w:rPr>
        <w:t xml:space="preserve">Primero. </w:t>
      </w:r>
      <w:r w:rsidRPr="008F09DD">
        <w:rPr>
          <w:bCs/>
          <w:sz w:val="23"/>
          <w:szCs w:val="23"/>
        </w:rPr>
        <w:t xml:space="preserve">Se </w:t>
      </w:r>
      <w:r w:rsidR="0028736B" w:rsidRPr="008F09DD">
        <w:rPr>
          <w:bCs/>
          <w:sz w:val="23"/>
          <w:szCs w:val="23"/>
        </w:rPr>
        <w:t>aprueba el Proceso Técnico Operativo del Programa del Sistema “Candidatas y Candidatos: Conóceles” propuesto por la Comisión Temporal del Programa de Resultados Electorales Preliminares del Estado de Tabasco para el Proceso Electoral Local Ordinario 2023-2024 anexo al presente acuerdo.</w:t>
      </w:r>
    </w:p>
    <w:p w14:paraId="77C695F7" w14:textId="7317EC4C" w:rsidR="00851620" w:rsidRPr="008F09DD" w:rsidRDefault="00851620" w:rsidP="00EC1CA4">
      <w:pPr>
        <w:pStyle w:val="Puntos"/>
        <w:spacing w:before="240" w:line="300" w:lineRule="auto"/>
        <w:ind w:left="0"/>
        <w:rPr>
          <w:sz w:val="23"/>
          <w:szCs w:val="23"/>
        </w:rPr>
      </w:pPr>
      <w:r w:rsidRPr="008F09DD">
        <w:rPr>
          <w:b/>
          <w:sz w:val="23"/>
          <w:szCs w:val="23"/>
        </w:rPr>
        <w:lastRenderedPageBreak/>
        <w:t xml:space="preserve">Segundo. </w:t>
      </w:r>
      <w:r w:rsidRPr="008F09DD">
        <w:rPr>
          <w:sz w:val="23"/>
          <w:szCs w:val="23"/>
        </w:rPr>
        <w:t xml:space="preserve">Se instruye a la Secretaría Ejecutiva de este Instituto para que, </w:t>
      </w:r>
      <w:r w:rsidR="0028736B" w:rsidRPr="008F09DD">
        <w:rPr>
          <w:sz w:val="23"/>
          <w:szCs w:val="23"/>
        </w:rPr>
        <w:t xml:space="preserve">por conducto de </w:t>
      </w:r>
      <w:r w:rsidRPr="008F09DD">
        <w:rPr>
          <w:sz w:val="23"/>
          <w:szCs w:val="23"/>
        </w:rPr>
        <w:t>la Coordinación de Vinculación con el Instituto Nacional Electoral, notifique el presente acuerdo al citado organismo nacional, a través de su Unidad Técnica de Vinculación con los Organismos Públicos Locales, para los efectos correspondientes.</w:t>
      </w:r>
    </w:p>
    <w:p w14:paraId="187409A9" w14:textId="77777777" w:rsidR="00851620" w:rsidRPr="008F09DD" w:rsidRDefault="00851620" w:rsidP="00EC1CA4">
      <w:pPr>
        <w:pStyle w:val="Puntos"/>
        <w:spacing w:before="240" w:line="300" w:lineRule="auto"/>
        <w:ind w:left="0"/>
        <w:rPr>
          <w:sz w:val="23"/>
          <w:szCs w:val="23"/>
        </w:rPr>
      </w:pPr>
      <w:r w:rsidRPr="008F09DD">
        <w:rPr>
          <w:b/>
          <w:bCs/>
          <w:sz w:val="23"/>
          <w:szCs w:val="23"/>
        </w:rPr>
        <w:t>Tercero.</w:t>
      </w:r>
      <w:r w:rsidRPr="008F09DD">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6A365A6" w14:textId="5FAC7796" w:rsidR="00851620" w:rsidRPr="008F09DD" w:rsidRDefault="00851620" w:rsidP="00EC1CA4">
      <w:pPr>
        <w:pStyle w:val="Puntos"/>
        <w:spacing w:before="240" w:line="300" w:lineRule="auto"/>
        <w:ind w:left="0"/>
        <w:rPr>
          <w:sz w:val="23"/>
          <w:szCs w:val="23"/>
        </w:rPr>
      </w:pPr>
      <w:r w:rsidRPr="008F09DD">
        <w:rPr>
          <w:sz w:val="23"/>
          <w:szCs w:val="23"/>
        </w:rPr>
        <w:t xml:space="preserve">El presente acuerdo fue </w:t>
      </w:r>
      <w:r w:rsidR="008F09DD">
        <w:rPr>
          <w:sz w:val="23"/>
          <w:szCs w:val="23"/>
        </w:rPr>
        <w:t>aprobado en sesión extraordinaria</w:t>
      </w:r>
      <w:r w:rsidRPr="008F09DD">
        <w:rPr>
          <w:sz w:val="23"/>
          <w:szCs w:val="23"/>
        </w:rPr>
        <w:t xml:space="preserve"> efectuada el </w:t>
      </w:r>
      <w:r w:rsidR="008F09DD">
        <w:rPr>
          <w:sz w:val="23"/>
          <w:szCs w:val="23"/>
        </w:rPr>
        <w:t xml:space="preserve">29 </w:t>
      </w:r>
      <w:r w:rsidRPr="008F09DD">
        <w:rPr>
          <w:sz w:val="23"/>
          <w:szCs w:val="23"/>
        </w:rPr>
        <w:t xml:space="preserve">de </w:t>
      </w:r>
      <w:r w:rsidR="008F09DD">
        <w:rPr>
          <w:sz w:val="23"/>
          <w:szCs w:val="23"/>
        </w:rPr>
        <w:t>diciembre</w:t>
      </w:r>
      <w:r w:rsidRPr="008F09DD">
        <w:rPr>
          <w:sz w:val="23"/>
          <w:szCs w:val="23"/>
        </w:rPr>
        <w:t xml:space="preserve"> del año dos mil veintitrés, por votación </w:t>
      </w:r>
      <w:r w:rsidR="00E83A58">
        <w:rPr>
          <w:sz w:val="23"/>
          <w:szCs w:val="23"/>
        </w:rPr>
        <w:t>unánime</w:t>
      </w:r>
      <w:r w:rsidRPr="008F09DD">
        <w:rPr>
          <w:sz w:val="23"/>
          <w:szCs w:val="23"/>
        </w:rPr>
        <w:t xml:space="preserve"> de las y los Consejeros Electorales del Consejo Estatal del Instituto Electoral y de Participación Ciudadana de Tabasco: </w:t>
      </w:r>
      <w:r w:rsidR="003B519E" w:rsidRPr="008F09DD">
        <w:rPr>
          <w:sz w:val="23"/>
          <w:szCs w:val="23"/>
        </w:rPr>
        <w:t>Dra</w:t>
      </w:r>
      <w:r w:rsidRPr="008F09DD">
        <w:rPr>
          <w:sz w:val="23"/>
          <w:szCs w:val="23"/>
        </w:rPr>
        <w:t>. Rosselvy del Carmen Domínguez Arévalo, Licda. María Elvia Magaña Sandoval, Mtro. Juan Correa López, M.D. Víctor Humberto Mejía Naranjo, Lic. Hernán González Sala, Lic. Vladimir Hernández Venegas y la Consejera Presidenta, Mtra. Elizabeth Nava Gutiérrez.</w:t>
      </w:r>
    </w:p>
    <w:p w14:paraId="357F4F32" w14:textId="77777777" w:rsidR="00851620" w:rsidRPr="008F09DD" w:rsidRDefault="00851620" w:rsidP="00851620">
      <w:pPr>
        <w:pStyle w:val="Puntos"/>
        <w:spacing w:line="288" w:lineRule="auto"/>
        <w:ind w:left="0"/>
        <w:rPr>
          <w:sz w:val="23"/>
          <w:szCs w:val="23"/>
        </w:rPr>
      </w:pPr>
    </w:p>
    <w:p w14:paraId="700E0C59" w14:textId="77777777" w:rsidR="00851620" w:rsidRPr="008F09DD" w:rsidRDefault="00851620" w:rsidP="00851620">
      <w:pPr>
        <w:pStyle w:val="Puntos"/>
        <w:spacing w:line="288" w:lineRule="auto"/>
        <w:ind w:left="0"/>
        <w:rPr>
          <w:sz w:val="23"/>
          <w:szCs w:val="23"/>
        </w:rPr>
      </w:pPr>
    </w:p>
    <w:p w14:paraId="65FCB4B5" w14:textId="77777777" w:rsidR="00851620" w:rsidRPr="008F09DD" w:rsidRDefault="00851620" w:rsidP="0085162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51620" w:rsidRPr="008F09DD" w14:paraId="51168C1A" w14:textId="77777777" w:rsidTr="009A251F">
        <w:tc>
          <w:tcPr>
            <w:tcW w:w="4395" w:type="dxa"/>
          </w:tcPr>
          <w:p w14:paraId="2AAD5FB1" w14:textId="77777777" w:rsidR="00851620" w:rsidRPr="008F09DD" w:rsidRDefault="00851620" w:rsidP="009A251F">
            <w:pPr>
              <w:widowControl w:val="0"/>
              <w:spacing w:before="0" w:after="0" w:line="288" w:lineRule="auto"/>
              <w:jc w:val="center"/>
              <w:rPr>
                <w:b/>
                <w:spacing w:val="-10"/>
              </w:rPr>
            </w:pPr>
            <w:r w:rsidRPr="008F09DD">
              <w:rPr>
                <w:b/>
                <w:spacing w:val="-10"/>
              </w:rPr>
              <w:t>MTRA. ELIZABETH NAVA GUTIÉRREZ</w:t>
            </w:r>
          </w:p>
          <w:p w14:paraId="583CDE45" w14:textId="77777777" w:rsidR="00851620" w:rsidRPr="008F09DD" w:rsidRDefault="00851620" w:rsidP="009A251F">
            <w:pPr>
              <w:widowControl w:val="0"/>
              <w:spacing w:before="0" w:after="0" w:line="288" w:lineRule="auto"/>
              <w:jc w:val="center"/>
              <w:rPr>
                <w:b/>
              </w:rPr>
            </w:pPr>
            <w:r w:rsidRPr="008F09DD">
              <w:rPr>
                <w:b/>
                <w:spacing w:val="-10"/>
              </w:rPr>
              <w:t>CONSEJERA PRESIDENTA</w:t>
            </w:r>
          </w:p>
        </w:tc>
        <w:tc>
          <w:tcPr>
            <w:tcW w:w="278" w:type="dxa"/>
          </w:tcPr>
          <w:p w14:paraId="3227D628" w14:textId="77777777" w:rsidR="00851620" w:rsidRPr="008F09DD" w:rsidRDefault="00851620" w:rsidP="009A251F">
            <w:pPr>
              <w:widowControl w:val="0"/>
              <w:spacing w:before="0" w:after="0" w:line="288" w:lineRule="auto"/>
              <w:rPr>
                <w:b/>
              </w:rPr>
            </w:pPr>
          </w:p>
        </w:tc>
        <w:tc>
          <w:tcPr>
            <w:tcW w:w="4400" w:type="dxa"/>
          </w:tcPr>
          <w:p w14:paraId="3D4F953F" w14:textId="77777777" w:rsidR="00851620" w:rsidRPr="008F09DD" w:rsidRDefault="00851620" w:rsidP="009A251F">
            <w:pPr>
              <w:widowControl w:val="0"/>
              <w:spacing w:before="0" w:after="0" w:line="288" w:lineRule="auto"/>
              <w:jc w:val="center"/>
              <w:rPr>
                <w:b/>
                <w:spacing w:val="-10"/>
              </w:rPr>
            </w:pPr>
            <w:r w:rsidRPr="008F09DD">
              <w:rPr>
                <w:b/>
                <w:spacing w:val="-10"/>
              </w:rPr>
              <w:t>LIC. JORGE ALBERTO ZAVALA FRÍAS</w:t>
            </w:r>
          </w:p>
          <w:p w14:paraId="311D6E20" w14:textId="77777777" w:rsidR="00851620" w:rsidRPr="008F09DD" w:rsidRDefault="00851620" w:rsidP="009A251F">
            <w:pPr>
              <w:widowControl w:val="0"/>
              <w:spacing w:before="0" w:after="0" w:line="288" w:lineRule="auto"/>
              <w:jc w:val="center"/>
              <w:rPr>
                <w:b/>
              </w:rPr>
            </w:pPr>
            <w:r w:rsidRPr="008F09DD">
              <w:rPr>
                <w:b/>
                <w:spacing w:val="-10"/>
              </w:rPr>
              <w:t>SECRETARIO DEL CONSEJO</w:t>
            </w:r>
          </w:p>
        </w:tc>
      </w:tr>
    </w:tbl>
    <w:p w14:paraId="33C1ACB9" w14:textId="77777777" w:rsidR="00851620" w:rsidRPr="008F09DD" w:rsidRDefault="00851620" w:rsidP="00851620"/>
    <w:sectPr w:rsidR="00851620" w:rsidRPr="008F09DD" w:rsidSect="0076477F">
      <w:headerReference w:type="even" r:id="rId7"/>
      <w:headerReference w:type="default" r:id="rId8"/>
      <w:footerReference w:type="even" r:id="rId9"/>
      <w:footerReference w:type="default" r:id="rId10"/>
      <w:headerReference w:type="first" r:id="rId11"/>
      <w:footerReference w:type="first" r:id="rId12"/>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D75D7" w14:textId="77777777" w:rsidR="00B4062A" w:rsidRDefault="00B4062A" w:rsidP="00851620">
      <w:r>
        <w:separator/>
      </w:r>
    </w:p>
  </w:endnote>
  <w:endnote w:type="continuationSeparator" w:id="0">
    <w:p w14:paraId="50875EA4" w14:textId="77777777" w:rsidR="00B4062A" w:rsidRDefault="00B4062A" w:rsidP="0085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4666A" w14:textId="77777777" w:rsidR="00937EDA" w:rsidRDefault="00937ED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769409"/>
      <w:docPartObj>
        <w:docPartGallery w:val="Page Numbers (Bottom of Page)"/>
        <w:docPartUnique/>
      </w:docPartObj>
    </w:sdtPr>
    <w:sdtEndPr>
      <w:rPr>
        <w:b/>
        <w:bCs/>
        <w:color w:val="993366"/>
        <w:sz w:val="18"/>
        <w:szCs w:val="18"/>
      </w:rPr>
    </w:sdtEndPr>
    <w:sdtContent>
      <w:sdt>
        <w:sdtPr>
          <w:rPr>
            <w:sz w:val="20"/>
            <w:szCs w:val="20"/>
          </w:rPr>
          <w:id w:val="-1769616900"/>
          <w:docPartObj>
            <w:docPartGallery w:val="Page Numbers (Top of Page)"/>
            <w:docPartUnique/>
          </w:docPartObj>
        </w:sdtPr>
        <w:sdtEndPr>
          <w:rPr>
            <w:b/>
            <w:bCs/>
            <w:color w:val="993366"/>
            <w:sz w:val="18"/>
            <w:szCs w:val="18"/>
          </w:rPr>
        </w:sdtEndPr>
        <w:sdtContent>
          <w:p w14:paraId="3573C282" w14:textId="66785391" w:rsidR="00851620" w:rsidRPr="00851620" w:rsidRDefault="00851620" w:rsidP="00851620">
            <w:pPr>
              <w:pStyle w:val="Piedepgina"/>
              <w:jc w:val="right"/>
              <w:rPr>
                <w:b/>
                <w:bCs/>
                <w:color w:val="993366"/>
                <w:sz w:val="18"/>
                <w:szCs w:val="18"/>
              </w:rPr>
            </w:pPr>
            <w:r w:rsidRPr="00851620">
              <w:rPr>
                <w:b/>
                <w:bCs/>
                <w:color w:val="993366"/>
                <w:sz w:val="22"/>
                <w:szCs w:val="22"/>
                <w:lang w:val="es-ES"/>
              </w:rPr>
              <w:t xml:space="preserve">Página </w:t>
            </w:r>
            <w:r w:rsidRPr="00851620">
              <w:rPr>
                <w:b/>
                <w:bCs/>
                <w:color w:val="993366"/>
                <w:sz w:val="22"/>
                <w:szCs w:val="22"/>
              </w:rPr>
              <w:fldChar w:fldCharType="begin"/>
            </w:r>
            <w:r w:rsidRPr="00851620">
              <w:rPr>
                <w:b/>
                <w:bCs/>
                <w:color w:val="993366"/>
                <w:sz w:val="22"/>
                <w:szCs w:val="22"/>
              </w:rPr>
              <w:instrText>PAGE</w:instrText>
            </w:r>
            <w:r w:rsidRPr="00851620">
              <w:rPr>
                <w:b/>
                <w:bCs/>
                <w:color w:val="993366"/>
                <w:sz w:val="22"/>
                <w:szCs w:val="22"/>
              </w:rPr>
              <w:fldChar w:fldCharType="separate"/>
            </w:r>
            <w:r w:rsidR="00937EDA">
              <w:rPr>
                <w:b/>
                <w:bCs/>
                <w:noProof/>
                <w:color w:val="993366"/>
                <w:sz w:val="22"/>
                <w:szCs w:val="22"/>
              </w:rPr>
              <w:t>2</w:t>
            </w:r>
            <w:r w:rsidRPr="00851620">
              <w:rPr>
                <w:b/>
                <w:bCs/>
                <w:color w:val="993366"/>
                <w:sz w:val="22"/>
                <w:szCs w:val="22"/>
              </w:rPr>
              <w:fldChar w:fldCharType="end"/>
            </w:r>
            <w:r w:rsidRPr="00851620">
              <w:rPr>
                <w:b/>
                <w:bCs/>
                <w:color w:val="993366"/>
                <w:sz w:val="22"/>
                <w:szCs w:val="22"/>
                <w:lang w:val="es-ES"/>
              </w:rPr>
              <w:t xml:space="preserve"> | </w:t>
            </w:r>
            <w:r w:rsidRPr="00851620">
              <w:rPr>
                <w:b/>
                <w:bCs/>
                <w:color w:val="993366"/>
                <w:sz w:val="22"/>
                <w:szCs w:val="22"/>
              </w:rPr>
              <w:fldChar w:fldCharType="begin"/>
            </w:r>
            <w:r w:rsidRPr="00851620">
              <w:rPr>
                <w:b/>
                <w:bCs/>
                <w:color w:val="993366"/>
                <w:sz w:val="22"/>
                <w:szCs w:val="22"/>
              </w:rPr>
              <w:instrText>NUMPAGES</w:instrText>
            </w:r>
            <w:r w:rsidRPr="00851620">
              <w:rPr>
                <w:b/>
                <w:bCs/>
                <w:color w:val="993366"/>
                <w:sz w:val="22"/>
                <w:szCs w:val="22"/>
              </w:rPr>
              <w:fldChar w:fldCharType="separate"/>
            </w:r>
            <w:r w:rsidR="00937EDA">
              <w:rPr>
                <w:b/>
                <w:bCs/>
                <w:noProof/>
                <w:color w:val="993366"/>
                <w:sz w:val="22"/>
                <w:szCs w:val="22"/>
              </w:rPr>
              <w:t>12</w:t>
            </w:r>
            <w:r w:rsidRPr="00851620">
              <w:rPr>
                <w:b/>
                <w:bCs/>
                <w:color w:val="993366"/>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C113" w14:textId="77777777" w:rsidR="00937EDA" w:rsidRDefault="00937E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851AD" w14:textId="77777777" w:rsidR="00B4062A" w:rsidRDefault="00B4062A" w:rsidP="00851620">
      <w:r>
        <w:separator/>
      </w:r>
    </w:p>
  </w:footnote>
  <w:footnote w:type="continuationSeparator" w:id="0">
    <w:p w14:paraId="20F350DE" w14:textId="77777777" w:rsidR="00B4062A" w:rsidRDefault="00B4062A" w:rsidP="008516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A986" w14:textId="77777777" w:rsidR="00937EDA" w:rsidRDefault="00937ED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851620" w:rsidRPr="00063338" w14:paraId="6425E5C2" w14:textId="77777777" w:rsidTr="009A251F">
      <w:tc>
        <w:tcPr>
          <w:tcW w:w="1418" w:type="dxa"/>
        </w:tcPr>
        <w:p w14:paraId="6A3E4DDB" w14:textId="77777777" w:rsidR="00851620" w:rsidRPr="00063338" w:rsidRDefault="00851620" w:rsidP="00851620">
          <w:pPr>
            <w:pStyle w:val="Encabezado"/>
            <w:spacing w:before="0"/>
            <w:ind w:left="-170"/>
            <w:jc w:val="left"/>
          </w:pPr>
          <w:r>
            <w:rPr>
              <w:b/>
              <w:noProof/>
              <w:sz w:val="32"/>
              <w:lang w:eastAsia="es-MX"/>
            </w:rPr>
            <w:drawing>
              <wp:inline distT="0" distB="0" distL="0" distR="0" wp14:anchorId="51DABD55" wp14:editId="4F9E4BB5">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733DC969" w14:textId="77777777" w:rsidR="00851620" w:rsidRPr="00063338" w:rsidRDefault="00851620" w:rsidP="00851620">
          <w:pPr>
            <w:pStyle w:val="Encabezado"/>
            <w:spacing w:before="720"/>
            <w:jc w:val="center"/>
            <w:rPr>
              <w:b/>
              <w:bCs/>
              <w:sz w:val="25"/>
              <w:szCs w:val="25"/>
            </w:rPr>
          </w:pPr>
          <w:r w:rsidRPr="00063338">
            <w:rPr>
              <w:b/>
              <w:bCs/>
              <w:sz w:val="25"/>
              <w:szCs w:val="25"/>
            </w:rPr>
            <w:t>INSTITUTO ELECTORAL Y DE PARTICIPACIÓN CIUDADANA DE TABASCO</w:t>
          </w:r>
        </w:p>
        <w:p w14:paraId="2464AED7" w14:textId="77777777" w:rsidR="00851620" w:rsidRPr="00063338" w:rsidRDefault="00851620" w:rsidP="00851620">
          <w:pPr>
            <w:pStyle w:val="Encabezado"/>
            <w:spacing w:before="0"/>
            <w:jc w:val="center"/>
          </w:pPr>
          <w:r w:rsidRPr="00063338">
            <w:rPr>
              <w:sz w:val="26"/>
              <w:szCs w:val="26"/>
            </w:rPr>
            <w:t>CONSEJO ESTATAL</w:t>
          </w:r>
        </w:p>
      </w:tc>
      <w:tc>
        <w:tcPr>
          <w:tcW w:w="1701" w:type="dxa"/>
        </w:tcPr>
        <w:p w14:paraId="459444F3" w14:textId="77777777" w:rsidR="00851620" w:rsidRPr="00063338" w:rsidRDefault="00851620" w:rsidP="00851620">
          <w:pPr>
            <w:pStyle w:val="Encabezado"/>
            <w:spacing w:before="480"/>
          </w:pPr>
          <w:r w:rsidRPr="00063338">
            <w:rPr>
              <w:noProof/>
              <w:lang w:eastAsia="es-MX"/>
            </w:rPr>
            <w:drawing>
              <wp:inline distT="0" distB="0" distL="0" distR="0" wp14:anchorId="06CB32D4" wp14:editId="3C699AD9">
                <wp:extent cx="921600" cy="756000"/>
                <wp:effectExtent l="0" t="0" r="0" b="635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2BD948" w14:textId="6BF991B5" w:rsidR="0076477F" w:rsidRPr="008F09DD" w:rsidRDefault="0076477F" w:rsidP="0076477F">
    <w:pPr>
      <w:pStyle w:val="Ttulo"/>
      <w:spacing w:line="276" w:lineRule="auto"/>
      <w:jc w:val="right"/>
    </w:pPr>
    <w:r w:rsidRPr="008F09DD">
      <w:t>CE/2023/</w:t>
    </w:r>
    <w:r w:rsidR="00937EDA">
      <w:t>0</w:t>
    </w:r>
    <w:bookmarkStart w:id="0" w:name="_GoBack"/>
    <w:bookmarkEnd w:id="0"/>
    <w:r w:rsidR="008F09DD" w:rsidRPr="008F09DD">
      <w:t>66</w:t>
    </w:r>
  </w:p>
  <w:p w14:paraId="1CEC2842" w14:textId="77777777" w:rsidR="00851620" w:rsidRDefault="00851620" w:rsidP="0085162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83CB" w14:textId="77777777" w:rsidR="00937EDA" w:rsidRDefault="00937ED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3C2"/>
    <w:multiLevelType w:val="multilevel"/>
    <w:tmpl w:val="4900F2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AB6EB5"/>
    <w:multiLevelType w:val="multilevel"/>
    <w:tmpl w:val="BCC6758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CB83DCC"/>
    <w:multiLevelType w:val="hybridMultilevel"/>
    <w:tmpl w:val="AB02EF66"/>
    <w:lvl w:ilvl="0" w:tplc="91CE3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0F0B3A"/>
    <w:multiLevelType w:val="hybridMultilevel"/>
    <w:tmpl w:val="8522DB52"/>
    <w:lvl w:ilvl="0" w:tplc="90AEC7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8B6CC1"/>
    <w:multiLevelType w:val="hybridMultilevel"/>
    <w:tmpl w:val="1FCE9AFE"/>
    <w:lvl w:ilvl="0" w:tplc="14C082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6724D5"/>
    <w:multiLevelType w:val="hybridMultilevel"/>
    <w:tmpl w:val="6CC2E3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50000C"/>
    <w:multiLevelType w:val="hybridMultilevel"/>
    <w:tmpl w:val="DDDE1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783CD4"/>
    <w:multiLevelType w:val="hybridMultilevel"/>
    <w:tmpl w:val="7F4C01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811614"/>
    <w:multiLevelType w:val="hybridMultilevel"/>
    <w:tmpl w:val="51EC4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78"/>
    <w:rsid w:val="000165B3"/>
    <w:rsid w:val="00024F32"/>
    <w:rsid w:val="0002536D"/>
    <w:rsid w:val="00043568"/>
    <w:rsid w:val="00052D09"/>
    <w:rsid w:val="0005398F"/>
    <w:rsid w:val="00054270"/>
    <w:rsid w:val="000658BE"/>
    <w:rsid w:val="00094288"/>
    <w:rsid w:val="000A0195"/>
    <w:rsid w:val="000D2790"/>
    <w:rsid w:val="0013029C"/>
    <w:rsid w:val="00141D9E"/>
    <w:rsid w:val="001615EC"/>
    <w:rsid w:val="00170E4B"/>
    <w:rsid w:val="00172156"/>
    <w:rsid w:val="001742A0"/>
    <w:rsid w:val="001C2B4A"/>
    <w:rsid w:val="001C4EE6"/>
    <w:rsid w:val="001E458F"/>
    <w:rsid w:val="00201D66"/>
    <w:rsid w:val="00211728"/>
    <w:rsid w:val="002146A3"/>
    <w:rsid w:val="00264888"/>
    <w:rsid w:val="00266FC6"/>
    <w:rsid w:val="0028736B"/>
    <w:rsid w:val="002A0364"/>
    <w:rsid w:val="002A4FC2"/>
    <w:rsid w:val="002B2F15"/>
    <w:rsid w:val="002D06F6"/>
    <w:rsid w:val="002D19B6"/>
    <w:rsid w:val="002F1362"/>
    <w:rsid w:val="00374FF8"/>
    <w:rsid w:val="003840BC"/>
    <w:rsid w:val="003B519E"/>
    <w:rsid w:val="003D6B4E"/>
    <w:rsid w:val="00413F79"/>
    <w:rsid w:val="00440EB1"/>
    <w:rsid w:val="00453E8D"/>
    <w:rsid w:val="00455F27"/>
    <w:rsid w:val="0045624E"/>
    <w:rsid w:val="0047693A"/>
    <w:rsid w:val="004A512E"/>
    <w:rsid w:val="004B05CF"/>
    <w:rsid w:val="004B3F70"/>
    <w:rsid w:val="004C695B"/>
    <w:rsid w:val="004E7FD3"/>
    <w:rsid w:val="004F21E6"/>
    <w:rsid w:val="004F6A69"/>
    <w:rsid w:val="0054098A"/>
    <w:rsid w:val="00540F35"/>
    <w:rsid w:val="00570A88"/>
    <w:rsid w:val="005811E9"/>
    <w:rsid w:val="00585E6D"/>
    <w:rsid w:val="005B490E"/>
    <w:rsid w:val="005F015A"/>
    <w:rsid w:val="00612E59"/>
    <w:rsid w:val="006223B6"/>
    <w:rsid w:val="006372ED"/>
    <w:rsid w:val="00653B98"/>
    <w:rsid w:val="00656DA7"/>
    <w:rsid w:val="00670624"/>
    <w:rsid w:val="0068143E"/>
    <w:rsid w:val="00691277"/>
    <w:rsid w:val="006A4465"/>
    <w:rsid w:val="006A6051"/>
    <w:rsid w:val="006A72ED"/>
    <w:rsid w:val="006D1A91"/>
    <w:rsid w:val="006D56D7"/>
    <w:rsid w:val="00711B98"/>
    <w:rsid w:val="00720C73"/>
    <w:rsid w:val="00760230"/>
    <w:rsid w:val="0076229F"/>
    <w:rsid w:val="0076477F"/>
    <w:rsid w:val="00792396"/>
    <w:rsid w:val="007934A2"/>
    <w:rsid w:val="007C2DE4"/>
    <w:rsid w:val="007D20A4"/>
    <w:rsid w:val="007E3E97"/>
    <w:rsid w:val="00812ED7"/>
    <w:rsid w:val="0083021F"/>
    <w:rsid w:val="008463EB"/>
    <w:rsid w:val="00846B43"/>
    <w:rsid w:val="00850C4E"/>
    <w:rsid w:val="00851620"/>
    <w:rsid w:val="008708D6"/>
    <w:rsid w:val="008970B1"/>
    <w:rsid w:val="008A43D8"/>
    <w:rsid w:val="008A62F1"/>
    <w:rsid w:val="008E0978"/>
    <w:rsid w:val="008E7B63"/>
    <w:rsid w:val="008F09DD"/>
    <w:rsid w:val="008F1CD3"/>
    <w:rsid w:val="008F6C38"/>
    <w:rsid w:val="008F6D48"/>
    <w:rsid w:val="0090312B"/>
    <w:rsid w:val="00912E52"/>
    <w:rsid w:val="00937EDA"/>
    <w:rsid w:val="00945074"/>
    <w:rsid w:val="00947ADE"/>
    <w:rsid w:val="00952F25"/>
    <w:rsid w:val="009538E2"/>
    <w:rsid w:val="00976485"/>
    <w:rsid w:val="009B588F"/>
    <w:rsid w:val="009E03AD"/>
    <w:rsid w:val="00A060D6"/>
    <w:rsid w:val="00A23391"/>
    <w:rsid w:val="00A62629"/>
    <w:rsid w:val="00AB0AA9"/>
    <w:rsid w:val="00AE19E3"/>
    <w:rsid w:val="00AE7755"/>
    <w:rsid w:val="00B0013A"/>
    <w:rsid w:val="00B05F3D"/>
    <w:rsid w:val="00B13FC6"/>
    <w:rsid w:val="00B15FBD"/>
    <w:rsid w:val="00B4062A"/>
    <w:rsid w:val="00B60F9F"/>
    <w:rsid w:val="00B67E88"/>
    <w:rsid w:val="00B77C49"/>
    <w:rsid w:val="00B80A46"/>
    <w:rsid w:val="00BA2165"/>
    <w:rsid w:val="00BB11C8"/>
    <w:rsid w:val="00BC0F8A"/>
    <w:rsid w:val="00BD3AC8"/>
    <w:rsid w:val="00BF4D85"/>
    <w:rsid w:val="00C00426"/>
    <w:rsid w:val="00C05936"/>
    <w:rsid w:val="00C13D9C"/>
    <w:rsid w:val="00C774F0"/>
    <w:rsid w:val="00CA5B60"/>
    <w:rsid w:val="00CF730F"/>
    <w:rsid w:val="00D350B0"/>
    <w:rsid w:val="00D5543E"/>
    <w:rsid w:val="00D65972"/>
    <w:rsid w:val="00D72879"/>
    <w:rsid w:val="00D73F2A"/>
    <w:rsid w:val="00D7641C"/>
    <w:rsid w:val="00D803B6"/>
    <w:rsid w:val="00D864D6"/>
    <w:rsid w:val="00D913FC"/>
    <w:rsid w:val="00DA77E9"/>
    <w:rsid w:val="00DB0717"/>
    <w:rsid w:val="00DB1183"/>
    <w:rsid w:val="00DD18EB"/>
    <w:rsid w:val="00E0395A"/>
    <w:rsid w:val="00E33066"/>
    <w:rsid w:val="00E448E2"/>
    <w:rsid w:val="00E46479"/>
    <w:rsid w:val="00E50B82"/>
    <w:rsid w:val="00E740D0"/>
    <w:rsid w:val="00E74301"/>
    <w:rsid w:val="00E81509"/>
    <w:rsid w:val="00E83A58"/>
    <w:rsid w:val="00EA0DCF"/>
    <w:rsid w:val="00EA1E02"/>
    <w:rsid w:val="00EA4A94"/>
    <w:rsid w:val="00EB0AD8"/>
    <w:rsid w:val="00EB2635"/>
    <w:rsid w:val="00EC1CA4"/>
    <w:rsid w:val="00EE79DB"/>
    <w:rsid w:val="00EF0557"/>
    <w:rsid w:val="00F317DB"/>
    <w:rsid w:val="00FE7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F6F6"/>
  <w15:chartTrackingRefBased/>
  <w15:docId w15:val="{B19E794F-96E7-4932-833F-60C6A7A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20"/>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3D6B4E"/>
    <w:pPr>
      <w:numPr>
        <w:numId w:val="1"/>
      </w:numPr>
      <w:spacing w:before="480" w:after="360"/>
      <w:jc w:val="center"/>
      <w:outlineLvl w:val="0"/>
    </w:pPr>
    <w:rPr>
      <w:b/>
      <w:bCs/>
      <w:kern w:val="0"/>
      <w:sz w:val="28"/>
      <w14:ligatures w14:val="none"/>
    </w:rPr>
  </w:style>
  <w:style w:type="paragraph" w:styleId="Ttulo2">
    <w:name w:val="heading 2"/>
    <w:basedOn w:val="Normal"/>
    <w:next w:val="Normal"/>
    <w:link w:val="Ttulo2Car"/>
    <w:uiPriority w:val="9"/>
    <w:unhideWhenUsed/>
    <w:qFormat/>
    <w:rsid w:val="009538E2"/>
    <w:pPr>
      <w:keepNext/>
      <w:keepLines/>
      <w:numPr>
        <w:ilvl w:val="1"/>
        <w:numId w:val="1"/>
      </w:numPr>
      <w:spacing w:before="480"/>
      <w:ind w:left="624" w:hanging="624"/>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851620"/>
    <w:pPr>
      <w:keepNext/>
      <w:keepLines/>
      <w:numPr>
        <w:ilvl w:val="2"/>
        <w:numId w:val="1"/>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85162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85162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85162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85162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85162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85162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16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620"/>
  </w:style>
  <w:style w:type="paragraph" w:styleId="Piedepgina">
    <w:name w:val="footer"/>
    <w:basedOn w:val="Normal"/>
    <w:link w:val="PiedepginaCar"/>
    <w:uiPriority w:val="99"/>
    <w:unhideWhenUsed/>
    <w:rsid w:val="008516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1620"/>
  </w:style>
  <w:style w:type="table" w:styleId="Tablaconcuadrcula">
    <w:name w:val="Table Grid"/>
    <w:basedOn w:val="Tablanormal"/>
    <w:uiPriority w:val="39"/>
    <w:rsid w:val="008516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851620"/>
    <w:pPr>
      <w:spacing w:before="0"/>
    </w:pPr>
    <w:rPr>
      <w:b/>
      <w:bCs/>
      <w:sz w:val="24"/>
      <w:szCs w:val="24"/>
    </w:rPr>
  </w:style>
  <w:style w:type="character" w:customStyle="1" w:styleId="TtuloCar">
    <w:name w:val="Título Car"/>
    <w:basedOn w:val="Fuentedeprrafopredeter"/>
    <w:link w:val="Ttulo"/>
    <w:uiPriority w:val="10"/>
    <w:rsid w:val="00851620"/>
    <w:rPr>
      <w:rFonts w:ascii="Arial" w:hAnsi="Arial" w:cs="Arial"/>
      <w:b/>
      <w:bCs/>
      <w:sz w:val="24"/>
      <w:szCs w:val="24"/>
    </w:rPr>
  </w:style>
  <w:style w:type="character" w:customStyle="1" w:styleId="Ttulo1Car">
    <w:name w:val="Título 1 Car"/>
    <w:basedOn w:val="Fuentedeprrafopredeter"/>
    <w:link w:val="Ttulo1"/>
    <w:uiPriority w:val="9"/>
    <w:rsid w:val="003D6B4E"/>
    <w:rPr>
      <w:rFonts w:ascii="Arial" w:hAnsi="Arial" w:cs="Arial"/>
      <w:b/>
      <w:bCs/>
      <w:kern w:val="0"/>
      <w:sz w:val="28"/>
      <w:szCs w:val="23"/>
      <w14:ligatures w14:val="none"/>
    </w:rPr>
  </w:style>
  <w:style w:type="character" w:customStyle="1" w:styleId="Ttulo2Car">
    <w:name w:val="Título 2 Car"/>
    <w:basedOn w:val="Fuentedeprrafopredeter"/>
    <w:link w:val="Ttulo2"/>
    <w:uiPriority w:val="9"/>
    <w:rsid w:val="009538E2"/>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85162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85162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85162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85162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85162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851620"/>
    <w:rPr>
      <w:rFonts w:asciiTheme="majorHAnsi" w:eastAsiaTheme="majorEastAsia" w:hAnsiTheme="majorHAnsi" w:cstheme="majorBidi"/>
      <w:i/>
      <w:iCs/>
      <w:color w:val="272727" w:themeColor="text1" w:themeTint="D8"/>
      <w:kern w:val="0"/>
      <w:sz w:val="21"/>
      <w:szCs w:val="21"/>
      <w14:ligatures w14:val="none"/>
    </w:rPr>
  </w:style>
  <w:style w:type="character" w:styleId="Refdecomentario">
    <w:name w:val="annotation reference"/>
    <w:basedOn w:val="Fuentedeprrafopredeter"/>
    <w:uiPriority w:val="99"/>
    <w:semiHidden/>
    <w:unhideWhenUsed/>
    <w:rsid w:val="00851620"/>
    <w:rPr>
      <w:sz w:val="16"/>
      <w:szCs w:val="16"/>
    </w:rPr>
  </w:style>
  <w:style w:type="paragraph" w:styleId="Textocomentario">
    <w:name w:val="annotation text"/>
    <w:basedOn w:val="Normal"/>
    <w:link w:val="TextocomentarioCar"/>
    <w:uiPriority w:val="99"/>
    <w:semiHidden/>
    <w:unhideWhenUsed/>
    <w:rsid w:val="008516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1620"/>
    <w:rPr>
      <w:rFonts w:ascii="Arial" w:hAnsi="Arial" w:cs="Arial"/>
      <w:sz w:val="20"/>
      <w:szCs w:val="20"/>
    </w:rPr>
  </w:style>
  <w:style w:type="paragraph" w:customStyle="1" w:styleId="Puntos">
    <w:name w:val="Puntos"/>
    <w:basedOn w:val="Normal"/>
    <w:link w:val="PuntosCar"/>
    <w:qFormat/>
    <w:rsid w:val="0085162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851620"/>
    <w:rPr>
      <w:rFonts w:ascii="Arial" w:hAnsi="Arial" w:cs="Arial"/>
      <w:kern w:val="0"/>
      <w:sz w:val="24"/>
      <w:szCs w:val="24"/>
      <w14:ligatures w14:val="none"/>
    </w:rPr>
  </w:style>
  <w:style w:type="paragraph" w:styleId="Prrafodelista">
    <w:name w:val="List Paragraph"/>
    <w:basedOn w:val="Normal"/>
    <w:uiPriority w:val="34"/>
    <w:qFormat/>
    <w:rsid w:val="0045624E"/>
    <w:pPr>
      <w:ind w:left="720"/>
      <w:contextualSpacing/>
    </w:pPr>
  </w:style>
  <w:style w:type="paragraph" w:styleId="Textodeglobo">
    <w:name w:val="Balloon Text"/>
    <w:basedOn w:val="Normal"/>
    <w:link w:val="TextodegloboCar"/>
    <w:uiPriority w:val="99"/>
    <w:semiHidden/>
    <w:unhideWhenUsed/>
    <w:rsid w:val="00E83A5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3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os%20E.%20Le&#243;n\Documents\Plantillas%20personalizadas%20de%20Office\Acuerdo_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Acuerdo_Base</Template>
  <TotalTime>373</TotalTime>
  <Pages>12</Pages>
  <Words>3430</Words>
  <Characters>18871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167</cp:revision>
  <cp:lastPrinted>2023-12-29T18:39:00Z</cp:lastPrinted>
  <dcterms:created xsi:type="dcterms:W3CDTF">2023-06-11T20:35:00Z</dcterms:created>
  <dcterms:modified xsi:type="dcterms:W3CDTF">2023-12-29T18:56:00Z</dcterms:modified>
</cp:coreProperties>
</file>