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84" w:rsidRPr="00696684" w:rsidRDefault="00696684" w:rsidP="00696684">
      <w:pPr>
        <w:spacing w:after="0"/>
        <w:jc w:val="center"/>
        <w:rPr>
          <w:rFonts w:ascii="Arial" w:hAnsi="Arial" w:cs="Arial"/>
          <w:b/>
          <w:sz w:val="28"/>
          <w:szCs w:val="28"/>
          <w:lang w:val="es-ES"/>
        </w:rPr>
      </w:pPr>
      <w:r w:rsidRPr="00696684">
        <w:rPr>
          <w:rFonts w:ascii="Arial" w:hAnsi="Arial" w:cs="Arial"/>
          <w:b/>
          <w:sz w:val="28"/>
          <w:szCs w:val="28"/>
          <w:lang w:val="es-ES"/>
        </w:rPr>
        <w:t>SESIÓN EXTRAORDINARIA</w:t>
      </w:r>
    </w:p>
    <w:p w:rsidR="00696684" w:rsidRPr="00696684" w:rsidRDefault="00696684" w:rsidP="00696684">
      <w:pPr>
        <w:spacing w:after="0"/>
        <w:jc w:val="center"/>
        <w:rPr>
          <w:rFonts w:ascii="Arial" w:hAnsi="Arial" w:cs="Arial"/>
          <w:sz w:val="28"/>
          <w:szCs w:val="28"/>
          <w:lang w:val="es-ES"/>
        </w:rPr>
      </w:pPr>
      <w:r w:rsidRPr="00696684">
        <w:rPr>
          <w:rFonts w:ascii="Arial" w:hAnsi="Arial" w:cs="Arial"/>
          <w:sz w:val="28"/>
          <w:szCs w:val="28"/>
          <w:lang w:val="es-ES"/>
        </w:rPr>
        <w:t>VIERNES, 29 DE DICIEMBRE DE 2023</w:t>
      </w:r>
    </w:p>
    <w:p w:rsidR="00696684" w:rsidRPr="00696684" w:rsidRDefault="00696684" w:rsidP="00696684">
      <w:pPr>
        <w:spacing w:after="0"/>
        <w:jc w:val="center"/>
        <w:rPr>
          <w:rFonts w:ascii="Arial" w:hAnsi="Arial" w:cs="Arial"/>
          <w:sz w:val="28"/>
          <w:szCs w:val="28"/>
          <w:lang w:val="es-ES"/>
        </w:rPr>
      </w:pPr>
      <w:r w:rsidRPr="00696684">
        <w:rPr>
          <w:rFonts w:ascii="Arial" w:hAnsi="Arial" w:cs="Arial"/>
          <w:sz w:val="28"/>
          <w:szCs w:val="28"/>
          <w:lang w:val="es-ES"/>
        </w:rPr>
        <w:t>11:00 HORAS</w:t>
      </w:r>
    </w:p>
    <w:p w:rsidR="00696684" w:rsidRPr="00696684" w:rsidRDefault="00696684" w:rsidP="00696684">
      <w:pPr>
        <w:spacing w:after="0"/>
        <w:jc w:val="center"/>
        <w:rPr>
          <w:rFonts w:ascii="Arial" w:hAnsi="Arial" w:cs="Arial"/>
          <w:sz w:val="28"/>
          <w:szCs w:val="28"/>
          <w:lang w:val="es-ES"/>
        </w:rPr>
      </w:pPr>
    </w:p>
    <w:p w:rsidR="00696684" w:rsidRPr="00696684" w:rsidRDefault="00696684" w:rsidP="00696684">
      <w:pPr>
        <w:jc w:val="center"/>
        <w:rPr>
          <w:rFonts w:ascii="Arial" w:hAnsi="Arial" w:cs="Arial"/>
          <w:b/>
          <w:sz w:val="28"/>
          <w:szCs w:val="28"/>
        </w:rPr>
      </w:pPr>
      <w:r w:rsidRPr="00696684">
        <w:rPr>
          <w:rFonts w:ascii="Arial" w:hAnsi="Arial" w:cs="Arial"/>
          <w:b/>
          <w:sz w:val="28"/>
          <w:szCs w:val="28"/>
        </w:rPr>
        <w:t>ORDEN DEL DÍA</w:t>
      </w:r>
    </w:p>
    <w:p w:rsidR="00696684" w:rsidRDefault="00696684" w:rsidP="00696684">
      <w:pPr>
        <w:spacing w:after="0"/>
        <w:jc w:val="center"/>
        <w:rPr>
          <w:lang w:val="es-ES"/>
        </w:rPr>
      </w:pPr>
    </w:p>
    <w:p w:rsidR="00696684" w:rsidRPr="00696684" w:rsidRDefault="00696684" w:rsidP="00696684">
      <w:pPr>
        <w:pStyle w:val="Prrafodelista"/>
        <w:numPr>
          <w:ilvl w:val="0"/>
          <w:numId w:val="4"/>
        </w:numPr>
        <w:spacing w:before="240" w:after="240"/>
        <w:ind w:left="357" w:hanging="357"/>
        <w:contextualSpacing w:val="0"/>
        <w:rPr>
          <w:rFonts w:ascii="Arial" w:hAnsi="Arial" w:cs="Arial"/>
          <w:sz w:val="24"/>
          <w:szCs w:val="24"/>
          <w:lang w:val="es-ES"/>
        </w:rPr>
      </w:pPr>
      <w:r w:rsidRPr="00696684">
        <w:rPr>
          <w:rFonts w:ascii="Arial" w:hAnsi="Arial" w:cs="Arial"/>
          <w:sz w:val="24"/>
          <w:szCs w:val="24"/>
          <w:lang w:val="es-ES"/>
        </w:rPr>
        <w:t>Lista de asistencia</w:t>
      </w:r>
    </w:p>
    <w:p w:rsidR="00696684" w:rsidRPr="00696684" w:rsidRDefault="00696684" w:rsidP="00696684">
      <w:pPr>
        <w:pStyle w:val="Prrafodelista"/>
        <w:numPr>
          <w:ilvl w:val="0"/>
          <w:numId w:val="4"/>
        </w:numPr>
        <w:spacing w:before="240" w:after="240" w:line="276" w:lineRule="auto"/>
        <w:ind w:left="426" w:hanging="426"/>
        <w:contextualSpacing w:val="0"/>
        <w:jc w:val="both"/>
        <w:rPr>
          <w:rFonts w:ascii="Arial" w:hAnsi="Arial" w:cs="Arial"/>
          <w:sz w:val="24"/>
          <w:szCs w:val="24"/>
        </w:rPr>
      </w:pPr>
      <w:r w:rsidRPr="00696684">
        <w:rPr>
          <w:rFonts w:ascii="Arial" w:hAnsi="Arial" w:cs="Arial"/>
          <w:sz w:val="24"/>
          <w:szCs w:val="24"/>
        </w:rPr>
        <w:t xml:space="preserve">Declaración de quórum; </w:t>
      </w:r>
    </w:p>
    <w:p w:rsidR="00696684" w:rsidRPr="00696684" w:rsidRDefault="00696684" w:rsidP="00696684">
      <w:pPr>
        <w:pStyle w:val="Prrafodelista"/>
        <w:numPr>
          <w:ilvl w:val="0"/>
          <w:numId w:val="4"/>
        </w:numPr>
        <w:spacing w:before="240" w:after="240"/>
        <w:ind w:left="357" w:hanging="357"/>
        <w:contextualSpacing w:val="0"/>
        <w:rPr>
          <w:rFonts w:ascii="Arial" w:hAnsi="Arial" w:cs="Arial"/>
          <w:sz w:val="24"/>
          <w:szCs w:val="24"/>
          <w:lang w:val="es-ES"/>
        </w:rPr>
      </w:pPr>
      <w:r w:rsidRPr="00696684">
        <w:rPr>
          <w:rFonts w:ascii="Arial" w:hAnsi="Arial" w:cs="Arial"/>
          <w:sz w:val="24"/>
          <w:szCs w:val="24"/>
          <w:lang w:val="es-ES"/>
        </w:rPr>
        <w:t>Aprobación del orden del día</w:t>
      </w:r>
    </w:p>
    <w:p w:rsidR="00696684" w:rsidRPr="00696684" w:rsidRDefault="00696684" w:rsidP="00696684">
      <w:pPr>
        <w:pStyle w:val="Prrafodelista"/>
        <w:numPr>
          <w:ilvl w:val="0"/>
          <w:numId w:val="4"/>
        </w:numPr>
        <w:spacing w:before="240" w:after="240"/>
        <w:ind w:left="357" w:hanging="357"/>
        <w:contextualSpacing w:val="0"/>
        <w:jc w:val="both"/>
        <w:rPr>
          <w:rFonts w:ascii="Arial" w:hAnsi="Arial" w:cs="Arial"/>
          <w:sz w:val="24"/>
          <w:szCs w:val="24"/>
          <w:lang w:val="es-ES"/>
        </w:rPr>
      </w:pPr>
      <w:r w:rsidRPr="00696684">
        <w:rPr>
          <w:rFonts w:ascii="Arial" w:hAnsi="Arial" w:cs="Arial"/>
          <w:sz w:val="24"/>
          <w:szCs w:val="24"/>
          <w:lang w:val="es-ES"/>
        </w:rPr>
        <w:t>Presentación y aprobación en su caso, del proyecto de acuerdo que emite el Consejo Estatal del Instituto Electoral y de Participación Ciudadana de Tabasco, por el que aprueba el diseño y la impresión de la documentación y materiales electorales que se utilizarán en la Jornada Electoral del 2 de junio de 2024 con motivo del Proceso Electoral Local Ordinario 2023 – 2024;</w:t>
      </w:r>
    </w:p>
    <w:p w:rsidR="00696684" w:rsidRPr="00696684" w:rsidRDefault="00696684" w:rsidP="00696684">
      <w:pPr>
        <w:pStyle w:val="Prrafodelista"/>
        <w:numPr>
          <w:ilvl w:val="0"/>
          <w:numId w:val="4"/>
        </w:numPr>
        <w:spacing w:before="240" w:after="240"/>
        <w:ind w:left="357" w:hanging="357"/>
        <w:contextualSpacing w:val="0"/>
        <w:jc w:val="both"/>
        <w:rPr>
          <w:rFonts w:ascii="Arial" w:hAnsi="Arial" w:cs="Arial"/>
          <w:sz w:val="24"/>
          <w:szCs w:val="24"/>
          <w:lang w:val="es-ES"/>
        </w:rPr>
      </w:pPr>
      <w:r w:rsidRPr="00696684">
        <w:rPr>
          <w:rFonts w:ascii="Arial" w:hAnsi="Arial" w:cs="Arial"/>
          <w:sz w:val="24"/>
          <w:szCs w:val="24"/>
          <w:lang w:val="es-ES"/>
        </w:rPr>
        <w:t>Presentación y aprobación en su caso, del proyecto de acuerdo que emite el Consejo Estatal del Instituto Electoral y de Participación Ciudadana de Tabasco, a propuesta de la Comisión Temporal del Programa de Resultados Electorales Preliminares del Estado de Tabasco, mediante el cual aprueba el Proceso Técnico Operativo del Programa de Resultados Electorales Preliminares del Estado de Tabasco que se implementará con motivo del Proceso Electoral Local Ordinario 2023 – 2024;</w:t>
      </w:r>
    </w:p>
    <w:p w:rsidR="00696684" w:rsidRPr="00696684" w:rsidRDefault="00696684" w:rsidP="00696684">
      <w:pPr>
        <w:pStyle w:val="Prrafodelista"/>
        <w:numPr>
          <w:ilvl w:val="0"/>
          <w:numId w:val="4"/>
        </w:numPr>
        <w:spacing w:before="240" w:after="240"/>
        <w:ind w:left="357" w:hanging="357"/>
        <w:contextualSpacing w:val="0"/>
        <w:jc w:val="both"/>
        <w:rPr>
          <w:rFonts w:ascii="Arial" w:hAnsi="Arial" w:cs="Arial"/>
          <w:sz w:val="24"/>
          <w:szCs w:val="24"/>
          <w:lang w:val="es-ES"/>
        </w:rPr>
      </w:pPr>
      <w:r w:rsidRPr="00696684">
        <w:rPr>
          <w:rFonts w:ascii="Arial" w:hAnsi="Arial" w:cs="Arial"/>
          <w:sz w:val="24"/>
          <w:szCs w:val="24"/>
          <w:lang w:val="es-ES"/>
        </w:rPr>
        <w:t>Presentación y aprobación en su caso, del proyecto de acuerdo que emite el Consejo Estatal del Instituto Electoral y de Participación Ciudadana de Tabasco, a propuesta de la Comisión Temporal del Programa de Resultados Electorales Preliminares del Estado de Tabasco, mediante el cual aprueba el Proceso Técnico Operativo del Sistema “Candidatas y Candidatos: Conóceles” con motivo del Proceso Electoral Local Ordinario 2023 – 2024;</w:t>
      </w:r>
    </w:p>
    <w:p w:rsidR="001B75E5" w:rsidRPr="001B75E5" w:rsidRDefault="001B75E5" w:rsidP="001B75E5">
      <w:pPr>
        <w:pStyle w:val="Ttulo"/>
        <w:numPr>
          <w:ilvl w:val="0"/>
          <w:numId w:val="4"/>
        </w:numPr>
        <w:ind w:left="284" w:hanging="284"/>
        <w:rPr>
          <w:rFonts w:ascii="Arial" w:hAnsi="Arial" w:cs="Arial"/>
          <w:b w:val="0"/>
        </w:rPr>
      </w:pPr>
      <w:r w:rsidRPr="001B75E5">
        <w:rPr>
          <w:rFonts w:ascii="Arial" w:hAnsi="Arial" w:cs="Arial"/>
          <w:b w:val="0"/>
        </w:rPr>
        <w:t>Proyecto de acuerdo que emite el Consejo Estatal del Instituto Electoral y de Participación Ciudadana de Tabasco, mediante el cual sustituye a las Consejerías Electorales que quedaron vacantes en los Consejos Electorales Distritales con motivo del Proceso Electoral Local Ordinario 2023 – 2024</w:t>
      </w:r>
      <w:r>
        <w:rPr>
          <w:rFonts w:ascii="Arial" w:hAnsi="Arial" w:cs="Arial"/>
          <w:b w:val="0"/>
        </w:rPr>
        <w:t>;</w:t>
      </w:r>
    </w:p>
    <w:p w:rsidR="00696684" w:rsidRPr="00696684" w:rsidRDefault="00696684" w:rsidP="0070549D">
      <w:pPr>
        <w:pStyle w:val="Prrafodelista"/>
        <w:numPr>
          <w:ilvl w:val="0"/>
          <w:numId w:val="4"/>
        </w:numPr>
        <w:spacing w:before="240" w:after="240"/>
        <w:ind w:left="426" w:hanging="357"/>
        <w:contextualSpacing w:val="0"/>
        <w:jc w:val="both"/>
        <w:rPr>
          <w:rFonts w:ascii="Arial" w:hAnsi="Arial" w:cs="Arial"/>
          <w:sz w:val="24"/>
          <w:szCs w:val="24"/>
          <w:lang w:val="es-ES"/>
        </w:rPr>
      </w:pPr>
      <w:r w:rsidRPr="00696684">
        <w:rPr>
          <w:rFonts w:ascii="Arial" w:hAnsi="Arial" w:cs="Arial"/>
          <w:sz w:val="24"/>
          <w:szCs w:val="24"/>
          <w:lang w:val="es-ES"/>
        </w:rPr>
        <w:lastRenderedPageBreak/>
        <w:t xml:space="preserve">Presentación y aprobación en su caso, del proyecto de acuerdo que emite el Consejo Estatal del Instituto Electoral y de Participación Ciudadana de Tabasco, mediante el cual se da respuesta a la solicitud formulada por Roger Arias García, aspirante a la candidatura independiente a la Gubernatura del Estado; </w:t>
      </w:r>
    </w:p>
    <w:p w:rsidR="00696684" w:rsidRPr="0070549D" w:rsidRDefault="0070549D" w:rsidP="0070549D">
      <w:pPr>
        <w:pStyle w:val="Prrafodelista"/>
        <w:numPr>
          <w:ilvl w:val="0"/>
          <w:numId w:val="4"/>
        </w:numPr>
        <w:spacing w:before="240" w:after="240"/>
        <w:ind w:left="426" w:hanging="357"/>
        <w:contextualSpacing w:val="0"/>
        <w:jc w:val="both"/>
        <w:rPr>
          <w:rFonts w:ascii="Arial" w:hAnsi="Arial" w:cs="Arial"/>
          <w:sz w:val="24"/>
          <w:szCs w:val="24"/>
          <w:lang w:val="es-ES"/>
        </w:rPr>
      </w:pPr>
      <w:r w:rsidRPr="0070549D">
        <w:rPr>
          <w:rFonts w:ascii="Arial" w:hAnsi="Arial" w:cs="Arial"/>
          <w:sz w:val="24"/>
          <w:szCs w:val="24"/>
        </w:rPr>
        <w:t xml:space="preserve">Proyecto de acuerdo que emite el Consejo Estatal del Instituto Electoral y de Participación Ciudadana de Tabasco, mediante el cual se da respuesta a las solicitudes formuladas por </w:t>
      </w:r>
      <w:proofErr w:type="spellStart"/>
      <w:r w:rsidRPr="0070549D">
        <w:rPr>
          <w:rFonts w:ascii="Arial" w:hAnsi="Arial" w:cs="Arial"/>
          <w:sz w:val="24"/>
          <w:szCs w:val="24"/>
        </w:rPr>
        <w:t>Ebenezer</w:t>
      </w:r>
      <w:proofErr w:type="spellEnd"/>
      <w:r w:rsidRPr="0070549D">
        <w:rPr>
          <w:rFonts w:ascii="Arial" w:hAnsi="Arial" w:cs="Arial"/>
          <w:sz w:val="24"/>
          <w:szCs w:val="24"/>
        </w:rPr>
        <w:t xml:space="preserve"> Rodríguez de la Cruz, Mario Morales López y Manuel de los Santos López, aspirantes a las candidaturas independientes a las diputaciones de los distritos 7, 9 y a la Presidencia Municipal de Macuspana</w:t>
      </w:r>
      <w:r>
        <w:rPr>
          <w:rFonts w:ascii="Arial" w:hAnsi="Arial" w:cs="Arial"/>
          <w:sz w:val="24"/>
          <w:szCs w:val="24"/>
        </w:rPr>
        <w:t>; y</w:t>
      </w:r>
    </w:p>
    <w:p w:rsidR="00696684" w:rsidRPr="00696684" w:rsidRDefault="00696684" w:rsidP="00696684">
      <w:pPr>
        <w:pStyle w:val="Prrafodelista"/>
        <w:numPr>
          <w:ilvl w:val="0"/>
          <w:numId w:val="4"/>
        </w:numPr>
        <w:spacing w:before="240" w:after="240"/>
        <w:ind w:left="357" w:hanging="357"/>
        <w:contextualSpacing w:val="0"/>
        <w:jc w:val="both"/>
        <w:rPr>
          <w:rFonts w:ascii="Arial" w:hAnsi="Arial" w:cs="Arial"/>
          <w:sz w:val="24"/>
          <w:szCs w:val="24"/>
          <w:lang w:val="es-ES"/>
        </w:rPr>
      </w:pPr>
      <w:r w:rsidRPr="00696684">
        <w:rPr>
          <w:rFonts w:ascii="Arial" w:hAnsi="Arial" w:cs="Arial"/>
          <w:sz w:val="24"/>
          <w:szCs w:val="24"/>
          <w:lang w:val="es-ES"/>
        </w:rPr>
        <w:t>Clausura</w:t>
      </w:r>
    </w:p>
    <w:p w:rsidR="000E2683" w:rsidRPr="00696684" w:rsidRDefault="000E2683" w:rsidP="000E2683">
      <w:pPr>
        <w:jc w:val="center"/>
        <w:rPr>
          <w:rFonts w:ascii="Arial" w:hAnsi="Arial" w:cs="Arial"/>
          <w:b/>
          <w:sz w:val="24"/>
          <w:szCs w:val="24"/>
        </w:rPr>
      </w:pPr>
    </w:p>
    <w:p w:rsidR="006C7510" w:rsidRPr="00696684" w:rsidRDefault="006C7510" w:rsidP="000E2683">
      <w:pPr>
        <w:jc w:val="center"/>
        <w:rPr>
          <w:rFonts w:ascii="Arial" w:hAnsi="Arial" w:cs="Arial"/>
          <w:b/>
          <w:sz w:val="24"/>
          <w:szCs w:val="24"/>
        </w:rPr>
      </w:pPr>
    </w:p>
    <w:p w:rsidR="000E2683" w:rsidRPr="00696684" w:rsidRDefault="000E2683" w:rsidP="000E2683">
      <w:pPr>
        <w:spacing w:before="240" w:after="240"/>
        <w:jc w:val="both"/>
        <w:rPr>
          <w:rFonts w:ascii="Arial" w:hAnsi="Arial" w:cs="Arial"/>
          <w:sz w:val="24"/>
          <w:szCs w:val="24"/>
        </w:rPr>
      </w:pPr>
      <w:bookmarkStart w:id="0" w:name="_GoBack"/>
      <w:bookmarkEnd w:id="0"/>
    </w:p>
    <w:sectPr w:rsidR="000E2683" w:rsidRPr="00696684" w:rsidSect="000E2683">
      <w:head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70" w:rsidRDefault="00B87470" w:rsidP="000E2683">
      <w:pPr>
        <w:spacing w:after="0" w:line="240" w:lineRule="auto"/>
      </w:pPr>
      <w:r>
        <w:separator/>
      </w:r>
    </w:p>
  </w:endnote>
  <w:endnote w:type="continuationSeparator" w:id="0">
    <w:p w:rsidR="00B87470" w:rsidRDefault="00B87470"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70" w:rsidRDefault="00B87470" w:rsidP="000E2683">
      <w:pPr>
        <w:spacing w:after="0" w:line="240" w:lineRule="auto"/>
      </w:pPr>
      <w:r>
        <w:separator/>
      </w:r>
    </w:p>
  </w:footnote>
  <w:footnote w:type="continuationSeparator" w:id="0">
    <w:p w:rsidR="00B87470" w:rsidRDefault="00B87470"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563"/>
    <w:multiLevelType w:val="hybridMultilevel"/>
    <w:tmpl w:val="6C880B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AC14491"/>
    <w:multiLevelType w:val="hybridMultilevel"/>
    <w:tmpl w:val="EC8C7AF6"/>
    <w:lvl w:ilvl="0" w:tplc="8B56DC7A">
      <w:start w:val="1"/>
      <w:numFmt w:val="decimal"/>
      <w:lvlText w:val="%1."/>
      <w:lvlJc w:val="left"/>
      <w:pPr>
        <w:ind w:left="720" w:hanging="360"/>
      </w:pPr>
      <w:rPr>
        <w:rFonts w:hint="default"/>
      </w:rPr>
    </w:lvl>
    <w:lvl w:ilvl="1" w:tplc="B150E71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1B75E5"/>
    <w:rsid w:val="00237A1D"/>
    <w:rsid w:val="00464C36"/>
    <w:rsid w:val="004C0186"/>
    <w:rsid w:val="005B6D2C"/>
    <w:rsid w:val="006201F7"/>
    <w:rsid w:val="00696684"/>
    <w:rsid w:val="006C7510"/>
    <w:rsid w:val="0070549D"/>
    <w:rsid w:val="00B87470"/>
    <w:rsid w:val="00D1597F"/>
    <w:rsid w:val="00E27B95"/>
    <w:rsid w:val="00EC7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2338C"/>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27B95"/>
    <w:pPr>
      <w:spacing w:before="240" w:after="240" w:line="288" w:lineRule="auto"/>
      <w:jc w:val="both"/>
    </w:pPr>
    <w:rPr>
      <w:rFonts w:asciiTheme="majorHAnsi" w:hAnsiTheme="majorHAnsi" w:cstheme="majorHAnsi"/>
      <w:b/>
      <w:kern w:val="2"/>
      <w:sz w:val="24"/>
      <w:szCs w:val="24"/>
      <w14:ligatures w14:val="standardContextual"/>
    </w:rPr>
  </w:style>
  <w:style w:type="character" w:customStyle="1" w:styleId="TtuloCar">
    <w:name w:val="Título Car"/>
    <w:basedOn w:val="Fuentedeprrafopredeter"/>
    <w:link w:val="Ttulo"/>
    <w:uiPriority w:val="10"/>
    <w:rsid w:val="00E27B95"/>
    <w:rPr>
      <w:rFonts w:asciiTheme="majorHAnsi" w:hAnsiTheme="majorHAnsi" w:cstheme="majorHAnsi"/>
      <w:b/>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4F52-C805-4A4B-ABC3-1E10AB1D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9</cp:revision>
  <dcterms:created xsi:type="dcterms:W3CDTF">2023-11-23T17:42:00Z</dcterms:created>
  <dcterms:modified xsi:type="dcterms:W3CDTF">2023-12-30T02:23:00Z</dcterms:modified>
</cp:coreProperties>
</file>