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C5" w:rsidRPr="003C48F1" w:rsidRDefault="00B8267B" w:rsidP="00416D1A">
      <w:pPr>
        <w:rPr>
          <w:b/>
          <w:sz w:val="24"/>
        </w:rPr>
      </w:pPr>
      <w:r w:rsidRPr="003C48F1">
        <w:rPr>
          <w:b/>
          <w:sz w:val="24"/>
        </w:rPr>
        <w:t>ACUERDO QUE, A PROPUESTA DE LA COMISIÓN PERMANENTE DE ORGANIZACIÓN ELECTORAL Y EDUCACIÓN CÍVICA, EMITE EL CONSEJO ESTATAL DEL INSTITUTO ELECTORAL Y DE PARTICIPACIÓN CIUDADANA DE TABASCO MEDIANTE EL CUAL APRUEBA EL PROCEDIMIENTO DE RECEPCIÓN, EMBARQUE, TRASLADO, DISTRIBUCIÓN Y CUSTODIA DE LA DOCUMENTACIÓN Y MATERIAL ELECTORAL A LOS 21 CONSEJOS ELECTORALES DISTRITALES A UTILIZARSE EN EL PROCESO ELECTORAL LOCAL ORDINARIO 2023 – 2024</w:t>
      </w:r>
    </w:p>
    <w:p w:rsidR="0016014E" w:rsidRPr="00B8267B" w:rsidRDefault="0016014E" w:rsidP="0016014E">
      <w:r w:rsidRPr="00B8267B">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t>Consejo Estatal:</w:t>
            </w:r>
          </w:p>
        </w:tc>
        <w:tc>
          <w:tcPr>
            <w:tcW w:w="2958" w:type="pct"/>
            <w:shd w:val="clear" w:color="auto" w:fill="auto"/>
            <w:vAlign w:val="center"/>
          </w:tcPr>
          <w:p w:rsidR="0016014E" w:rsidRPr="00B8267B" w:rsidRDefault="0016014E" w:rsidP="00413697">
            <w:pPr>
              <w:widowControl w:val="0"/>
              <w:spacing w:before="60" w:after="60"/>
              <w:ind w:left="57"/>
              <w:rPr>
                <w:sz w:val="20"/>
                <w:szCs w:val="20"/>
              </w:rPr>
            </w:pPr>
            <w:r w:rsidRPr="00B8267B">
              <w:rPr>
                <w:sz w:val="20"/>
                <w:szCs w:val="20"/>
              </w:rPr>
              <w:t>Consejo Estatal del Instituto Electoral y de Participación Ciudadana de Tabasco.</w:t>
            </w:r>
          </w:p>
        </w:tc>
      </w:tr>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t>Consejos Distritales</w:t>
            </w:r>
          </w:p>
        </w:tc>
        <w:tc>
          <w:tcPr>
            <w:tcW w:w="2958" w:type="pct"/>
            <w:shd w:val="clear" w:color="auto" w:fill="auto"/>
            <w:vAlign w:val="center"/>
          </w:tcPr>
          <w:p w:rsidR="0016014E" w:rsidRPr="00B8267B" w:rsidRDefault="0016014E" w:rsidP="00413697">
            <w:pPr>
              <w:widowControl w:val="0"/>
              <w:spacing w:before="60" w:after="60"/>
              <w:ind w:left="57"/>
              <w:rPr>
                <w:sz w:val="20"/>
                <w:szCs w:val="20"/>
              </w:rPr>
            </w:pPr>
            <w:r w:rsidRPr="00B8267B">
              <w:rPr>
                <w:sz w:val="20"/>
                <w:szCs w:val="20"/>
              </w:rPr>
              <w:t>Consejos Electorales Distritales del Instituto Electoral y de Participación Ciudadana de Tabasco.</w:t>
            </w:r>
          </w:p>
        </w:tc>
      </w:tr>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t>Constitución Federal:</w:t>
            </w:r>
          </w:p>
        </w:tc>
        <w:tc>
          <w:tcPr>
            <w:tcW w:w="2958" w:type="pct"/>
            <w:shd w:val="clear" w:color="auto" w:fill="auto"/>
            <w:vAlign w:val="center"/>
          </w:tcPr>
          <w:p w:rsidR="0016014E" w:rsidRPr="00B8267B" w:rsidRDefault="0016014E" w:rsidP="00413697">
            <w:pPr>
              <w:widowControl w:val="0"/>
              <w:spacing w:before="60" w:after="60"/>
              <w:ind w:left="57"/>
              <w:rPr>
                <w:sz w:val="20"/>
                <w:szCs w:val="20"/>
              </w:rPr>
            </w:pPr>
            <w:r w:rsidRPr="00B8267B">
              <w:rPr>
                <w:sz w:val="20"/>
                <w:szCs w:val="20"/>
              </w:rPr>
              <w:t>Constitución Política de los Estados Unidos Mexicanos.</w:t>
            </w:r>
          </w:p>
        </w:tc>
      </w:tr>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t>Constitución Local:</w:t>
            </w:r>
          </w:p>
        </w:tc>
        <w:tc>
          <w:tcPr>
            <w:tcW w:w="2958" w:type="pct"/>
            <w:shd w:val="clear" w:color="auto" w:fill="auto"/>
            <w:vAlign w:val="center"/>
          </w:tcPr>
          <w:p w:rsidR="0016014E" w:rsidRPr="00B8267B" w:rsidRDefault="0016014E" w:rsidP="00413697">
            <w:pPr>
              <w:widowControl w:val="0"/>
              <w:spacing w:before="60" w:after="60"/>
              <w:ind w:left="57"/>
              <w:rPr>
                <w:sz w:val="20"/>
                <w:szCs w:val="20"/>
              </w:rPr>
            </w:pPr>
            <w:r w:rsidRPr="00B8267B">
              <w:rPr>
                <w:sz w:val="20"/>
                <w:szCs w:val="20"/>
              </w:rPr>
              <w:t>Constitución Política del Estado Libre y Soberano de Tabasco.</w:t>
            </w:r>
          </w:p>
        </w:tc>
      </w:tr>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t>INE:</w:t>
            </w:r>
          </w:p>
        </w:tc>
        <w:tc>
          <w:tcPr>
            <w:tcW w:w="2958" w:type="pct"/>
            <w:shd w:val="clear" w:color="auto" w:fill="auto"/>
            <w:vAlign w:val="center"/>
          </w:tcPr>
          <w:p w:rsidR="0016014E" w:rsidRPr="00B8267B" w:rsidRDefault="0016014E" w:rsidP="00413697">
            <w:pPr>
              <w:widowControl w:val="0"/>
              <w:spacing w:before="60" w:after="60"/>
              <w:ind w:left="57"/>
              <w:rPr>
                <w:sz w:val="20"/>
                <w:szCs w:val="20"/>
              </w:rPr>
            </w:pPr>
            <w:r w:rsidRPr="00B8267B">
              <w:rPr>
                <w:sz w:val="20"/>
                <w:szCs w:val="20"/>
              </w:rPr>
              <w:t>Instituto Nacional Electoral.</w:t>
            </w:r>
          </w:p>
        </w:tc>
      </w:tr>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t>Instituto:</w:t>
            </w:r>
          </w:p>
        </w:tc>
        <w:tc>
          <w:tcPr>
            <w:tcW w:w="2958" w:type="pct"/>
            <w:shd w:val="clear" w:color="auto" w:fill="auto"/>
          </w:tcPr>
          <w:p w:rsidR="0016014E" w:rsidRPr="00B8267B" w:rsidRDefault="0016014E" w:rsidP="00413697">
            <w:pPr>
              <w:widowControl w:val="0"/>
              <w:spacing w:before="60" w:after="60"/>
              <w:ind w:left="57"/>
              <w:rPr>
                <w:sz w:val="20"/>
                <w:szCs w:val="20"/>
              </w:rPr>
            </w:pPr>
            <w:r w:rsidRPr="00B8267B">
              <w:rPr>
                <w:sz w:val="20"/>
                <w:szCs w:val="20"/>
              </w:rPr>
              <w:t>Instituto Electoral y de Participación Ciudadana de Tabasco.</w:t>
            </w:r>
          </w:p>
        </w:tc>
      </w:tr>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t>Ley Electoral:</w:t>
            </w:r>
          </w:p>
        </w:tc>
        <w:tc>
          <w:tcPr>
            <w:tcW w:w="2958" w:type="pct"/>
            <w:shd w:val="clear" w:color="auto" w:fill="auto"/>
            <w:vAlign w:val="center"/>
          </w:tcPr>
          <w:p w:rsidR="0016014E" w:rsidRPr="00B8267B" w:rsidRDefault="0016014E" w:rsidP="00413697">
            <w:pPr>
              <w:widowControl w:val="0"/>
              <w:spacing w:before="60" w:after="60"/>
              <w:ind w:left="57"/>
              <w:rPr>
                <w:sz w:val="20"/>
                <w:szCs w:val="20"/>
              </w:rPr>
            </w:pPr>
            <w:r w:rsidRPr="00B8267B">
              <w:rPr>
                <w:sz w:val="20"/>
                <w:szCs w:val="20"/>
              </w:rPr>
              <w:t>Ley Electoral y de Partidos Políticos del Estado de Tabasco.</w:t>
            </w:r>
          </w:p>
        </w:tc>
      </w:tr>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t>Ley General:</w:t>
            </w:r>
          </w:p>
        </w:tc>
        <w:tc>
          <w:tcPr>
            <w:tcW w:w="2958" w:type="pct"/>
            <w:shd w:val="clear" w:color="auto" w:fill="auto"/>
            <w:vAlign w:val="center"/>
          </w:tcPr>
          <w:p w:rsidR="0016014E" w:rsidRPr="00B8267B" w:rsidRDefault="0016014E" w:rsidP="00413697">
            <w:pPr>
              <w:widowControl w:val="0"/>
              <w:spacing w:before="60" w:after="60"/>
              <w:ind w:left="57"/>
              <w:rPr>
                <w:sz w:val="20"/>
                <w:szCs w:val="20"/>
              </w:rPr>
            </w:pPr>
            <w:r w:rsidRPr="00B8267B">
              <w:rPr>
                <w:sz w:val="20"/>
                <w:szCs w:val="20"/>
              </w:rPr>
              <w:t>Ley General de Instituciones y Procedimientos Electorales.</w:t>
            </w:r>
          </w:p>
        </w:tc>
      </w:tr>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t>Organismo electoral:</w:t>
            </w:r>
          </w:p>
        </w:tc>
        <w:tc>
          <w:tcPr>
            <w:tcW w:w="2958" w:type="pct"/>
            <w:shd w:val="clear" w:color="auto" w:fill="auto"/>
            <w:vAlign w:val="center"/>
          </w:tcPr>
          <w:p w:rsidR="0016014E" w:rsidRPr="00B8267B" w:rsidRDefault="0016014E" w:rsidP="00413697">
            <w:pPr>
              <w:widowControl w:val="0"/>
              <w:spacing w:before="60" w:after="60"/>
              <w:ind w:left="57"/>
              <w:rPr>
                <w:sz w:val="20"/>
                <w:szCs w:val="20"/>
              </w:rPr>
            </w:pPr>
            <w:r w:rsidRPr="00B8267B">
              <w:rPr>
                <w:sz w:val="20"/>
                <w:szCs w:val="20"/>
              </w:rPr>
              <w:t xml:space="preserve">Organismo(s) público(s) local(es) electoral(es). </w:t>
            </w:r>
          </w:p>
        </w:tc>
      </w:tr>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t>Proceso Electoral:</w:t>
            </w:r>
          </w:p>
        </w:tc>
        <w:tc>
          <w:tcPr>
            <w:tcW w:w="2958" w:type="pct"/>
            <w:shd w:val="clear" w:color="auto" w:fill="auto"/>
            <w:vAlign w:val="center"/>
          </w:tcPr>
          <w:p w:rsidR="0016014E" w:rsidRPr="00B8267B" w:rsidRDefault="0016014E" w:rsidP="00413697">
            <w:pPr>
              <w:widowControl w:val="0"/>
              <w:spacing w:before="60" w:after="60"/>
              <w:ind w:left="57"/>
              <w:rPr>
                <w:sz w:val="20"/>
                <w:szCs w:val="20"/>
              </w:rPr>
            </w:pPr>
            <w:r w:rsidRPr="00B8267B">
              <w:rPr>
                <w:sz w:val="20"/>
                <w:szCs w:val="20"/>
              </w:rPr>
              <w:t>Proceso Electoral Local Ordinario 2023-2024.</w:t>
            </w:r>
          </w:p>
        </w:tc>
      </w:tr>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t>Reglamento de Elecciones:</w:t>
            </w:r>
          </w:p>
        </w:tc>
        <w:tc>
          <w:tcPr>
            <w:tcW w:w="2958" w:type="pct"/>
            <w:shd w:val="clear" w:color="auto" w:fill="auto"/>
            <w:vAlign w:val="center"/>
          </w:tcPr>
          <w:p w:rsidR="0016014E" w:rsidRPr="00B8267B" w:rsidRDefault="0016014E" w:rsidP="00413697">
            <w:pPr>
              <w:widowControl w:val="0"/>
              <w:spacing w:before="60" w:after="60"/>
              <w:ind w:left="57"/>
              <w:rPr>
                <w:sz w:val="20"/>
                <w:szCs w:val="20"/>
              </w:rPr>
            </w:pPr>
            <w:r w:rsidRPr="00B8267B">
              <w:rPr>
                <w:sz w:val="20"/>
                <w:szCs w:val="20"/>
              </w:rPr>
              <w:t>Reglamento de Elecciones del Instituto Nacional Electoral.</w:t>
            </w:r>
          </w:p>
        </w:tc>
      </w:tr>
      <w:tr w:rsidR="0016014E" w:rsidRPr="003C48F1" w:rsidTr="00413697">
        <w:trPr>
          <w:trHeight w:val="624"/>
          <w:jc w:val="center"/>
        </w:trPr>
        <w:tc>
          <w:tcPr>
            <w:tcW w:w="2042" w:type="pct"/>
            <w:shd w:val="clear" w:color="auto" w:fill="auto"/>
            <w:vAlign w:val="center"/>
          </w:tcPr>
          <w:p w:rsidR="0016014E" w:rsidRPr="00B8267B" w:rsidRDefault="0016014E" w:rsidP="00413697">
            <w:pPr>
              <w:widowControl w:val="0"/>
              <w:spacing w:before="60" w:after="60"/>
              <w:ind w:left="57"/>
              <w:jc w:val="right"/>
              <w:rPr>
                <w:b/>
                <w:sz w:val="20"/>
                <w:szCs w:val="20"/>
              </w:rPr>
            </w:pPr>
            <w:r w:rsidRPr="00B8267B">
              <w:rPr>
                <w:b/>
                <w:sz w:val="20"/>
                <w:szCs w:val="20"/>
              </w:rPr>
              <w:lastRenderedPageBreak/>
              <w:t>Secretaría Ejecutiva:</w:t>
            </w:r>
          </w:p>
        </w:tc>
        <w:tc>
          <w:tcPr>
            <w:tcW w:w="2958" w:type="pct"/>
            <w:shd w:val="clear" w:color="auto" w:fill="auto"/>
            <w:vAlign w:val="center"/>
          </w:tcPr>
          <w:p w:rsidR="0016014E" w:rsidRPr="00B8267B" w:rsidRDefault="0016014E" w:rsidP="00413697">
            <w:pPr>
              <w:widowControl w:val="0"/>
              <w:spacing w:before="60" w:after="60"/>
              <w:ind w:left="57"/>
              <w:rPr>
                <w:sz w:val="20"/>
                <w:szCs w:val="20"/>
              </w:rPr>
            </w:pPr>
            <w:r w:rsidRPr="00B8267B">
              <w:rPr>
                <w:sz w:val="20"/>
                <w:szCs w:val="20"/>
              </w:rPr>
              <w:t>Secretaría Ejecutiva del Instituto Electoral y de Participación Ciudadana de Tabasco.</w:t>
            </w:r>
          </w:p>
        </w:tc>
      </w:tr>
    </w:tbl>
    <w:p w:rsidR="0016014E" w:rsidRPr="00B8267B" w:rsidRDefault="0016014E" w:rsidP="002461C0">
      <w:pPr>
        <w:pStyle w:val="Ttulo1"/>
        <w:rPr>
          <w:sz w:val="24"/>
          <w:szCs w:val="24"/>
        </w:rPr>
      </w:pPr>
      <w:r w:rsidRPr="00B8267B">
        <w:rPr>
          <w:sz w:val="24"/>
          <w:szCs w:val="24"/>
        </w:rPr>
        <w:t>Antecedentes</w:t>
      </w:r>
    </w:p>
    <w:p w:rsidR="00416D1A" w:rsidRPr="00B8267B" w:rsidRDefault="00416D1A" w:rsidP="00416D1A">
      <w:pPr>
        <w:pStyle w:val="Ttulo2"/>
        <w:rPr>
          <w:rFonts w:ascii="Arial" w:hAnsi="Arial" w:cs="Arial"/>
          <w:sz w:val="23"/>
        </w:rPr>
      </w:pPr>
      <w:r w:rsidRPr="00B8267B">
        <w:rPr>
          <w:rFonts w:ascii="Arial" w:hAnsi="Arial" w:cs="Arial"/>
          <w:sz w:val="23"/>
        </w:rPr>
        <w:t>Modificación de la circunscripción plurinominal</w:t>
      </w:r>
    </w:p>
    <w:p w:rsidR="00416D1A" w:rsidRPr="00B8267B" w:rsidRDefault="00416D1A" w:rsidP="00416D1A">
      <w:r w:rsidRPr="00B8267B">
        <w:t>El 26 de agosto de 2021 se publicó en el Periódico Oficial del Estado edición 220 extraordinario, el decreto 300 mediante el cual se reformaron el párrafo segundo del artículo 12, los párrafos primero y tercero fracciones I, II, III y VI del artículo 14 y se derogaron el párrafo segundo del artículo 14 y el párrafo segundo del artículo 15, todos de la Constitución Local. No obstante, en virtud de lo resuelto por la Suprema Corte de Justicia de la Nación en la acción de inconstitucionalidad 140/2021 y sus acumuladas 141/2021 y 142/2021 se declaró la invalidez del segundo párrafo del artículo 12 de la Constitución Local, recobrando vigencia el texto anterior a la reforma.</w:t>
      </w:r>
    </w:p>
    <w:p w:rsidR="00416D1A" w:rsidRPr="00B8267B" w:rsidRDefault="00416D1A" w:rsidP="00416D1A">
      <w:r w:rsidRPr="00B8267B">
        <w:t>Con la reforma mencionada se estableció que la elección para diputaciones, propietarias y suplentes, según el principio de representación proporcional, será por lista de personas candidatas en una circunscripción plurinominal que comprende todo el territorio del estado.</w:t>
      </w:r>
    </w:p>
    <w:p w:rsidR="00416D1A" w:rsidRPr="00B8267B" w:rsidRDefault="0016014E" w:rsidP="00416D1A">
      <w:r w:rsidRPr="00B8267B">
        <w:t>A partir de</w:t>
      </w:r>
      <w:r w:rsidR="00416D1A" w:rsidRPr="00B8267B">
        <w:t xml:space="preserve"> lo anterior, </w:t>
      </w:r>
      <w:r w:rsidRPr="00B8267B">
        <w:t xml:space="preserve">el </w:t>
      </w:r>
      <w:r w:rsidR="00416D1A" w:rsidRPr="00B8267B">
        <w:t>28 de diciembre de 2023, el Consejo Estatal, a propuesta de la Comisión, aprobó el acuerdo CE/2023/064 mediante el cual designó al propio Consejo como cabecera de circunscripción, estableciendo parámetros de viabilidad operativa, con lo cual se dotó de congruencia, armonía y completitud al sistema normativo para el logro de las finalidades del Instituto.</w:t>
      </w:r>
    </w:p>
    <w:p w:rsidR="00416D1A" w:rsidRPr="00B8267B" w:rsidRDefault="00416D1A" w:rsidP="00416D1A">
      <w:pPr>
        <w:pStyle w:val="Ttulo2"/>
        <w:rPr>
          <w:rFonts w:ascii="Arial" w:hAnsi="Arial" w:cs="Arial"/>
          <w:sz w:val="23"/>
        </w:rPr>
      </w:pPr>
      <w:r w:rsidRPr="00B8267B">
        <w:rPr>
          <w:rFonts w:ascii="Arial" w:hAnsi="Arial" w:cs="Arial"/>
          <w:sz w:val="23"/>
        </w:rPr>
        <w:t>Distritación Electoral</w:t>
      </w:r>
    </w:p>
    <w:p w:rsidR="00416D1A" w:rsidRPr="00B8267B" w:rsidRDefault="00416D1A" w:rsidP="00416D1A">
      <w:r w:rsidRPr="00B8267B">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rsidR="00416D1A" w:rsidRPr="00B8267B" w:rsidRDefault="00416D1A" w:rsidP="00416D1A">
      <w:pPr>
        <w:pStyle w:val="Ttulo2"/>
        <w:rPr>
          <w:rFonts w:ascii="Arial" w:hAnsi="Arial" w:cs="Arial"/>
          <w:sz w:val="23"/>
        </w:rPr>
      </w:pPr>
      <w:r w:rsidRPr="00B8267B">
        <w:rPr>
          <w:rFonts w:ascii="Arial" w:hAnsi="Arial" w:cs="Arial"/>
          <w:sz w:val="23"/>
        </w:rPr>
        <w:lastRenderedPageBreak/>
        <w:t>Homologación de plazos y fechas en los procesos electorales locales concurrentes</w:t>
      </w:r>
    </w:p>
    <w:p w:rsidR="00416D1A" w:rsidRPr="00B8267B" w:rsidRDefault="00416D1A" w:rsidP="00416D1A">
      <w:r w:rsidRPr="00B8267B">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416D1A" w:rsidRPr="00B8267B" w:rsidRDefault="00416D1A" w:rsidP="00416D1A">
      <w:pPr>
        <w:pStyle w:val="Ttulo2"/>
        <w:rPr>
          <w:rFonts w:ascii="Arial" w:hAnsi="Arial" w:cs="Arial"/>
          <w:sz w:val="23"/>
        </w:rPr>
      </w:pPr>
      <w:r w:rsidRPr="00B8267B">
        <w:rPr>
          <w:rFonts w:ascii="Arial" w:hAnsi="Arial" w:cs="Arial"/>
          <w:sz w:val="23"/>
        </w:rPr>
        <w:t xml:space="preserve">Plan integral y calendario de coordinación </w:t>
      </w:r>
    </w:p>
    <w:p w:rsidR="00416D1A" w:rsidRPr="00B8267B" w:rsidRDefault="00416D1A" w:rsidP="00416D1A">
      <w:r w:rsidRPr="00B8267B">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416D1A" w:rsidRPr="00B8267B" w:rsidRDefault="00416D1A" w:rsidP="00416D1A">
      <w:pPr>
        <w:pStyle w:val="Ttulo2"/>
        <w:rPr>
          <w:rFonts w:ascii="Arial" w:hAnsi="Arial" w:cs="Arial"/>
          <w:sz w:val="23"/>
        </w:rPr>
      </w:pPr>
      <w:r w:rsidRPr="00B8267B">
        <w:rPr>
          <w:rFonts w:ascii="Arial" w:hAnsi="Arial" w:cs="Arial"/>
          <w:sz w:val="23"/>
        </w:rPr>
        <w:t>Convenio marco interinstitucional INE-Talleres Gráficos de México</w:t>
      </w:r>
    </w:p>
    <w:p w:rsidR="00416D1A" w:rsidRPr="00B8267B" w:rsidRDefault="00416D1A" w:rsidP="00416D1A">
      <w:r w:rsidRPr="00B8267B">
        <w:t xml:space="preserve">El 17 de agosto de 2023, el Consejo General del INE y Talleres Gráficos de México celebraron convenio marco institucional, con el propósito de que éste último, surta la documentación y los materiales electorales requeridos para el desarrollo del Proceso Electoral Federal. </w:t>
      </w:r>
    </w:p>
    <w:p w:rsidR="00416D1A" w:rsidRPr="00B8267B" w:rsidRDefault="00416D1A" w:rsidP="00416D1A">
      <w:r w:rsidRPr="00B8267B">
        <w:t>En la cláusula décima segunda del convenio mencionado, se estableció que en virtud de la coordinación que debe existir entre la autoridad electoral nacional y los organismos electorales, Talleres Gráficos de México otorgaría igualdad de condiciones a favor de éstos últimos que así lo requieran, ello en función de su capacidad de producción y del cumplimiento de las fechas de celebración de los convenios específicos, siempre y cuando no se ponga en riesgo el cumplimiento del objeto principal del convenio mencionado.</w:t>
      </w:r>
    </w:p>
    <w:p w:rsidR="00416D1A" w:rsidRPr="00B8267B" w:rsidRDefault="00416D1A" w:rsidP="00416D1A">
      <w:pPr>
        <w:pStyle w:val="Ttulo2"/>
        <w:rPr>
          <w:rFonts w:ascii="Arial" w:hAnsi="Arial" w:cs="Arial"/>
          <w:sz w:val="23"/>
        </w:rPr>
      </w:pPr>
      <w:r w:rsidRPr="00B8267B">
        <w:rPr>
          <w:rFonts w:ascii="Arial" w:hAnsi="Arial" w:cs="Arial"/>
          <w:sz w:val="23"/>
        </w:rPr>
        <w:t>Calendario electoral</w:t>
      </w:r>
    </w:p>
    <w:p w:rsidR="00416D1A" w:rsidRPr="00B8267B" w:rsidRDefault="00416D1A" w:rsidP="00416D1A">
      <w:r w:rsidRPr="00B8267B">
        <w:t>El 29 de septiembre de 2023, el Consejo Estatal aprobó el acuerdo CE/2023/021 relativo al calendario electoral para el Proceso Electoral.</w:t>
      </w:r>
    </w:p>
    <w:p w:rsidR="00416D1A" w:rsidRPr="00B8267B" w:rsidRDefault="00416D1A" w:rsidP="00416D1A">
      <w:pPr>
        <w:pStyle w:val="Ttulo2"/>
        <w:rPr>
          <w:rFonts w:ascii="Arial" w:hAnsi="Arial" w:cs="Arial"/>
          <w:sz w:val="23"/>
        </w:rPr>
      </w:pPr>
      <w:r w:rsidRPr="00B8267B">
        <w:rPr>
          <w:rFonts w:ascii="Arial" w:hAnsi="Arial" w:cs="Arial"/>
          <w:sz w:val="23"/>
        </w:rPr>
        <w:lastRenderedPageBreak/>
        <w:t>Inicio del Proceso Electoral</w:t>
      </w:r>
    </w:p>
    <w:p w:rsidR="00416D1A" w:rsidRPr="00B8267B" w:rsidRDefault="00416D1A" w:rsidP="00416D1A">
      <w:r w:rsidRPr="00B8267B">
        <w:t>El 6 de octubre de 2023, el Consejo Estatal de conformidad con el artículo 111 de la Ley Electoral declaró el inicio del Proceso Electoral por el que se renovarán los cargos relativos a la Gubernatura del Estado, diputaciones locales y presidencias municipales y regidurías.</w:t>
      </w:r>
    </w:p>
    <w:p w:rsidR="00416D1A" w:rsidRPr="00B8267B" w:rsidRDefault="00416D1A" w:rsidP="00416D1A">
      <w:pPr>
        <w:pStyle w:val="Ttulo2"/>
        <w:rPr>
          <w:rFonts w:ascii="Arial" w:hAnsi="Arial" w:cs="Arial"/>
          <w:sz w:val="23"/>
        </w:rPr>
      </w:pPr>
      <w:r w:rsidRPr="00B8267B">
        <w:rPr>
          <w:rFonts w:ascii="Arial" w:hAnsi="Arial" w:cs="Arial"/>
          <w:sz w:val="23"/>
        </w:rPr>
        <w:t>Convocatoria para la renovación del Poder Ejecutivo, Legislativo y los Ayuntamientos</w:t>
      </w:r>
    </w:p>
    <w:p w:rsidR="00416D1A" w:rsidRPr="00B8267B" w:rsidRDefault="00416D1A" w:rsidP="00416D1A">
      <w:r w:rsidRPr="00B8267B">
        <w:t>El 20 de octubre de 2023, mediante acuerdo CE/2023/035, el Consejo Estatal expidió la convocatoria para renovar a las y los integrantes de los Poderes Ejecutivo, Legislativo y los Ayuntamientos del Estado, con motivo del Proceso Electoral.</w:t>
      </w:r>
    </w:p>
    <w:p w:rsidR="00416D1A" w:rsidRPr="00B8267B" w:rsidRDefault="00416D1A" w:rsidP="00416D1A">
      <w:pPr>
        <w:pStyle w:val="Ttulo2"/>
        <w:rPr>
          <w:rFonts w:ascii="Arial" w:hAnsi="Arial" w:cs="Arial"/>
          <w:sz w:val="23"/>
        </w:rPr>
      </w:pPr>
      <w:r w:rsidRPr="00B8267B">
        <w:rPr>
          <w:rFonts w:ascii="Arial" w:hAnsi="Arial" w:cs="Arial"/>
          <w:sz w:val="23"/>
        </w:rPr>
        <w:t>Cabeceras de municipio</w:t>
      </w:r>
    </w:p>
    <w:p w:rsidR="00416D1A" w:rsidRPr="00B8267B" w:rsidRDefault="00416D1A" w:rsidP="00416D1A">
      <w:r w:rsidRPr="00B8267B">
        <w:t>El 30 de octubre de 2023, mediante acuerdo CE/2023/040, el Consejo Estatal determinó los Consejos Distritales que fungirán como cabeceras de municipio, responsables de los cómputos finales que correspondan a la demarcación territorial del municipio para las elecciones de Presidencias Municipales y Regidurías por el principio de mayoría relativa con motivo del Proceso Electoral.</w:t>
      </w:r>
    </w:p>
    <w:p w:rsidR="00416D1A" w:rsidRPr="00B8267B" w:rsidRDefault="00416D1A" w:rsidP="00416D1A">
      <w:pPr>
        <w:pStyle w:val="Ttulo2"/>
        <w:rPr>
          <w:rFonts w:ascii="Arial" w:hAnsi="Arial" w:cs="Arial"/>
          <w:sz w:val="23"/>
        </w:rPr>
      </w:pPr>
      <w:r w:rsidRPr="00B8267B">
        <w:rPr>
          <w:rFonts w:ascii="Arial" w:hAnsi="Arial" w:cs="Arial"/>
          <w:sz w:val="23"/>
        </w:rPr>
        <w:t xml:space="preserve">Adhesión al convenio marco </w:t>
      </w:r>
    </w:p>
    <w:p w:rsidR="00416D1A" w:rsidRPr="00B8267B" w:rsidRDefault="00416D1A" w:rsidP="00416D1A">
      <w:r w:rsidRPr="00B8267B">
        <w:t>El 6 de diciembre de 2023, mediante acuerdo CE/2023/055, este Consejo Estatal facultó a los titulares de la Presidencia del Consejo y de la Secretaría Ejecutiva para que se adhirieran al Convenio de Colaboración celebrado entre el INE y Talleres Gráficos de México y en su oportunidad suscribieran el convenio específico de colaboración para la elaboración y producción de la documentación y materiales electorales a utilizarse con motivo del Proceso Electoral.</w:t>
      </w:r>
    </w:p>
    <w:p w:rsidR="00416D1A" w:rsidRPr="00B8267B" w:rsidRDefault="00416D1A" w:rsidP="00416D1A">
      <w:r w:rsidRPr="00B8267B">
        <w:t>Como consecuencia de lo anterior, el 27 de diciembre de 2023 el Instituto celebró convenio específico de colaboración con Talleres Gráficos de México a fin de determinar las bases para la prestación del servicio integral para la producción y entrega de la documentación y material electoral que serán utilizados en el Proceso Electoral.</w:t>
      </w:r>
    </w:p>
    <w:p w:rsidR="00416D1A" w:rsidRPr="00B8267B" w:rsidRDefault="00416D1A" w:rsidP="00416D1A">
      <w:pPr>
        <w:pStyle w:val="Ttulo2"/>
        <w:rPr>
          <w:rFonts w:ascii="Arial" w:hAnsi="Arial" w:cs="Arial"/>
          <w:sz w:val="23"/>
        </w:rPr>
      </w:pPr>
      <w:r w:rsidRPr="00B8267B">
        <w:rPr>
          <w:rFonts w:ascii="Arial" w:hAnsi="Arial" w:cs="Arial"/>
          <w:sz w:val="23"/>
        </w:rPr>
        <w:lastRenderedPageBreak/>
        <w:t>Validación de la documentación y materiales electorales</w:t>
      </w:r>
    </w:p>
    <w:p w:rsidR="00416D1A" w:rsidRPr="00B8267B" w:rsidRDefault="00416D1A" w:rsidP="00416D1A">
      <w:r w:rsidRPr="00B8267B">
        <w:t>Conforme al procedimiento establecido en el Reglamento de Elecciones, el 17 de julio de 2023, mediante oficio INE/DEOE/0749/2023, la Dirección Ejecutiva de Organización Electoral del INE, informó la aprobación de los formatos únicos de los diseños y especificaciones técnicas de la documentación sin emblemas y materiales electorales que serán adecuados para su utilización en el Proceso Electoral, así como la guía de revisión y validación de documentos y materiales electorales de los organismos electorales y el instructivo de diseño de los documentos sin emblema.</w:t>
      </w:r>
    </w:p>
    <w:p w:rsidR="00416D1A" w:rsidRPr="00B8267B" w:rsidRDefault="00416D1A" w:rsidP="00416D1A">
      <w:r w:rsidRPr="00B8267B">
        <w:t>A partir de lo anterior, el Instituto dio inicio a la personalización de los formatos únicos de acuerdo con la guía de revisión y validación de documentos y materiales electorales y con sujeción a lo señalado en el artículo 160 numeral 1 del Reglamento de Elecciones.</w:t>
      </w:r>
    </w:p>
    <w:p w:rsidR="00416D1A" w:rsidRPr="00B8267B" w:rsidRDefault="00416D1A" w:rsidP="00416D1A">
      <w:r w:rsidRPr="00B8267B">
        <w:t xml:space="preserve">En ese contexto, una vez solventadas las observaciones formuladas por la Junta Local Ejecutiva del INE, mediante oficios INE/DEOE/1177/2023 e INE/DEOE/1348/2023 de fechas 8 de noviembre y 13 de diciembre de 2023, respectivamente, la Dirección Ejecutiva de Organización Electoral y la Dirección de Estadística y Documentación Electoral ambas del INE determinaron que después de llevar a cabo la revisión a los diseños y especificaciones técnicas de la documentación electoral sin emblemas presentados por este Instituto, las observaciones señaladas por la Junta Local Ejecutiva en la entidad, fueron atendidas y en consecuencia, validó su cumplimiento. </w:t>
      </w:r>
    </w:p>
    <w:p w:rsidR="00416D1A" w:rsidRPr="00B8267B" w:rsidRDefault="00416D1A" w:rsidP="00416D1A">
      <w:r w:rsidRPr="00B8267B">
        <w:t>Como consecuencia de la validación, la Dirección Ejecutiva de Organización Electoral del INE, señaló que este Consejo Estatal debe proceder a la aprobación e iniciar los trámites administrativos para su impresión, de conformidad con el artículo 160, numeral 1, inciso f) del Reglamento de Elecciones.</w:t>
      </w:r>
    </w:p>
    <w:p w:rsidR="00416D1A" w:rsidRPr="00B8267B" w:rsidRDefault="00416D1A" w:rsidP="00416D1A">
      <w:pPr>
        <w:pStyle w:val="Ttulo2"/>
        <w:rPr>
          <w:rFonts w:ascii="Arial" w:hAnsi="Arial" w:cs="Arial"/>
          <w:sz w:val="23"/>
        </w:rPr>
      </w:pPr>
      <w:r w:rsidRPr="00B8267B">
        <w:rPr>
          <w:rFonts w:ascii="Arial" w:hAnsi="Arial" w:cs="Arial"/>
          <w:sz w:val="23"/>
        </w:rPr>
        <w:t>Aprobación de la documentación y materiales electorales</w:t>
      </w:r>
    </w:p>
    <w:p w:rsidR="00416D1A" w:rsidRDefault="00416D1A" w:rsidP="00416D1A">
      <w:r w:rsidRPr="00B8267B">
        <w:t>El 30 de diciembre de 2023, mediante acuerdo CE/2023/070, el Consejo Estatal aprobó el diseño y la impresión de la documentación y materiales electorales que se utilizarán en la jornada electoral del 2 de junio de 2024 con motivo del Proceso Electoral.</w:t>
      </w:r>
    </w:p>
    <w:p w:rsidR="00B8267B" w:rsidRPr="00B8267B" w:rsidRDefault="00B8267B" w:rsidP="00416D1A"/>
    <w:p w:rsidR="00416D1A" w:rsidRPr="00B8267B" w:rsidRDefault="00416D1A" w:rsidP="00416D1A">
      <w:pPr>
        <w:pStyle w:val="Ttulo2"/>
        <w:rPr>
          <w:rFonts w:ascii="Arial" w:hAnsi="Arial" w:cs="Arial"/>
          <w:sz w:val="23"/>
        </w:rPr>
      </w:pPr>
      <w:r w:rsidRPr="00B8267B">
        <w:rPr>
          <w:rFonts w:ascii="Arial" w:hAnsi="Arial" w:cs="Arial"/>
          <w:sz w:val="23"/>
        </w:rPr>
        <w:lastRenderedPageBreak/>
        <w:t>Validación de la documentación electoral para la modalidad del Voto Anticipado</w:t>
      </w:r>
    </w:p>
    <w:p w:rsidR="00416D1A" w:rsidRPr="00B8267B" w:rsidRDefault="00416D1A" w:rsidP="00416D1A">
      <w:r w:rsidRPr="00B8267B">
        <w:t>Conforme al procedimiento establecido en el Reglamento de Elecciones y su anexo 4.1, el 13 de marzo de 2024, la Dirección Ejecutiva de Organización Electoral del INE, mediante oficio INE/DEOE/0529/2024, informó a este Instituto que, después de llevar a cabo la revisión de los diseños de los formatos únicos personalizados de la documentación electoral para la modalidad del Voto Anticipado, la Dirección de Estadística y Documentación Electoral encontró que todas las observaciones señaladas fueron atendidas de manera satisfactoria.</w:t>
      </w:r>
    </w:p>
    <w:p w:rsidR="00416D1A" w:rsidRPr="00B8267B" w:rsidRDefault="00416D1A" w:rsidP="00416D1A">
      <w:r w:rsidRPr="00B8267B">
        <w:t>Derivado de lo anterior, Dirección Ejecutiva de Organización Electoral del INE validó la documentación de la modalidad de voto anticipado, para que este Consejo Estatal después de su aprobación, iniciara los trámites administrativos para su impresión, de conformidad con el artículo 160 numeral 1, inciso f) del Reglamento de Elecciones.</w:t>
      </w:r>
    </w:p>
    <w:p w:rsidR="00416D1A" w:rsidRPr="00B8267B" w:rsidRDefault="00416D1A" w:rsidP="00416D1A">
      <w:pPr>
        <w:pStyle w:val="Ttulo2"/>
        <w:rPr>
          <w:rFonts w:ascii="Arial" w:hAnsi="Arial" w:cs="Arial"/>
          <w:sz w:val="23"/>
        </w:rPr>
      </w:pPr>
      <w:r w:rsidRPr="00B8267B">
        <w:rPr>
          <w:rFonts w:ascii="Arial" w:hAnsi="Arial" w:cs="Arial"/>
          <w:sz w:val="23"/>
        </w:rPr>
        <w:t>Periodo de campaña</w:t>
      </w:r>
    </w:p>
    <w:p w:rsidR="00416D1A" w:rsidRPr="00B8267B" w:rsidRDefault="00416D1A" w:rsidP="00416D1A">
      <w:r w:rsidRPr="00B8267B">
        <w:t>Por su parte, el artículo 202, numerales 1 y 3 de la Ley Electoral dispone que las campañas electorales para la Gubernatura, Diputaciones y Regidurías, en el año de elecciones generales, tendrán una duración de setenta y cinco días, e iniciarán a partir del día siguiente al de la sesión de registro de candidaturas para la elección respectiva, debiendo concluir tres días antes de la jornada electoral. En ese tenor, para el Proceso Electoral, el período de campaña inicia el 16 de marzo y concluye el 29 de mayo de 2024.</w:t>
      </w:r>
    </w:p>
    <w:p w:rsidR="004024C5" w:rsidRPr="00B8267B" w:rsidRDefault="004024C5" w:rsidP="004024C5">
      <w:pPr>
        <w:pStyle w:val="Ttulo2"/>
        <w:rPr>
          <w:rFonts w:ascii="Arial" w:hAnsi="Arial" w:cs="Arial"/>
          <w:sz w:val="23"/>
        </w:rPr>
      </w:pPr>
      <w:r w:rsidRPr="00B8267B">
        <w:rPr>
          <w:rFonts w:ascii="Arial" w:hAnsi="Arial" w:cs="Arial"/>
          <w:sz w:val="23"/>
        </w:rPr>
        <w:t>Remisión de la propuesta</w:t>
      </w:r>
    </w:p>
    <w:p w:rsidR="004024C5" w:rsidRDefault="004024C5" w:rsidP="004024C5">
      <w:r w:rsidRPr="00B8267B">
        <w:t>El 19 de marzo de 2024, la Secretaria Técnica de la Comisión, remitió a la Presidencia del Consejo, la propuesta relativa al procedimiento de recepción, embarque, traslado, distribución y custodia de la documentación y material electoral a los 21 consejos electorales distritales a utilizarse en el Proceso Electoral,</w:t>
      </w:r>
      <w:r w:rsidRPr="00B8267B">
        <w:rPr>
          <w:spacing w:val="-62"/>
        </w:rPr>
        <w:t xml:space="preserve"> </w:t>
      </w:r>
      <w:r w:rsidRPr="00B8267B">
        <w:t>para</w:t>
      </w:r>
      <w:r w:rsidRPr="00B8267B">
        <w:rPr>
          <w:spacing w:val="-2"/>
        </w:rPr>
        <w:t xml:space="preserve"> </w:t>
      </w:r>
      <w:r w:rsidRPr="00B8267B">
        <w:t>la</w:t>
      </w:r>
      <w:r w:rsidRPr="00B8267B">
        <w:rPr>
          <w:spacing w:val="-1"/>
        </w:rPr>
        <w:t xml:space="preserve"> </w:t>
      </w:r>
      <w:r w:rsidRPr="00B8267B">
        <w:t>deliberación</w:t>
      </w:r>
      <w:r w:rsidRPr="00B8267B">
        <w:rPr>
          <w:spacing w:val="-1"/>
        </w:rPr>
        <w:t xml:space="preserve"> </w:t>
      </w:r>
      <w:r w:rsidRPr="00B8267B">
        <w:t>por</w:t>
      </w:r>
      <w:r w:rsidRPr="00B8267B">
        <w:rPr>
          <w:spacing w:val="2"/>
        </w:rPr>
        <w:t xml:space="preserve"> </w:t>
      </w:r>
      <w:r w:rsidRPr="00B8267B">
        <w:t>parte</w:t>
      </w:r>
      <w:r w:rsidRPr="00B8267B">
        <w:rPr>
          <w:spacing w:val="-1"/>
        </w:rPr>
        <w:t xml:space="preserve"> </w:t>
      </w:r>
      <w:r w:rsidRPr="00B8267B">
        <w:t>de</w:t>
      </w:r>
      <w:r w:rsidRPr="00B8267B">
        <w:rPr>
          <w:spacing w:val="-1"/>
        </w:rPr>
        <w:t xml:space="preserve"> </w:t>
      </w:r>
      <w:r w:rsidRPr="00B8267B">
        <w:t>este</w:t>
      </w:r>
      <w:r w:rsidRPr="00B8267B">
        <w:rPr>
          <w:spacing w:val="-2"/>
        </w:rPr>
        <w:t xml:space="preserve"> </w:t>
      </w:r>
      <w:r w:rsidRPr="00B8267B">
        <w:t>Consejo</w:t>
      </w:r>
      <w:r w:rsidRPr="00B8267B">
        <w:rPr>
          <w:spacing w:val="-1"/>
        </w:rPr>
        <w:t xml:space="preserve"> </w:t>
      </w:r>
      <w:r w:rsidRPr="00B8267B">
        <w:t>Estatal.</w:t>
      </w:r>
    </w:p>
    <w:p w:rsidR="00B8267B" w:rsidRDefault="00B8267B" w:rsidP="004024C5"/>
    <w:p w:rsidR="00B8267B" w:rsidRPr="00B8267B" w:rsidRDefault="00B8267B" w:rsidP="004024C5"/>
    <w:p w:rsidR="00416D1A" w:rsidRPr="00B8267B" w:rsidRDefault="00416D1A" w:rsidP="00416D1A">
      <w:pPr>
        <w:pStyle w:val="Ttulo2"/>
        <w:rPr>
          <w:rFonts w:ascii="Arial" w:hAnsi="Arial" w:cs="Arial"/>
          <w:sz w:val="23"/>
        </w:rPr>
      </w:pPr>
      <w:r w:rsidRPr="00B8267B">
        <w:rPr>
          <w:rFonts w:ascii="Arial" w:hAnsi="Arial" w:cs="Arial"/>
          <w:sz w:val="23"/>
        </w:rPr>
        <w:lastRenderedPageBreak/>
        <w:t>Jornada electoral</w:t>
      </w:r>
    </w:p>
    <w:p w:rsidR="00416D1A" w:rsidRDefault="00416D1A" w:rsidP="00416D1A">
      <w:r w:rsidRPr="00B8267B">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416D1A" w:rsidRPr="00B8267B" w:rsidRDefault="00416D1A" w:rsidP="002461C0">
      <w:pPr>
        <w:pStyle w:val="Ttulo1"/>
        <w:rPr>
          <w:sz w:val="24"/>
          <w:szCs w:val="24"/>
        </w:rPr>
      </w:pPr>
      <w:r w:rsidRPr="00B8267B">
        <w:rPr>
          <w:sz w:val="24"/>
          <w:szCs w:val="24"/>
        </w:rPr>
        <w:t>Considerando</w:t>
      </w:r>
    </w:p>
    <w:p w:rsidR="00416D1A" w:rsidRPr="00B8267B" w:rsidRDefault="00416D1A" w:rsidP="00416D1A">
      <w:pPr>
        <w:pStyle w:val="Ttulo2"/>
        <w:rPr>
          <w:rFonts w:ascii="Arial" w:hAnsi="Arial" w:cs="Arial"/>
          <w:sz w:val="23"/>
        </w:rPr>
      </w:pPr>
      <w:r w:rsidRPr="00B8267B">
        <w:rPr>
          <w:rFonts w:ascii="Arial" w:hAnsi="Arial" w:cs="Arial"/>
          <w:sz w:val="23"/>
        </w:rPr>
        <w:t xml:space="preserve">Fines del Instituto </w:t>
      </w:r>
    </w:p>
    <w:p w:rsidR="00416D1A" w:rsidRPr="00B8267B" w:rsidRDefault="00416D1A" w:rsidP="00416D1A">
      <w:r w:rsidRPr="00B8267B">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416D1A" w:rsidRDefault="00416D1A" w:rsidP="00416D1A">
      <w:r w:rsidRPr="00B8267B">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761429" w:rsidRDefault="00761429" w:rsidP="00416D1A"/>
    <w:p w:rsidR="00761429" w:rsidRDefault="00761429" w:rsidP="00416D1A"/>
    <w:p w:rsidR="00416D1A" w:rsidRPr="00B8267B" w:rsidRDefault="00416D1A" w:rsidP="00416D1A">
      <w:pPr>
        <w:pStyle w:val="Ttulo2"/>
        <w:rPr>
          <w:rFonts w:ascii="Arial" w:hAnsi="Arial" w:cs="Arial"/>
          <w:sz w:val="23"/>
        </w:rPr>
      </w:pPr>
      <w:r w:rsidRPr="00B8267B">
        <w:rPr>
          <w:rFonts w:ascii="Arial" w:hAnsi="Arial" w:cs="Arial"/>
          <w:sz w:val="23"/>
        </w:rPr>
        <w:lastRenderedPageBreak/>
        <w:t xml:space="preserve">Órgano Superior de Dirección del Instituto </w:t>
      </w:r>
    </w:p>
    <w:p w:rsidR="00416D1A" w:rsidRPr="00B8267B" w:rsidRDefault="00416D1A" w:rsidP="00416D1A">
      <w:r w:rsidRPr="00B8267B">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416D1A" w:rsidRPr="00B8267B" w:rsidRDefault="00416D1A" w:rsidP="00416D1A">
      <w:pPr>
        <w:pStyle w:val="Ttulo2"/>
        <w:rPr>
          <w:rFonts w:ascii="Arial" w:hAnsi="Arial" w:cs="Arial"/>
          <w:sz w:val="23"/>
        </w:rPr>
      </w:pPr>
      <w:r w:rsidRPr="00B8267B">
        <w:rPr>
          <w:rFonts w:ascii="Arial" w:hAnsi="Arial" w:cs="Arial"/>
          <w:sz w:val="23"/>
        </w:rPr>
        <w:t>Integración del Órgano de Dirección Superior</w:t>
      </w:r>
    </w:p>
    <w:p w:rsidR="00416D1A" w:rsidRPr="00B8267B" w:rsidRDefault="00416D1A" w:rsidP="00416D1A">
      <w:r w:rsidRPr="00B8267B">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416D1A" w:rsidRPr="00B8267B" w:rsidRDefault="00416D1A" w:rsidP="00416D1A">
      <w:pPr>
        <w:pStyle w:val="Ttulo2"/>
        <w:rPr>
          <w:rFonts w:ascii="Arial" w:hAnsi="Arial" w:cs="Arial"/>
          <w:sz w:val="23"/>
        </w:rPr>
      </w:pPr>
      <w:r w:rsidRPr="00B8267B">
        <w:rPr>
          <w:rFonts w:ascii="Arial" w:hAnsi="Arial" w:cs="Arial"/>
          <w:sz w:val="23"/>
        </w:rPr>
        <w:t>Comisiones permanentes y temporales</w:t>
      </w:r>
    </w:p>
    <w:p w:rsidR="00416D1A" w:rsidRPr="00B8267B" w:rsidRDefault="00416D1A" w:rsidP="00416D1A">
      <w:r w:rsidRPr="00B8267B">
        <w:t>Que, el artículo 113, numeral 1 de la Ley Electoral, establece que el Consejo Estatal constituirá las comisiones: permanentes de Vinculación con el INE; de Organización Electoral y Educación Cívica; de Denuncias y Quejas; y de Igualdad de Género y no Discriminación; así como las comisiones temporales que considere pertinentes para el desempeño de sus atribuciones, las que serán presididas por una Consejera o un Consejero Electoral, salvo la de Vinculación con el INE, cuya titularidad corresponde a la Presidencia del Consejo Estatal.</w:t>
      </w:r>
    </w:p>
    <w:p w:rsidR="00416D1A" w:rsidRPr="00B8267B" w:rsidRDefault="00416D1A" w:rsidP="00416D1A">
      <w:r w:rsidRPr="00B8267B">
        <w:t>Además, en términos del numeral 2 del artículo en cita, las comisiones se integrarán con un máximo de tres consejeras y consejeros electorales bajo el principio de paridad de género; podrán participar en ellas, con voz, pero sin voto, las consejeras y los consejeros representantes de los partidos políticos.</w:t>
      </w:r>
    </w:p>
    <w:p w:rsidR="00416D1A" w:rsidRPr="00B8267B" w:rsidRDefault="00416D1A" w:rsidP="00416D1A">
      <w:pPr>
        <w:pStyle w:val="Ttulo2"/>
        <w:rPr>
          <w:rFonts w:ascii="Arial" w:hAnsi="Arial" w:cs="Arial"/>
          <w:sz w:val="23"/>
        </w:rPr>
      </w:pPr>
      <w:r w:rsidRPr="00B8267B">
        <w:rPr>
          <w:rFonts w:ascii="Arial" w:hAnsi="Arial" w:cs="Arial"/>
          <w:sz w:val="23"/>
        </w:rPr>
        <w:t>Facultad del INE para regular la documentación y material electorales</w:t>
      </w:r>
    </w:p>
    <w:p w:rsidR="00416D1A" w:rsidRPr="00B8267B" w:rsidRDefault="00416D1A" w:rsidP="00416D1A">
      <w:r w:rsidRPr="00B8267B">
        <w:t xml:space="preserve">Que, conforme a los artículos 41 Base V, apartado B, inciso a), numeral 5 de la Constitución Federal y 32 numeral 1, inciso a), fracción V de la Ley General, para los procesos electorales federales y locales, entre otras, el INE tendrá las atribuciones </w:t>
      </w:r>
      <w:r w:rsidRPr="00B8267B">
        <w:lastRenderedPageBreak/>
        <w:t>relativas a establecer reglas, lineamientos, criterios y formatos en materia de impresión de documentos y producción de materiales electorales.</w:t>
      </w:r>
    </w:p>
    <w:p w:rsidR="00416D1A" w:rsidRPr="00B8267B" w:rsidRDefault="00416D1A" w:rsidP="00416D1A">
      <w:pPr>
        <w:pStyle w:val="Ttulo2"/>
        <w:rPr>
          <w:rFonts w:ascii="Arial" w:hAnsi="Arial" w:cs="Arial"/>
          <w:sz w:val="23"/>
        </w:rPr>
      </w:pPr>
      <w:r w:rsidRPr="00B8267B">
        <w:rPr>
          <w:rFonts w:ascii="Arial" w:hAnsi="Arial" w:cs="Arial"/>
          <w:sz w:val="23"/>
        </w:rPr>
        <w:t>Competencia del Consejo Estatal</w:t>
      </w:r>
    </w:p>
    <w:p w:rsidR="0016014E" w:rsidRPr="00B8267B" w:rsidRDefault="0016014E" w:rsidP="0016014E">
      <w:r w:rsidRPr="00B8267B">
        <w:t>Que, de acuerdo con el artículo 104 numeral 1, incisos a) y g) de la Ley General, corresponde a los organismos electorales aplicar las disposiciones generales, reglas, lineamientos, formatos y criterios que establezca el INE, así como imprimir los documentos y producir los materiales electorales, en términos de los Lineamientos que al efecto emita el propio INE.</w:t>
      </w:r>
    </w:p>
    <w:p w:rsidR="0016014E" w:rsidRPr="00B8267B" w:rsidRDefault="0016014E" w:rsidP="0016014E">
      <w:r w:rsidRPr="00B8267B">
        <w:t>En ese contexto, de conformidad con el artículo 115, numeral 1, fracciones I, XV y XVI de la Ley Electoral, el Consejo Estatal es competente para aplicar las disposiciones generales, reglas, lineamientos, criterios y formatos que, en ejercicio de las facultades que le confieren la Constitución Federal y la Ley General, establezca el INE; asimismo para llevar a cabo las actividades necesarias para la preparación de la jornada electoral y proceder a la impresión de los documentos y la producción de los materiales electorales, en términos de los lineamientos que al efecto emita el INE.</w:t>
      </w:r>
    </w:p>
    <w:p w:rsidR="0016014E" w:rsidRPr="00B8267B" w:rsidRDefault="0016014E" w:rsidP="0016014E">
      <w:pPr>
        <w:rPr>
          <w:b/>
        </w:rPr>
      </w:pPr>
      <w:r w:rsidRPr="00B8267B">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416D1A" w:rsidRPr="00B8267B" w:rsidRDefault="00416D1A" w:rsidP="0016014E">
      <w:pPr>
        <w:pStyle w:val="Ttulo2"/>
        <w:rPr>
          <w:rFonts w:ascii="Arial" w:hAnsi="Arial" w:cs="Arial"/>
          <w:sz w:val="23"/>
        </w:rPr>
      </w:pPr>
      <w:r w:rsidRPr="00B8267B">
        <w:rPr>
          <w:rFonts w:ascii="Arial" w:hAnsi="Arial" w:cs="Arial"/>
          <w:sz w:val="23"/>
        </w:rPr>
        <w:t xml:space="preserve">Órganos Distritales del Instituto </w:t>
      </w:r>
    </w:p>
    <w:p w:rsidR="00416D1A" w:rsidRPr="00B8267B" w:rsidRDefault="00416D1A" w:rsidP="00416D1A">
      <w:r w:rsidRPr="00B8267B">
        <w:t>Que, el artículo 123 de la Ley Electoral dispone que, en cada una de las cabeceras distritales del Estado, el Instituto Estatal contará con un órgano electoral integrado por la Junta Electoral Distrital; la Vocalía Ejecutiva Distrital y el Consejo Electoral Distrital.</w:t>
      </w:r>
    </w:p>
    <w:p w:rsidR="0016014E" w:rsidRPr="00B8267B" w:rsidRDefault="0016014E" w:rsidP="0016014E">
      <w:pPr>
        <w:pStyle w:val="Ttulo2"/>
        <w:rPr>
          <w:rFonts w:ascii="Arial" w:hAnsi="Arial" w:cs="Arial"/>
          <w:sz w:val="23"/>
        </w:rPr>
      </w:pPr>
      <w:r w:rsidRPr="00B8267B">
        <w:rPr>
          <w:rFonts w:ascii="Arial" w:hAnsi="Arial" w:cs="Arial"/>
          <w:sz w:val="23"/>
        </w:rPr>
        <w:t>Regulación de la documentación electoral</w:t>
      </w:r>
    </w:p>
    <w:p w:rsidR="0016014E" w:rsidRPr="00B8267B" w:rsidRDefault="0016014E" w:rsidP="0016014E">
      <w:r w:rsidRPr="00B8267B">
        <w:t xml:space="preserve">Que, los numerales 1 y 2 del artículo 149 del Reglamento de Elecciones refieren que, a través de dicho ordenamiento se establecen las directrices generales para llevar a </w:t>
      </w:r>
      <w:r w:rsidRPr="00B8267B">
        <w:lastRenderedPageBreak/>
        <w:t>cabo el diseño, impresión, producción, almacenamiento, supervisión, distribución y destrucción de los documentos y materiales electorales utilizados en los procesos electorales federales y locales, tanto ordinarios como extraordinarios, así como para el voto de los ciudadanos residentes en el extranjero, siendo de observancia general para el INE y los organismos electorales, en el ámbito de sus respectivas competencias.</w:t>
      </w:r>
    </w:p>
    <w:p w:rsidR="0016014E" w:rsidRPr="00B8267B" w:rsidRDefault="0016014E" w:rsidP="0016014E">
      <w:r w:rsidRPr="00B8267B">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rsidR="0016014E" w:rsidRPr="00B8267B" w:rsidRDefault="0016014E" w:rsidP="0016014E">
      <w:r w:rsidRPr="00B8267B">
        <w:t>Por su parte, los artículos 153 del referido Reglamento establece que los materiales electorales para los procesos electorales federales y locales deberán contener la información particular señalada en el apartado de especificaciones técnicas del Anexo 4.1.</w:t>
      </w:r>
    </w:p>
    <w:p w:rsidR="0016014E" w:rsidRPr="00B8267B" w:rsidRDefault="0016014E" w:rsidP="0016014E">
      <w:r w:rsidRPr="00B8267B">
        <w:t>El artículo 168 numeral 1, de este Reglamento, establece que la Presidencia de cada Consejo Distrital del organismo electoral, será responsable de las bodegas, así como de todas las operaciones y procedimientos de apertura y cierre, mismos que se registrarán en una bitácora.</w:t>
      </w:r>
    </w:p>
    <w:p w:rsidR="0016014E" w:rsidRPr="00B8267B" w:rsidRDefault="0016014E" w:rsidP="0016014E">
      <w:r w:rsidRPr="00B8267B">
        <w:t xml:space="preserve">El artículo 170, numeral 1, del citado Reglamento establece que, para efecto de la distribución de los materiales electorales, se debe diseñar una estrategia, considerando factores de tiempo, distancia, recursos humanos y recursos materiales. </w:t>
      </w:r>
    </w:p>
    <w:p w:rsidR="0016014E" w:rsidRPr="00B8267B" w:rsidRDefault="0016014E" w:rsidP="0016014E">
      <w:r w:rsidRPr="00B8267B">
        <w:t>Además, en el numeral 2, se señala que los materiales electorales pueden ser distribuidos directamente por los proveedores, o bien, por el OPL, según corresponda, a través de las áreas facultadas para tal efecto.</w:t>
      </w:r>
    </w:p>
    <w:p w:rsidR="0016014E" w:rsidRPr="00B8267B" w:rsidRDefault="0016014E" w:rsidP="0016014E">
      <w:r w:rsidRPr="00B8267B">
        <w:t>En cualquiera de los casos, se instrumentarán programas de distribución que deberán contar, cada uno, al menos con las características siguientes:</w:t>
      </w:r>
    </w:p>
    <w:p w:rsidR="0016014E" w:rsidRPr="00B8267B" w:rsidRDefault="0016014E" w:rsidP="0016014E">
      <w:pPr>
        <w:pStyle w:val="Prrafodelista"/>
        <w:numPr>
          <w:ilvl w:val="0"/>
          <w:numId w:val="4"/>
        </w:numPr>
      </w:pPr>
      <w:r w:rsidRPr="00B8267B">
        <w:t>Cantidad, tipo de documentación y materiales electorales a distribuir a cada distrito electoral;</w:t>
      </w:r>
    </w:p>
    <w:p w:rsidR="0016014E" w:rsidRPr="00B8267B" w:rsidRDefault="0016014E" w:rsidP="0016014E">
      <w:pPr>
        <w:pStyle w:val="Prrafodelista"/>
        <w:numPr>
          <w:ilvl w:val="0"/>
          <w:numId w:val="4"/>
        </w:numPr>
      </w:pPr>
      <w:r w:rsidRPr="00B8267B">
        <w:t xml:space="preserve">Peso y volumen de los materiales electorales a distribuir; </w:t>
      </w:r>
    </w:p>
    <w:p w:rsidR="0016014E" w:rsidRPr="00B8267B" w:rsidRDefault="0016014E" w:rsidP="0016014E">
      <w:pPr>
        <w:pStyle w:val="Prrafodelista"/>
        <w:numPr>
          <w:ilvl w:val="0"/>
          <w:numId w:val="4"/>
        </w:numPr>
      </w:pPr>
      <w:r w:rsidRPr="00B8267B">
        <w:t>Tipos de vehículos que realizarán la distribución;</w:t>
      </w:r>
    </w:p>
    <w:p w:rsidR="0016014E" w:rsidRPr="00B8267B" w:rsidRDefault="0016014E" w:rsidP="0016014E">
      <w:pPr>
        <w:pStyle w:val="Prrafodelista"/>
        <w:numPr>
          <w:ilvl w:val="0"/>
          <w:numId w:val="4"/>
        </w:numPr>
      </w:pPr>
      <w:r w:rsidRPr="00B8267B">
        <w:t>Lugar, fecha y hora de carga de los vehículos;</w:t>
      </w:r>
    </w:p>
    <w:p w:rsidR="0016014E" w:rsidRPr="00B8267B" w:rsidRDefault="0016014E" w:rsidP="0016014E">
      <w:pPr>
        <w:pStyle w:val="Prrafodelista"/>
        <w:numPr>
          <w:ilvl w:val="0"/>
          <w:numId w:val="4"/>
        </w:numPr>
      </w:pPr>
      <w:r w:rsidRPr="00B8267B">
        <w:t>Fecha y hora estimada de llegada de los vehículos a cada distrito, y;</w:t>
      </w:r>
    </w:p>
    <w:p w:rsidR="0016014E" w:rsidRPr="00B8267B" w:rsidRDefault="0016014E" w:rsidP="0016014E">
      <w:pPr>
        <w:pStyle w:val="Prrafodelista"/>
        <w:numPr>
          <w:ilvl w:val="0"/>
          <w:numId w:val="4"/>
        </w:numPr>
      </w:pPr>
      <w:r w:rsidRPr="00B8267B">
        <w:t>Seguimiento del itinerario de los vehículos y recepción en los distritos.</w:t>
      </w:r>
    </w:p>
    <w:p w:rsidR="0016014E" w:rsidRPr="00B8267B" w:rsidRDefault="0016014E" w:rsidP="0016014E">
      <w:pPr>
        <w:pStyle w:val="Ttulo2"/>
        <w:rPr>
          <w:rFonts w:ascii="Arial" w:hAnsi="Arial" w:cs="Arial"/>
          <w:sz w:val="23"/>
        </w:rPr>
      </w:pPr>
      <w:r w:rsidRPr="00B8267B">
        <w:rPr>
          <w:rFonts w:ascii="Arial" w:hAnsi="Arial" w:cs="Arial"/>
          <w:sz w:val="23"/>
        </w:rPr>
        <w:lastRenderedPageBreak/>
        <w:t>Boletas electorales</w:t>
      </w:r>
    </w:p>
    <w:p w:rsidR="0016014E" w:rsidRPr="00B8267B" w:rsidRDefault="0016014E" w:rsidP="0016014E">
      <w:r w:rsidRPr="00B8267B">
        <w:t>Que, el artículo 150 numeral 1, inciso a) del Reglamento de Elecciones establece que, entre la documentación electoral con emblemas de partidos políticos y candidaturas independientes que se requiere para la realización de las elecciones, se ubican las boletas electorales por cada tipo de elección, cuyas especificaciones técnicas están contenidas en el anexo 4.1 del citado ordenamiento.</w:t>
      </w:r>
    </w:p>
    <w:p w:rsidR="0016014E" w:rsidRPr="00B8267B" w:rsidRDefault="0016014E" w:rsidP="0016014E">
      <w:r w:rsidRPr="00B8267B">
        <w:t>Al respecto, el artículo 171, numeral 2, de la Ley Electoral dispone que la salvaguarda y cuidado de las boletas electorales son considerados como un asunto de seguridad nacional.</w:t>
      </w:r>
    </w:p>
    <w:p w:rsidR="0016014E" w:rsidRPr="00B8267B" w:rsidRDefault="0016014E" w:rsidP="0016014E">
      <w:pPr>
        <w:pStyle w:val="Ttulo2"/>
        <w:rPr>
          <w:rFonts w:ascii="Arial" w:hAnsi="Arial" w:cs="Arial"/>
          <w:sz w:val="23"/>
        </w:rPr>
      </w:pPr>
      <w:r w:rsidRPr="00B8267B">
        <w:rPr>
          <w:rFonts w:ascii="Arial" w:hAnsi="Arial" w:cs="Arial"/>
          <w:sz w:val="23"/>
        </w:rPr>
        <w:t>Impresión de las boletas electorales</w:t>
      </w:r>
    </w:p>
    <w:p w:rsidR="00416D1A" w:rsidRPr="00B8267B" w:rsidRDefault="0016014E" w:rsidP="0016014E">
      <w:r w:rsidRPr="00B8267B">
        <w:t>Que, el artículo 217 numeral 1 de la Ley Electoral dispone que no habrá modificación a las boletas en caso de cancelación del registro, o sustitución de uno o más candidaturas, si éstas ya estuvieran impresas, y que, en todo caso, los votos contarán para los partidos políticos, las coaliciones y las candidaturas que estuviesen legalmente registrados ante los Consejos Estatal o Distritales correspondientes.</w:t>
      </w:r>
    </w:p>
    <w:p w:rsidR="0016014E" w:rsidRPr="00B8267B" w:rsidRDefault="0016014E" w:rsidP="0016014E">
      <w:pPr>
        <w:pStyle w:val="Ttulo2"/>
        <w:rPr>
          <w:rFonts w:ascii="Arial" w:hAnsi="Arial" w:cs="Arial"/>
          <w:sz w:val="23"/>
        </w:rPr>
      </w:pPr>
      <w:r w:rsidRPr="00B8267B">
        <w:rPr>
          <w:rFonts w:ascii="Arial" w:hAnsi="Arial" w:cs="Arial"/>
          <w:sz w:val="23"/>
        </w:rPr>
        <w:t>Propuesta de procedimiento</w:t>
      </w:r>
    </w:p>
    <w:p w:rsidR="0016014E" w:rsidRPr="00B8267B" w:rsidRDefault="0016014E" w:rsidP="0016014E">
      <w:r w:rsidRPr="00B8267B">
        <w:t>Que, conforme a las consideraciones señaladas, el 24 de abril de la presente anualidad, la Comisión celebró reunión de trabajo con sus integrantes, en la cual, se realizaron observaciones relacionadas con el procedimiento propuesto, las cuales fueron atendidas puntualmente.</w:t>
      </w:r>
    </w:p>
    <w:p w:rsidR="0016014E" w:rsidRPr="00B8267B" w:rsidRDefault="0016014E" w:rsidP="0016014E">
      <w:r w:rsidRPr="00B8267B">
        <w:t>A partir de lo anterior, el procedimiento propuesto por la Comisión resulta de gran relevancia para el cumplimiento de los fines del Instituto, toda vez que a través de su aplicación, se garantizará que las boletas, documentación y materiales electorales lleguen a su destino, esto es, a las bodegas electorales que se han dispuesto para tal fin en los 21 Consejos Distritales; de la misma forma, se da cumplimiento al mandato constitucional, puesto que la organización de las elecciones estatal, distritales y municipales es una función pública del Estado que corresponde al Instituto.</w:t>
      </w:r>
    </w:p>
    <w:p w:rsidR="0016014E" w:rsidRPr="00B8267B" w:rsidRDefault="0016014E" w:rsidP="0016014E">
      <w:r w:rsidRPr="00B8267B">
        <w:t xml:space="preserve">Es de tomarse en consideración todo el cúmulo de actividades inherentes y concatenadas que se deben instrumentar con puntualidad, orden y certeza, en la etapa </w:t>
      </w:r>
      <w:r w:rsidRPr="00B8267B">
        <w:lastRenderedPageBreak/>
        <w:t>de preparación de la elección para la celebración de los comicios en el día estipulado para ello, pues se requiere efectuar una distribución precisa de los plazos, actos y procedimientos, a fin de ejecutar correctamente cada una de las distintas fases electorales, las cuales deben de cumplirse en sus tiempos, bajo la premisa de garantizar a la ciudadanía la certeza y seguridad jurídica de que en los tiempos específicamente previstos por la Ley Electoral, se podrá ejercer el derecho al sufragio, en caso contrario, el más mínimo atraso podría afectar el derecho de los ciudadanos de renovar periódicamente a sus autoridades, a través del ejercicio soberano de expresar su voluntad de elegir a sus representantes a través del voto universal, libre, secreto, directo, personal e intransferible.</w:t>
      </w:r>
    </w:p>
    <w:p w:rsidR="0016014E" w:rsidRPr="00B8267B" w:rsidRDefault="0016014E" w:rsidP="0016014E">
      <w:r w:rsidRPr="00B8267B">
        <w:t>Por lo tanto, la propuesta de este procedimiento va en función de cumplir con la normatividad correspondiente, garantizando la entrega de las boletas electorales y el resto de la documentación y materiales electorales dentro de los plazos previstos por la legislación en la materia.</w:t>
      </w:r>
    </w:p>
    <w:p w:rsidR="0016014E" w:rsidRPr="00B8267B" w:rsidRDefault="0016014E" w:rsidP="0016014E">
      <w:r w:rsidRPr="00B8267B">
        <w:t>Para cumplir con estos plazos legales se requiere del diseño de una estrategia de distribución de la documentación y materiales electorales, considerando factores de tiempo, distancia, recursos humanos y recursos materiales. Para la distribución de las boletas electorales y la documentación con emblemas de partidos políticos, se deberá considerar que los vehículos serán custodiados por fuerzas de seguridad federal, estatal o municipal, desde su salida desde las instalaciones de Talleres Gráficos de México, hasta su destino en los 21 Consejos Distritales.</w:t>
      </w:r>
    </w:p>
    <w:p w:rsidR="0016014E" w:rsidRPr="00B8267B" w:rsidRDefault="0016014E" w:rsidP="0016014E">
      <w:r w:rsidRPr="00B8267B">
        <w:t>Por lo anterior, se debe implementar una estrategia, mediante la coordinación con instituciones de seguridad en los ámbitos federal, local y/o municipal, en la que se definan las etapas, periodos de inicio y conclusión, requerimientos, responsables, vías de comunicación, directorios del personal responsable por ambas partes, rutas de distribución de la documentación, las consignas de la custodia y demás elementos que sean pertinentes, debiendo existir comunicación y retroalimentación durante la instrumentación y seguimiento de la custodia con la autoridad designada, para atender cualquier incidente que se pudiera presentar.</w:t>
      </w:r>
    </w:p>
    <w:p w:rsidR="0016014E" w:rsidRDefault="0016014E" w:rsidP="0016014E">
      <w:r w:rsidRPr="00B8267B">
        <w:t>Sobre la base de las consideraciones señaladas, este Consejo Estatal emite el siguiente:</w:t>
      </w:r>
    </w:p>
    <w:p w:rsidR="00B8267B" w:rsidRPr="00B8267B" w:rsidRDefault="00B8267B" w:rsidP="0016014E"/>
    <w:p w:rsidR="0016014E" w:rsidRPr="00B8267B" w:rsidRDefault="0016014E" w:rsidP="002461C0">
      <w:pPr>
        <w:pStyle w:val="Ttulo1"/>
        <w:rPr>
          <w:sz w:val="24"/>
          <w:szCs w:val="24"/>
        </w:rPr>
      </w:pPr>
      <w:r w:rsidRPr="00B8267B">
        <w:rPr>
          <w:sz w:val="24"/>
          <w:szCs w:val="24"/>
        </w:rPr>
        <w:lastRenderedPageBreak/>
        <w:t>Acuerdo</w:t>
      </w:r>
    </w:p>
    <w:p w:rsidR="0016014E" w:rsidRPr="00B8267B" w:rsidRDefault="0016014E" w:rsidP="0016014E">
      <w:r w:rsidRPr="00B8267B">
        <w:rPr>
          <w:b/>
        </w:rPr>
        <w:t>Primero.</w:t>
      </w:r>
      <w:r w:rsidRPr="00B8267B">
        <w:t xml:space="preserve"> Se aprueba el procedimiento de recepción, embarque, traslado, distribución y custodia de la documentación y material electoral a los 21 </w:t>
      </w:r>
      <w:r w:rsidR="005C01EE" w:rsidRPr="00B8267B">
        <w:t xml:space="preserve">Consejos Electorales Distritales </w:t>
      </w:r>
      <w:r w:rsidRPr="00B8267B">
        <w:t>a utilizarse en el Proceso Electoral Local Ordinario 2023 – 2024, propuesto por la Comisión Permanente de Organización Electoral y Educación Cívica, anexo al presente acuerdo.</w:t>
      </w:r>
    </w:p>
    <w:p w:rsidR="0016014E" w:rsidRPr="00B8267B" w:rsidRDefault="0016014E" w:rsidP="0016014E">
      <w:r w:rsidRPr="00B8267B">
        <w:rPr>
          <w:b/>
        </w:rPr>
        <w:t>Segundo.</w:t>
      </w:r>
      <w:r w:rsidRPr="00B8267B">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rsidR="0016014E" w:rsidRPr="00B8267B" w:rsidRDefault="0016014E" w:rsidP="0016014E">
      <w:r w:rsidRPr="00B8267B">
        <w:rPr>
          <w:b/>
        </w:rPr>
        <w:t>Tercero.</w:t>
      </w:r>
      <w:r w:rsidRPr="00B8267B">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16014E" w:rsidRPr="00B8267B" w:rsidRDefault="0016014E" w:rsidP="0016014E">
      <w:r w:rsidRPr="00B8267B">
        <w:t xml:space="preserve">El presente acuerdo fue </w:t>
      </w:r>
      <w:r w:rsidR="00B8267B">
        <w:t xml:space="preserve">aprobado </w:t>
      </w:r>
      <w:r w:rsidRPr="00B8267B">
        <w:t>en sesión</w:t>
      </w:r>
      <w:r w:rsidR="00B8267B">
        <w:t xml:space="preserve"> ordinaria</w:t>
      </w:r>
      <w:r w:rsidRPr="00B8267B">
        <w:t xml:space="preserve"> efectuada el</w:t>
      </w:r>
      <w:r w:rsidR="00B8267B">
        <w:t xml:space="preserve"> veintinueve</w:t>
      </w:r>
      <w:r w:rsidRPr="00B8267B">
        <w:t xml:space="preserve"> de </w:t>
      </w:r>
      <w:r w:rsidR="00B8267B">
        <w:t>abril</w:t>
      </w:r>
      <w:r w:rsidRPr="00B8267B">
        <w:t xml:space="preserve"> del año dos</w:t>
      </w:r>
      <w:r w:rsidR="00B8267B">
        <w:t xml:space="preserve"> mil veinticuatro, por </w:t>
      </w:r>
      <w:r w:rsidR="00662859">
        <w:t>mayoría de</w:t>
      </w:r>
      <w:r w:rsidRPr="00B8267B">
        <w:t xml:space="preserve"> </w:t>
      </w:r>
      <w:r w:rsidR="00662859">
        <w:t>vot</w:t>
      </w:r>
      <w:r w:rsidR="00662859">
        <w:t>os</w:t>
      </w:r>
      <w:r w:rsidR="00662859" w:rsidRPr="00B8267B">
        <w:t xml:space="preserve"> </w:t>
      </w:r>
      <w:r w:rsidRPr="00B8267B">
        <w:t xml:space="preserve">de las y los Consejeros Electorales del Consejo Estatal del Instituto Electoral y de Participación Ciudadana de Tabasco: Dra. </w:t>
      </w:r>
      <w:proofErr w:type="spellStart"/>
      <w:r w:rsidRPr="00B8267B">
        <w:t>Rosselvy</w:t>
      </w:r>
      <w:proofErr w:type="spellEnd"/>
      <w:r w:rsidRPr="00B8267B">
        <w:t xml:space="preserve"> del Carmen Domínguez Arévalo, Licda. María Elvia Magaña Sandoval, Mtro. Juan Correa López, M.D. Víctor Humberto Mejía Nara</w:t>
      </w:r>
      <w:r w:rsidR="00B8267B">
        <w:t xml:space="preserve">njo, Lic. Hernán González Sala, </w:t>
      </w:r>
      <w:r w:rsidRPr="00B8267B">
        <w:t>la Consejera Presidenta, Mtra. Elizabeth Nava Gutiérrez</w:t>
      </w:r>
      <w:r w:rsidR="00B8267B">
        <w:t xml:space="preserve">, </w:t>
      </w:r>
      <w:r w:rsidR="00662859">
        <w:t xml:space="preserve">con </w:t>
      </w:r>
      <w:r w:rsidR="00B8267B">
        <w:t xml:space="preserve">el voto en </w:t>
      </w:r>
      <w:r w:rsidR="00B8267B">
        <w:t>contra</w:t>
      </w:r>
      <w:r w:rsidR="00B8267B">
        <w:t xml:space="preserve"> y particular del Consejero Electoral </w:t>
      </w:r>
      <w:r w:rsidR="00B8267B" w:rsidRPr="00B8267B">
        <w:t>Lic. Vladimir Hernández Venegas</w:t>
      </w:r>
      <w:r w:rsidRPr="00B8267B">
        <w:t>.</w:t>
      </w:r>
      <w:bookmarkStart w:id="0" w:name="_GoBack"/>
      <w:bookmarkEnd w:id="0"/>
    </w:p>
    <w:p w:rsidR="0016014E" w:rsidRPr="00B8267B" w:rsidRDefault="0016014E" w:rsidP="0016014E"/>
    <w:p w:rsidR="0016014E" w:rsidRPr="00B8267B" w:rsidRDefault="0016014E" w:rsidP="0016014E"/>
    <w:p w:rsidR="0016014E" w:rsidRPr="00B8267B" w:rsidRDefault="0016014E" w:rsidP="0016014E"/>
    <w:tbl>
      <w:tblPr>
        <w:tblStyle w:val="Tablaconcuadrcula"/>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262"/>
        <w:gridCol w:w="4680"/>
      </w:tblGrid>
      <w:tr w:rsidR="0016014E" w:rsidRPr="00B8267B" w:rsidTr="00B8267B">
        <w:trPr>
          <w:trHeight w:val="1356"/>
        </w:trPr>
        <w:tc>
          <w:tcPr>
            <w:tcW w:w="4890" w:type="dxa"/>
          </w:tcPr>
          <w:p w:rsidR="0016014E" w:rsidRPr="00B8267B" w:rsidRDefault="0016014E" w:rsidP="0016014E">
            <w:pPr>
              <w:spacing w:before="0" w:after="0"/>
              <w:jc w:val="center"/>
              <w:rPr>
                <w:b/>
              </w:rPr>
            </w:pPr>
            <w:r w:rsidRPr="00B8267B">
              <w:rPr>
                <w:b/>
              </w:rPr>
              <w:t>MTRA. ELIZABETH NAVA GUTIÉRREZ</w:t>
            </w:r>
          </w:p>
          <w:p w:rsidR="0016014E" w:rsidRPr="00B8267B" w:rsidRDefault="0016014E" w:rsidP="0016014E">
            <w:pPr>
              <w:spacing w:before="0" w:after="0"/>
              <w:jc w:val="center"/>
              <w:rPr>
                <w:b/>
              </w:rPr>
            </w:pPr>
            <w:r w:rsidRPr="00B8267B">
              <w:rPr>
                <w:b/>
              </w:rPr>
              <w:t>CONSEJERA PRESIDENTA</w:t>
            </w:r>
          </w:p>
        </w:tc>
        <w:tc>
          <w:tcPr>
            <w:tcW w:w="262" w:type="dxa"/>
          </w:tcPr>
          <w:p w:rsidR="0016014E" w:rsidRPr="00B8267B" w:rsidRDefault="0016014E" w:rsidP="0016014E">
            <w:pPr>
              <w:spacing w:before="0" w:after="0"/>
              <w:rPr>
                <w:b/>
              </w:rPr>
            </w:pPr>
          </w:p>
        </w:tc>
        <w:tc>
          <w:tcPr>
            <w:tcW w:w="4680" w:type="dxa"/>
          </w:tcPr>
          <w:p w:rsidR="0016014E" w:rsidRPr="00B8267B" w:rsidRDefault="0016014E" w:rsidP="0016014E">
            <w:pPr>
              <w:spacing w:before="0" w:after="0"/>
              <w:jc w:val="center"/>
              <w:rPr>
                <w:b/>
                <w:spacing w:val="-10"/>
              </w:rPr>
            </w:pPr>
            <w:r w:rsidRPr="00B8267B">
              <w:rPr>
                <w:b/>
                <w:spacing w:val="-10"/>
              </w:rPr>
              <w:t>LIC. JORGE ALBERTO ZAVALA FRÍAS</w:t>
            </w:r>
          </w:p>
          <w:p w:rsidR="0016014E" w:rsidRPr="00B8267B" w:rsidRDefault="0016014E" w:rsidP="0016014E">
            <w:pPr>
              <w:spacing w:before="0" w:after="0"/>
              <w:jc w:val="center"/>
              <w:rPr>
                <w:b/>
              </w:rPr>
            </w:pPr>
            <w:r w:rsidRPr="00B8267B">
              <w:rPr>
                <w:b/>
              </w:rPr>
              <w:t>SECRETARIO DEL CONSEJO</w:t>
            </w:r>
          </w:p>
        </w:tc>
      </w:tr>
    </w:tbl>
    <w:p w:rsidR="0016014E" w:rsidRPr="00B8267B" w:rsidRDefault="0016014E" w:rsidP="0016014E"/>
    <w:sectPr w:rsidR="0016014E" w:rsidRPr="00B8267B" w:rsidSect="003A1953">
      <w:headerReference w:type="default" r:id="rId7"/>
      <w:footerReference w:type="default" r:id="rId8"/>
      <w:pgSz w:w="12240" w:h="15840" w:code="1"/>
      <w:pgMar w:top="1418" w:right="1701"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EEE" w:rsidRDefault="00E37EEE" w:rsidP="0016014E">
      <w:pPr>
        <w:spacing w:before="0" w:after="0" w:line="240" w:lineRule="auto"/>
      </w:pPr>
      <w:r>
        <w:separator/>
      </w:r>
    </w:p>
  </w:endnote>
  <w:endnote w:type="continuationSeparator" w:id="0">
    <w:p w:rsidR="00E37EEE" w:rsidRDefault="00E37EEE" w:rsidP="001601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528447772"/>
      <w:docPartObj>
        <w:docPartGallery w:val="Page Numbers (Top of Page)"/>
        <w:docPartUnique/>
      </w:docPartObj>
    </w:sdtPr>
    <w:sdtEndPr/>
    <w:sdtContent>
      <w:p w:rsidR="0016014E" w:rsidRPr="0016014E" w:rsidRDefault="0016014E" w:rsidP="0016014E">
        <w:pPr>
          <w:pStyle w:val="Piedepgina"/>
          <w:jc w:val="right"/>
          <w:rPr>
            <w:color w:val="993366"/>
            <w:sz w:val="20"/>
            <w:szCs w:val="20"/>
          </w:rPr>
        </w:pPr>
        <w:r w:rsidRPr="005466EA">
          <w:rPr>
            <w:b/>
            <w:bCs/>
            <w:color w:val="993366"/>
          </w:rPr>
          <w:t xml:space="preserve">Página </w:t>
        </w:r>
        <w:r w:rsidRPr="005466EA">
          <w:rPr>
            <w:b/>
            <w:bCs/>
            <w:color w:val="993366"/>
          </w:rPr>
          <w:fldChar w:fldCharType="begin"/>
        </w:r>
        <w:r w:rsidRPr="005466EA">
          <w:rPr>
            <w:b/>
            <w:bCs/>
            <w:color w:val="993366"/>
          </w:rPr>
          <w:instrText>PAGE</w:instrText>
        </w:r>
        <w:r w:rsidRPr="005466EA">
          <w:rPr>
            <w:b/>
            <w:bCs/>
            <w:color w:val="993366"/>
          </w:rPr>
          <w:fldChar w:fldCharType="separate"/>
        </w:r>
        <w:r w:rsidR="00662859">
          <w:rPr>
            <w:b/>
            <w:bCs/>
            <w:noProof/>
            <w:color w:val="993366"/>
          </w:rPr>
          <w:t>12</w:t>
        </w:r>
        <w:r w:rsidRPr="005466EA">
          <w:rPr>
            <w:b/>
            <w:bCs/>
            <w:color w:val="993366"/>
          </w:rPr>
          <w:fldChar w:fldCharType="end"/>
        </w:r>
        <w:r w:rsidRPr="005466EA">
          <w:rPr>
            <w:b/>
            <w:bCs/>
            <w:color w:val="993366"/>
          </w:rPr>
          <w:t xml:space="preserve"> | </w:t>
        </w:r>
        <w:r w:rsidRPr="005466EA">
          <w:rPr>
            <w:b/>
            <w:bCs/>
            <w:color w:val="993366"/>
          </w:rPr>
          <w:fldChar w:fldCharType="begin"/>
        </w:r>
        <w:r w:rsidRPr="005466EA">
          <w:rPr>
            <w:b/>
            <w:bCs/>
            <w:color w:val="993366"/>
          </w:rPr>
          <w:instrText>NUMPAGES</w:instrText>
        </w:r>
        <w:r w:rsidRPr="005466EA">
          <w:rPr>
            <w:b/>
            <w:bCs/>
            <w:color w:val="993366"/>
          </w:rPr>
          <w:fldChar w:fldCharType="separate"/>
        </w:r>
        <w:r w:rsidR="00662859">
          <w:rPr>
            <w:b/>
            <w:bCs/>
            <w:noProof/>
            <w:color w:val="993366"/>
          </w:rPr>
          <w:t>13</w:t>
        </w:r>
        <w:r w:rsidRPr="005466EA">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EEE" w:rsidRDefault="00E37EEE" w:rsidP="0016014E">
      <w:pPr>
        <w:spacing w:before="0" w:after="0" w:line="240" w:lineRule="auto"/>
      </w:pPr>
      <w:r>
        <w:separator/>
      </w:r>
    </w:p>
  </w:footnote>
  <w:footnote w:type="continuationSeparator" w:id="0">
    <w:p w:rsidR="00E37EEE" w:rsidRDefault="00E37EEE" w:rsidP="0016014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16014E" w:rsidRPr="00063338" w:rsidTr="00413697">
      <w:tc>
        <w:tcPr>
          <w:tcW w:w="1418" w:type="dxa"/>
        </w:tcPr>
        <w:p w:rsidR="0016014E" w:rsidRPr="00063338" w:rsidRDefault="0016014E" w:rsidP="0016014E">
          <w:pPr>
            <w:pStyle w:val="Encabezado"/>
            <w:ind w:left="-170"/>
            <w:jc w:val="left"/>
          </w:pPr>
          <w:r>
            <w:rPr>
              <w:b/>
              <w:noProof/>
              <w:sz w:val="32"/>
              <w:lang w:eastAsia="es-MX"/>
            </w:rPr>
            <w:drawing>
              <wp:inline distT="0" distB="0" distL="0" distR="0" wp14:anchorId="153056C8" wp14:editId="7A7E0301">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16014E" w:rsidRPr="007B01D0" w:rsidRDefault="0016014E" w:rsidP="0016014E">
          <w:pPr>
            <w:pStyle w:val="Encabezado"/>
            <w:spacing w:before="720"/>
            <w:jc w:val="center"/>
            <w:rPr>
              <w:b/>
              <w:bCs/>
              <w:sz w:val="25"/>
              <w:szCs w:val="25"/>
            </w:rPr>
          </w:pPr>
          <w:r w:rsidRPr="007B01D0">
            <w:rPr>
              <w:b/>
              <w:bCs/>
              <w:sz w:val="25"/>
              <w:szCs w:val="25"/>
            </w:rPr>
            <w:t>INSTITUTO ELECTORAL Y DE PARTICIPACIÓN CIUDADANA DE TABASCO</w:t>
          </w:r>
        </w:p>
        <w:p w:rsidR="0016014E" w:rsidRPr="00063338" w:rsidRDefault="0016014E" w:rsidP="0016014E">
          <w:pPr>
            <w:pStyle w:val="Encabezado"/>
            <w:jc w:val="center"/>
          </w:pPr>
          <w:r w:rsidRPr="007B01D0">
            <w:rPr>
              <w:sz w:val="26"/>
              <w:szCs w:val="26"/>
            </w:rPr>
            <w:t>CONSEJO ESTATAL</w:t>
          </w:r>
        </w:p>
      </w:tc>
      <w:tc>
        <w:tcPr>
          <w:tcW w:w="1701" w:type="dxa"/>
        </w:tcPr>
        <w:p w:rsidR="0016014E" w:rsidRPr="00063338" w:rsidRDefault="0016014E" w:rsidP="0016014E">
          <w:pPr>
            <w:pStyle w:val="Encabezado"/>
            <w:spacing w:before="480"/>
          </w:pPr>
          <w:r>
            <w:rPr>
              <w:noProof/>
              <w:lang w:eastAsia="es-MX"/>
            </w:rPr>
            <w:drawing>
              <wp:inline distT="0" distB="0" distL="0" distR="0" wp14:anchorId="4F464116" wp14:editId="553BCF6B">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16014E" w:rsidRDefault="00B8267B" w:rsidP="00B8267B">
    <w:pPr>
      <w:pStyle w:val="Encabezado"/>
      <w:jc w:val="right"/>
      <w:rPr>
        <w:b/>
        <w:sz w:val="24"/>
        <w:szCs w:val="24"/>
      </w:rPr>
    </w:pPr>
    <w:r w:rsidRPr="00B8267B">
      <w:rPr>
        <w:b/>
        <w:sz w:val="24"/>
        <w:szCs w:val="24"/>
      </w:rPr>
      <w:t>CE/2024/057</w:t>
    </w:r>
  </w:p>
  <w:p w:rsidR="00B8267B" w:rsidRPr="00B8267B" w:rsidRDefault="00B8267B" w:rsidP="00B8267B">
    <w:pPr>
      <w:pStyle w:val="Encabezado"/>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63"/>
    <w:multiLevelType w:val="hybridMultilevel"/>
    <w:tmpl w:val="DB7A6502"/>
    <w:lvl w:ilvl="0" w:tplc="09F07728">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FD5330"/>
    <w:multiLevelType w:val="hybridMultilevel"/>
    <w:tmpl w:val="571AEE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2A3EFF"/>
    <w:multiLevelType w:val="hybridMultilevel"/>
    <w:tmpl w:val="F4CCD9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E20F38"/>
    <w:multiLevelType w:val="multilevel"/>
    <w:tmpl w:val="F8DE142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1A"/>
    <w:rsid w:val="0000133C"/>
    <w:rsid w:val="00084F34"/>
    <w:rsid w:val="0016014E"/>
    <w:rsid w:val="002461C0"/>
    <w:rsid w:val="003A1953"/>
    <w:rsid w:val="003C48F1"/>
    <w:rsid w:val="004024C5"/>
    <w:rsid w:val="00416D1A"/>
    <w:rsid w:val="005C01EE"/>
    <w:rsid w:val="00662859"/>
    <w:rsid w:val="00761429"/>
    <w:rsid w:val="007D434F"/>
    <w:rsid w:val="009E55C0"/>
    <w:rsid w:val="00B8267B"/>
    <w:rsid w:val="00D211C5"/>
    <w:rsid w:val="00DC29C5"/>
    <w:rsid w:val="00E37EEE"/>
    <w:rsid w:val="00FC6FF8"/>
    <w:rsid w:val="00FD5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6148"/>
  <w15:chartTrackingRefBased/>
  <w15:docId w15:val="{B33A49ED-F406-4607-B327-2101579D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D1A"/>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2461C0"/>
    <w:pPr>
      <w:numPr>
        <w:numId w:val="1"/>
      </w:numPr>
      <w:spacing w:before="600"/>
      <w:ind w:left="0" w:firstLine="0"/>
      <w:jc w:val="center"/>
      <w:outlineLvl w:val="0"/>
    </w:pPr>
    <w:rPr>
      <w:b/>
      <w:sz w:val="28"/>
    </w:rPr>
  </w:style>
  <w:style w:type="paragraph" w:styleId="Ttulo2">
    <w:name w:val="heading 2"/>
    <w:basedOn w:val="Normal"/>
    <w:next w:val="Normal"/>
    <w:link w:val="Ttulo2Car"/>
    <w:uiPriority w:val="9"/>
    <w:unhideWhenUsed/>
    <w:qFormat/>
    <w:rsid w:val="00416D1A"/>
    <w:pPr>
      <w:numPr>
        <w:ilvl w:val="1"/>
        <w:numId w:val="1"/>
      </w:numPr>
      <w:spacing w:before="480"/>
      <w:outlineLvl w:val="1"/>
    </w:pPr>
    <w:rPr>
      <w:rFonts w:ascii="Exo" w:hAnsi="Exo" w:cstheme="minorBidi"/>
      <w:b/>
      <w:sz w:val="24"/>
    </w:rPr>
  </w:style>
  <w:style w:type="paragraph" w:styleId="Ttulo3">
    <w:name w:val="heading 3"/>
    <w:basedOn w:val="Normal"/>
    <w:next w:val="Normal"/>
    <w:link w:val="Ttulo3Car"/>
    <w:uiPriority w:val="9"/>
    <w:semiHidden/>
    <w:unhideWhenUsed/>
    <w:qFormat/>
    <w:rsid w:val="00416D1A"/>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16D1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16D1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16D1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16D1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16D1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16D1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61C0"/>
    <w:rPr>
      <w:rFonts w:ascii="Arial" w:hAnsi="Arial" w:cs="Arial"/>
      <w:b/>
      <w:sz w:val="28"/>
      <w:szCs w:val="23"/>
    </w:rPr>
  </w:style>
  <w:style w:type="character" w:customStyle="1" w:styleId="Ttulo2Car">
    <w:name w:val="Título 2 Car"/>
    <w:basedOn w:val="Fuentedeprrafopredeter"/>
    <w:link w:val="Ttulo2"/>
    <w:uiPriority w:val="9"/>
    <w:rsid w:val="00416D1A"/>
    <w:rPr>
      <w:rFonts w:ascii="Exo" w:hAnsi="Exo"/>
      <w:b/>
      <w:sz w:val="24"/>
      <w:szCs w:val="23"/>
    </w:rPr>
  </w:style>
  <w:style w:type="character" w:customStyle="1" w:styleId="Ttulo3Car">
    <w:name w:val="Título 3 Car"/>
    <w:basedOn w:val="Fuentedeprrafopredeter"/>
    <w:link w:val="Ttulo3"/>
    <w:uiPriority w:val="9"/>
    <w:semiHidden/>
    <w:rsid w:val="00416D1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16D1A"/>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416D1A"/>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416D1A"/>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416D1A"/>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416D1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16D1A"/>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16014E"/>
    <w:pPr>
      <w:ind w:left="720"/>
      <w:contextualSpacing/>
    </w:pPr>
  </w:style>
  <w:style w:type="table" w:styleId="Tablaconcuadrcula">
    <w:name w:val="Table Grid"/>
    <w:basedOn w:val="Tablanormal"/>
    <w:uiPriority w:val="39"/>
    <w:rsid w:val="00160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6014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16014E"/>
    <w:rPr>
      <w:rFonts w:ascii="Arial" w:hAnsi="Arial" w:cs="Arial"/>
      <w:sz w:val="23"/>
      <w:szCs w:val="23"/>
    </w:rPr>
  </w:style>
  <w:style w:type="paragraph" w:styleId="Piedepgina">
    <w:name w:val="footer"/>
    <w:basedOn w:val="Normal"/>
    <w:link w:val="PiedepginaCar"/>
    <w:uiPriority w:val="99"/>
    <w:unhideWhenUsed/>
    <w:rsid w:val="0016014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16014E"/>
    <w:rPr>
      <w:rFonts w:ascii="Arial" w:hAnsi="Arial" w:cs="Arial"/>
      <w:sz w:val="23"/>
      <w:szCs w:val="23"/>
    </w:rPr>
  </w:style>
  <w:style w:type="paragraph" w:styleId="Textoindependiente">
    <w:name w:val="Body Text"/>
    <w:basedOn w:val="Normal"/>
    <w:link w:val="TextoindependienteCar"/>
    <w:uiPriority w:val="1"/>
    <w:qFormat/>
    <w:rsid w:val="004024C5"/>
    <w:pPr>
      <w:widowControl w:val="0"/>
      <w:autoSpaceDE w:val="0"/>
      <w:autoSpaceDN w:val="0"/>
      <w:spacing w:before="0" w:after="0" w:line="240" w:lineRule="auto"/>
      <w:jc w:val="left"/>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4024C5"/>
    <w:rPr>
      <w:rFonts w:ascii="Arial MT" w:eastAsia="Arial MT" w:hAnsi="Arial MT" w:cs="Arial MT"/>
      <w:sz w:val="23"/>
      <w:szCs w:val="23"/>
      <w:lang w:val="es-ES"/>
    </w:rPr>
  </w:style>
  <w:style w:type="paragraph" w:styleId="Textodeglobo">
    <w:name w:val="Balloon Text"/>
    <w:basedOn w:val="Normal"/>
    <w:link w:val="TextodegloboCar"/>
    <w:uiPriority w:val="99"/>
    <w:semiHidden/>
    <w:unhideWhenUsed/>
    <w:rsid w:val="00DC29C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2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3956</Words>
  <Characters>21761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10</cp:revision>
  <cp:lastPrinted>2024-04-30T19:52:00Z</cp:lastPrinted>
  <dcterms:created xsi:type="dcterms:W3CDTF">2024-04-25T03:59:00Z</dcterms:created>
  <dcterms:modified xsi:type="dcterms:W3CDTF">2024-04-30T19:52:00Z</dcterms:modified>
</cp:coreProperties>
</file>