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2CA" w:rsidRPr="00A342CA" w:rsidRDefault="00A342CA" w:rsidP="00A342CA">
      <w:pPr>
        <w:spacing w:before="240" w:line="240" w:lineRule="auto"/>
        <w:jc w:val="both"/>
        <w:rPr>
          <w:rFonts w:ascii="Arial" w:hAnsi="Arial" w:cs="Arial"/>
          <w:b/>
          <w:sz w:val="24"/>
          <w:szCs w:val="24"/>
        </w:rPr>
      </w:pPr>
      <w:r w:rsidRPr="00A342CA">
        <w:rPr>
          <w:rFonts w:ascii="Arial" w:hAnsi="Arial" w:cs="Arial"/>
          <w:b/>
          <w:sz w:val="24"/>
          <w:szCs w:val="24"/>
          <w:lang w:val="es-ES"/>
        </w:rPr>
        <w:t>INFORME QUE RINDE EL SECRETARIO EJECUTIVO, RESPECTO DE LA RECEPCIÓN Y TRÁMITE DE LOS MEDIOS DE IMPUGNACIÓN PRESENTADOS EN EL MES DE MAYO DE 2024 EN CONTRA DE LOS ACTOS, OMISIONES O RESOLUCIONES DE LOS ÓRGANOS CENTRALES DEL INSTITUTO ELECTORAL Y DE PARTICIPACIÓN CIUDADANA DE TABASCO, ASÍ COMO DE LAS RESOLUCIONES DICTADAS POR LOS ÓRGANOS JURISDICCIONALES</w:t>
      </w:r>
    </w:p>
    <w:p w:rsidR="00A342CA" w:rsidRPr="00A342CA" w:rsidRDefault="00A342CA" w:rsidP="00DB5135">
      <w:pPr>
        <w:spacing w:before="240" w:line="240" w:lineRule="auto"/>
        <w:jc w:val="center"/>
        <w:rPr>
          <w:rFonts w:ascii="Arial" w:hAnsi="Arial" w:cs="Arial"/>
          <w:b/>
        </w:rPr>
      </w:pPr>
    </w:p>
    <w:p w:rsidR="002C7A43" w:rsidRPr="00A342CA" w:rsidRDefault="002C7A43" w:rsidP="00DB5135">
      <w:pPr>
        <w:spacing w:before="240" w:line="240" w:lineRule="auto"/>
        <w:jc w:val="both"/>
        <w:rPr>
          <w:rFonts w:ascii="Arial" w:hAnsi="Arial" w:cs="Arial"/>
        </w:rPr>
      </w:pPr>
      <w:r w:rsidRPr="00A342CA">
        <w:rPr>
          <w:rFonts w:ascii="Arial" w:hAnsi="Arial" w:cs="Arial"/>
        </w:rPr>
        <w:t xml:space="preserve">En cumplimiento a lo establecido en el artículo 117, numeral 2, fracción IX y X de la Ley Electoral y de Partidos Políticos del Estado de Tabasco, rindo el informe del mes de </w:t>
      </w:r>
      <w:r w:rsidR="00DE5C80" w:rsidRPr="00A342CA">
        <w:rPr>
          <w:rFonts w:ascii="Arial" w:hAnsi="Arial" w:cs="Arial"/>
        </w:rPr>
        <w:t>mayo</w:t>
      </w:r>
      <w:r w:rsidRPr="00A342CA">
        <w:rPr>
          <w:rFonts w:ascii="Arial" w:hAnsi="Arial" w:cs="Arial"/>
        </w:rPr>
        <w:t xml:space="preserve"> de los medios de impugnación presentados en contra de los actos, omisiones o resoluciones de los órganos centrales de este Instituto Estatal y las resoluciones que corresponden dictadas por los órganos jurisdiccionales, de conformidad con lo siguiente:</w:t>
      </w:r>
    </w:p>
    <w:p w:rsidR="002C7A43" w:rsidRPr="00A342CA" w:rsidRDefault="002C7A43" w:rsidP="00DB5135">
      <w:pPr>
        <w:pStyle w:val="Prrafodelista"/>
        <w:keepNext/>
        <w:keepLines/>
        <w:numPr>
          <w:ilvl w:val="0"/>
          <w:numId w:val="5"/>
        </w:numPr>
        <w:spacing w:before="240" w:after="160" w:line="240" w:lineRule="auto"/>
        <w:ind w:left="709"/>
        <w:jc w:val="both"/>
        <w:rPr>
          <w:rFonts w:ascii="Arial" w:eastAsia="DengXian" w:hAnsi="Arial" w:cs="Arial"/>
          <w:color w:val="auto"/>
          <w:sz w:val="22"/>
          <w:szCs w:val="22"/>
        </w:rPr>
      </w:pPr>
      <w:r w:rsidRPr="00A342CA">
        <w:rPr>
          <w:rFonts w:ascii="Arial" w:eastAsia="Yu Gothic UI Light" w:hAnsi="Arial" w:cs="Arial"/>
          <w:b/>
          <w:color w:val="auto"/>
          <w:sz w:val="22"/>
          <w:szCs w:val="22"/>
        </w:rPr>
        <w:t>Medios de Impugnación en trámite</w:t>
      </w:r>
    </w:p>
    <w:p w:rsidR="002C7A43" w:rsidRPr="00A342CA" w:rsidRDefault="002C7A43" w:rsidP="00DB5135">
      <w:pPr>
        <w:pStyle w:val="Ttulo1"/>
        <w:numPr>
          <w:ilvl w:val="1"/>
          <w:numId w:val="7"/>
        </w:numPr>
        <w:spacing w:line="240" w:lineRule="auto"/>
        <w:ind w:hanging="578"/>
        <w:jc w:val="both"/>
        <w:rPr>
          <w:rFonts w:ascii="Arial" w:eastAsia="Yu Gothic UI Light" w:hAnsi="Arial" w:cs="Arial"/>
          <w:b/>
          <w:color w:val="auto"/>
          <w:sz w:val="22"/>
          <w:szCs w:val="22"/>
        </w:rPr>
      </w:pPr>
      <w:r w:rsidRPr="00A342CA">
        <w:rPr>
          <w:rFonts w:ascii="Arial" w:eastAsia="Yu Gothic UI Light" w:hAnsi="Arial" w:cs="Arial"/>
          <w:b/>
          <w:color w:val="auto"/>
          <w:sz w:val="22"/>
          <w:szCs w:val="22"/>
        </w:rPr>
        <w:t>Ante el Tribunal Electoral de Tabasco</w:t>
      </w:r>
    </w:p>
    <w:p w:rsidR="00986FAC" w:rsidRPr="00A342CA" w:rsidRDefault="00986FAC" w:rsidP="00986FAC">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Recurso de Apelación TET-AP-026/2024-II, promovido por el Partido de la Revolución Democrática, a través de su Representante Propietario ante el Consejo Electoral Distrital 15 con cabecera en Huimanguillo, Tabasco, en contra del acuerdo de </w:t>
      </w:r>
      <w:proofErr w:type="spellStart"/>
      <w:r w:rsidRPr="00A342CA">
        <w:rPr>
          <w:rFonts w:ascii="Arial" w:eastAsia="Times New Roman" w:hAnsi="Arial" w:cs="Arial"/>
          <w:color w:val="auto"/>
          <w:sz w:val="22"/>
          <w:szCs w:val="22"/>
          <w:lang w:eastAsia="es-MX"/>
        </w:rPr>
        <w:t>desechamiento</w:t>
      </w:r>
      <w:proofErr w:type="spellEnd"/>
      <w:r w:rsidRPr="00A342CA">
        <w:rPr>
          <w:rFonts w:ascii="Arial" w:eastAsia="Times New Roman" w:hAnsi="Arial" w:cs="Arial"/>
          <w:color w:val="auto"/>
          <w:sz w:val="22"/>
          <w:szCs w:val="22"/>
          <w:lang w:eastAsia="es-MX"/>
        </w:rPr>
        <w:t xml:space="preserve"> de fecha 16 de mayo de 2024 dictado en el Procedimiento Especial Sancionador PES/038/2024. </w:t>
      </w:r>
    </w:p>
    <w:p w:rsidR="002C7A43" w:rsidRPr="00A342CA" w:rsidRDefault="00986FAC" w:rsidP="00986FAC">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Recurso de Apelación TET-AP-27/2024-III</w:t>
      </w:r>
      <w:r w:rsidR="00072209" w:rsidRPr="00A342CA">
        <w:rPr>
          <w:rFonts w:ascii="Arial" w:eastAsia="Times New Roman" w:hAnsi="Arial" w:cs="Arial"/>
          <w:color w:val="auto"/>
          <w:sz w:val="22"/>
          <w:szCs w:val="22"/>
          <w:lang w:eastAsia="es-MX"/>
        </w:rPr>
        <w:t xml:space="preserve">, promovido </w:t>
      </w:r>
      <w:r w:rsidR="00A133B6" w:rsidRPr="00A342CA">
        <w:rPr>
          <w:rFonts w:ascii="Arial" w:eastAsia="Times New Roman" w:hAnsi="Arial" w:cs="Arial"/>
          <w:color w:val="auto"/>
          <w:sz w:val="22"/>
          <w:szCs w:val="22"/>
          <w:lang w:eastAsia="es-MX"/>
        </w:rPr>
        <w:t>Partido Acción Nacional, a través de su Consejero Representante Propietario ante el Consejo Estatal d</w:t>
      </w:r>
      <w:r w:rsidR="00D11281" w:rsidRPr="00A342CA">
        <w:rPr>
          <w:rFonts w:ascii="Arial" w:eastAsia="Times New Roman" w:hAnsi="Arial" w:cs="Arial"/>
          <w:color w:val="auto"/>
          <w:sz w:val="22"/>
          <w:szCs w:val="22"/>
          <w:lang w:eastAsia="es-MX"/>
        </w:rPr>
        <w:t>e este Instituto, en contra de a</w:t>
      </w:r>
      <w:r w:rsidR="00A133B6" w:rsidRPr="00A342CA">
        <w:rPr>
          <w:rFonts w:ascii="Arial" w:eastAsia="Times New Roman" w:hAnsi="Arial" w:cs="Arial"/>
          <w:color w:val="auto"/>
          <w:sz w:val="22"/>
          <w:szCs w:val="22"/>
          <w:lang w:eastAsia="es-MX"/>
        </w:rPr>
        <w:t xml:space="preserve">cuerdo de </w:t>
      </w:r>
      <w:proofErr w:type="spellStart"/>
      <w:r w:rsidR="00A133B6" w:rsidRPr="00A342CA">
        <w:rPr>
          <w:rFonts w:ascii="Arial" w:eastAsia="Times New Roman" w:hAnsi="Arial" w:cs="Arial"/>
          <w:color w:val="auto"/>
          <w:sz w:val="22"/>
          <w:szCs w:val="22"/>
          <w:lang w:eastAsia="es-MX"/>
        </w:rPr>
        <w:t>desechamiento</w:t>
      </w:r>
      <w:proofErr w:type="spellEnd"/>
      <w:r w:rsidR="00A133B6" w:rsidRPr="00A342CA">
        <w:rPr>
          <w:rFonts w:ascii="Arial" w:eastAsia="Times New Roman" w:hAnsi="Arial" w:cs="Arial"/>
          <w:color w:val="auto"/>
          <w:sz w:val="22"/>
          <w:szCs w:val="22"/>
          <w:lang w:eastAsia="es-MX"/>
        </w:rPr>
        <w:t xml:space="preserve"> de fecha 14 de mayo de 2024 dictado en el Procedimiento Especial Sancionador PES/025/2024.</w:t>
      </w:r>
    </w:p>
    <w:p w:rsidR="00A44191" w:rsidRPr="00A342CA" w:rsidRDefault="00B642A1"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Juicio para la Protección de los Derechos Político-Electorales de la Ciudadanía TET-JDC-038/2024-III, promovido por Jesús Abraham Cano González, Candidato a la Presidencia Municipal de Cunduacán, Tabasco, en contra de la resolución que, a propuesta de</w:t>
      </w:r>
      <w:r w:rsidR="00D11281" w:rsidRPr="00A342CA">
        <w:rPr>
          <w:rFonts w:ascii="Arial" w:eastAsia="Times New Roman" w:hAnsi="Arial" w:cs="Arial"/>
          <w:color w:val="auto"/>
          <w:sz w:val="22"/>
          <w:szCs w:val="22"/>
          <w:lang w:eastAsia="es-MX"/>
        </w:rPr>
        <w:t xml:space="preserve"> la Secretaría Ejecutiva, emitió </w:t>
      </w:r>
      <w:r w:rsidRPr="00A342CA">
        <w:rPr>
          <w:rFonts w:ascii="Arial" w:eastAsia="Times New Roman" w:hAnsi="Arial" w:cs="Arial"/>
          <w:color w:val="auto"/>
          <w:sz w:val="22"/>
          <w:szCs w:val="22"/>
          <w:lang w:eastAsia="es-MX"/>
        </w:rPr>
        <w:t xml:space="preserve">el Consejo Estatal del Instituto Electoral y de Participación Ciudadana </w:t>
      </w:r>
      <w:r w:rsidR="00296E2B" w:rsidRPr="00A342CA">
        <w:rPr>
          <w:rFonts w:ascii="Arial" w:eastAsia="Times New Roman" w:hAnsi="Arial" w:cs="Arial"/>
          <w:color w:val="auto"/>
          <w:sz w:val="22"/>
          <w:szCs w:val="22"/>
          <w:lang w:eastAsia="es-MX"/>
        </w:rPr>
        <w:t>de Tabasco por la que se declaró</w:t>
      </w:r>
      <w:r w:rsidRPr="00A342CA">
        <w:rPr>
          <w:rFonts w:ascii="Arial" w:eastAsia="Times New Roman" w:hAnsi="Arial" w:cs="Arial"/>
          <w:color w:val="auto"/>
          <w:sz w:val="22"/>
          <w:szCs w:val="22"/>
          <w:lang w:eastAsia="es-MX"/>
        </w:rPr>
        <w:t xml:space="preserve"> el incumplimiento del Candidato Independiente Jesús Abraham Cano González a las disposiciones electorales y la comisión de actos de violencia política contra la mujer en razón de género con motivo del Procedimiento Especial Sancionador PES/010/2024.</w:t>
      </w:r>
    </w:p>
    <w:p w:rsidR="00A44191" w:rsidRPr="00A342CA" w:rsidRDefault="00986FAC" w:rsidP="00986FAC">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Medio de Impugnación MI-038/2024, promovido por el partido Morena, a través de su Representante Propietario ante el Consejo Electoral Distrital 15, con cabecera en el municipio de Huimanguillo, Tabasco, en contra del acuerdo de </w:t>
      </w:r>
      <w:proofErr w:type="spellStart"/>
      <w:r w:rsidRPr="00A342CA">
        <w:rPr>
          <w:rFonts w:ascii="Arial" w:eastAsia="Times New Roman" w:hAnsi="Arial" w:cs="Arial"/>
          <w:color w:val="auto"/>
          <w:sz w:val="22"/>
          <w:szCs w:val="22"/>
          <w:lang w:eastAsia="es-MX"/>
        </w:rPr>
        <w:t>desechamiento</w:t>
      </w:r>
      <w:proofErr w:type="spellEnd"/>
      <w:r w:rsidRPr="00A342CA">
        <w:rPr>
          <w:rFonts w:ascii="Arial" w:eastAsia="Times New Roman" w:hAnsi="Arial" w:cs="Arial"/>
          <w:color w:val="auto"/>
          <w:sz w:val="22"/>
          <w:szCs w:val="22"/>
          <w:lang w:eastAsia="es-MX"/>
        </w:rPr>
        <w:t xml:space="preserve"> de fecha 16 de mayo de 2024 dictado en el Procedimiento Especial Sancionador PES/030/2024.</w:t>
      </w:r>
    </w:p>
    <w:p w:rsidR="00D40003" w:rsidRPr="00A342CA" w:rsidRDefault="00D40003"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lastRenderedPageBreak/>
        <w:t>Medio de Impugnación MI-040/2024, promovido por Movimiento Ciudadano, a través de su Representante Propietario ante el Consejo Electoral Distrital 14</w:t>
      </w:r>
      <w:r w:rsidR="00986FAC" w:rsidRPr="00A342CA">
        <w:rPr>
          <w:rFonts w:ascii="Arial" w:eastAsia="Times New Roman" w:hAnsi="Arial" w:cs="Arial"/>
          <w:color w:val="auto"/>
          <w:sz w:val="22"/>
          <w:szCs w:val="22"/>
          <w:lang w:eastAsia="es-MX"/>
        </w:rPr>
        <w:t>,</w:t>
      </w:r>
      <w:r w:rsidRPr="00A342CA">
        <w:rPr>
          <w:rFonts w:ascii="Arial" w:eastAsia="Times New Roman" w:hAnsi="Arial" w:cs="Arial"/>
          <w:color w:val="auto"/>
          <w:sz w:val="22"/>
          <w:szCs w:val="22"/>
          <w:lang w:eastAsia="es-MX"/>
        </w:rPr>
        <w:t xml:space="preserve"> con cabecera en el municipio de Emiliano Zapata, Tabasco, en contra de la indebida impresión de las boletas electorales, papelería y documentación electoral de la elección del Ayuntamiento de Emiliano Zapata.</w:t>
      </w:r>
    </w:p>
    <w:p w:rsidR="00DE5C80" w:rsidRPr="00A342CA" w:rsidRDefault="00DE5C80" w:rsidP="00DB5135">
      <w:pPr>
        <w:pStyle w:val="Prrafodelista"/>
        <w:numPr>
          <w:ilvl w:val="0"/>
          <w:numId w:val="0"/>
        </w:numPr>
        <w:spacing w:before="240" w:after="160" w:line="240" w:lineRule="auto"/>
        <w:ind w:left="720"/>
        <w:jc w:val="both"/>
        <w:rPr>
          <w:rFonts w:ascii="Arial" w:eastAsia="Times New Roman" w:hAnsi="Arial" w:cs="Arial"/>
          <w:color w:val="auto"/>
          <w:sz w:val="22"/>
          <w:szCs w:val="22"/>
          <w:lang w:eastAsia="es-MX"/>
        </w:rPr>
      </w:pPr>
    </w:p>
    <w:p w:rsidR="001A14BD" w:rsidRPr="00A342CA" w:rsidRDefault="00440D7C" w:rsidP="00DB5135">
      <w:pPr>
        <w:pStyle w:val="Prrafodelista"/>
        <w:numPr>
          <w:ilvl w:val="1"/>
          <w:numId w:val="7"/>
        </w:numPr>
        <w:spacing w:before="240" w:after="160" w:line="240" w:lineRule="auto"/>
        <w:jc w:val="both"/>
        <w:rPr>
          <w:rFonts w:ascii="Arial" w:hAnsi="Arial" w:cs="Arial"/>
          <w:b/>
          <w:color w:val="auto"/>
          <w:sz w:val="22"/>
          <w:szCs w:val="22"/>
          <w:shd w:val="clear" w:color="auto" w:fill="FFFFFF"/>
        </w:rPr>
      </w:pPr>
      <w:r w:rsidRPr="00A342CA">
        <w:rPr>
          <w:rFonts w:ascii="Arial" w:hAnsi="Arial" w:cs="Arial"/>
          <w:b/>
          <w:color w:val="auto"/>
          <w:sz w:val="22"/>
          <w:szCs w:val="22"/>
          <w:shd w:val="clear" w:color="auto" w:fill="FFFFFF"/>
        </w:rPr>
        <w:t>Ante la Sala Regional Xalapa</w:t>
      </w:r>
    </w:p>
    <w:p w:rsidR="001A14BD" w:rsidRPr="00A342CA" w:rsidRDefault="00582315" w:rsidP="00DB5135">
      <w:pPr>
        <w:pStyle w:val="Prrafodelista"/>
        <w:numPr>
          <w:ilvl w:val="2"/>
          <w:numId w:val="7"/>
        </w:numPr>
        <w:spacing w:before="240" w:after="160" w:line="240" w:lineRule="auto"/>
        <w:jc w:val="both"/>
        <w:rPr>
          <w:rFonts w:ascii="Arial" w:hAnsi="Arial" w:cs="Arial"/>
          <w:color w:val="auto"/>
          <w:sz w:val="22"/>
          <w:szCs w:val="22"/>
          <w:shd w:val="clear" w:color="auto" w:fill="FFFFFF"/>
        </w:rPr>
      </w:pPr>
      <w:r w:rsidRPr="00A342CA">
        <w:rPr>
          <w:rFonts w:ascii="Arial" w:hAnsi="Arial" w:cs="Arial"/>
          <w:color w:val="auto"/>
          <w:sz w:val="22"/>
          <w:szCs w:val="22"/>
          <w:shd w:val="clear" w:color="auto" w:fill="FFFFFF"/>
        </w:rPr>
        <w:t>Juicio</w:t>
      </w:r>
      <w:r w:rsidR="002927B5" w:rsidRPr="00A342CA">
        <w:rPr>
          <w:rFonts w:ascii="Arial" w:hAnsi="Arial" w:cs="Arial"/>
          <w:color w:val="auto"/>
          <w:sz w:val="22"/>
          <w:szCs w:val="22"/>
          <w:shd w:val="clear" w:color="auto" w:fill="FFFFFF"/>
        </w:rPr>
        <w:t>s</w:t>
      </w:r>
      <w:r w:rsidRPr="00A342CA">
        <w:rPr>
          <w:rFonts w:ascii="Arial" w:hAnsi="Arial" w:cs="Arial"/>
          <w:color w:val="auto"/>
          <w:sz w:val="22"/>
          <w:szCs w:val="22"/>
          <w:shd w:val="clear" w:color="auto" w:fill="FFFFFF"/>
        </w:rPr>
        <w:t xml:space="preserve"> de Reconsideración SX-JRC-41/2024</w:t>
      </w:r>
      <w:r w:rsidR="00150BEC" w:rsidRPr="00A342CA">
        <w:rPr>
          <w:rFonts w:ascii="Arial" w:hAnsi="Arial" w:cs="Arial"/>
          <w:color w:val="auto"/>
          <w:sz w:val="22"/>
          <w:szCs w:val="22"/>
          <w:shd w:val="clear" w:color="auto" w:fill="FFFFFF"/>
        </w:rPr>
        <w:t>, SX-JRC-48/2024</w:t>
      </w:r>
      <w:r w:rsidR="002927B5" w:rsidRPr="00A342CA">
        <w:rPr>
          <w:rFonts w:ascii="Arial" w:hAnsi="Arial" w:cs="Arial"/>
          <w:color w:val="auto"/>
          <w:sz w:val="22"/>
          <w:szCs w:val="22"/>
          <w:shd w:val="clear" w:color="auto" w:fill="FFFFFF"/>
        </w:rPr>
        <w:t xml:space="preserve"> y SX-JRC-49/2024</w:t>
      </w:r>
      <w:r w:rsidRPr="00A342CA">
        <w:rPr>
          <w:rFonts w:ascii="Arial" w:hAnsi="Arial" w:cs="Arial"/>
          <w:color w:val="auto"/>
          <w:sz w:val="22"/>
          <w:szCs w:val="22"/>
          <w:shd w:val="clear" w:color="auto" w:fill="FFFFFF"/>
        </w:rPr>
        <w:t>, promovido</w:t>
      </w:r>
      <w:r w:rsidR="002927B5" w:rsidRPr="00A342CA">
        <w:rPr>
          <w:rFonts w:ascii="Arial" w:hAnsi="Arial" w:cs="Arial"/>
          <w:color w:val="auto"/>
          <w:sz w:val="22"/>
          <w:szCs w:val="22"/>
          <w:shd w:val="clear" w:color="auto" w:fill="FFFFFF"/>
        </w:rPr>
        <w:t>s</w:t>
      </w:r>
      <w:r w:rsidR="00150BEC" w:rsidRPr="00A342CA">
        <w:rPr>
          <w:rFonts w:ascii="Arial" w:hAnsi="Arial" w:cs="Arial"/>
          <w:color w:val="auto"/>
          <w:sz w:val="22"/>
          <w:szCs w:val="22"/>
          <w:shd w:val="clear" w:color="auto" w:fill="FFFFFF"/>
        </w:rPr>
        <w:t xml:space="preserve"> por los</w:t>
      </w:r>
      <w:r w:rsidRPr="00A342CA">
        <w:rPr>
          <w:rFonts w:ascii="Arial" w:hAnsi="Arial" w:cs="Arial"/>
          <w:color w:val="auto"/>
          <w:sz w:val="22"/>
          <w:szCs w:val="22"/>
          <w:shd w:val="clear" w:color="auto" w:fill="FFFFFF"/>
        </w:rPr>
        <w:t xml:space="preserve"> Partido de Trabajo</w:t>
      </w:r>
      <w:r w:rsidR="00150BEC" w:rsidRPr="00A342CA">
        <w:rPr>
          <w:rFonts w:ascii="Arial" w:hAnsi="Arial" w:cs="Arial"/>
          <w:color w:val="auto"/>
          <w:sz w:val="22"/>
          <w:szCs w:val="22"/>
          <w:shd w:val="clear" w:color="auto" w:fill="FFFFFF"/>
        </w:rPr>
        <w:t>, Partido Revolucionario Institucional</w:t>
      </w:r>
      <w:r w:rsidR="002927B5" w:rsidRPr="00A342CA">
        <w:rPr>
          <w:rFonts w:ascii="Arial" w:hAnsi="Arial" w:cs="Arial"/>
          <w:color w:val="auto"/>
          <w:sz w:val="22"/>
          <w:szCs w:val="22"/>
          <w:shd w:val="clear" w:color="auto" w:fill="FFFFFF"/>
        </w:rPr>
        <w:t xml:space="preserve"> y Acción Nacional</w:t>
      </w:r>
      <w:r w:rsidR="00150BEC" w:rsidRPr="00A342CA">
        <w:rPr>
          <w:rFonts w:ascii="Arial" w:hAnsi="Arial" w:cs="Arial"/>
          <w:color w:val="auto"/>
          <w:sz w:val="22"/>
          <w:szCs w:val="22"/>
          <w:shd w:val="clear" w:color="auto" w:fill="FFFFFF"/>
        </w:rPr>
        <w:t>,</w:t>
      </w:r>
      <w:r w:rsidR="002927B5" w:rsidRPr="00A342CA">
        <w:rPr>
          <w:rFonts w:ascii="Arial" w:hAnsi="Arial" w:cs="Arial"/>
          <w:color w:val="auto"/>
          <w:sz w:val="22"/>
          <w:szCs w:val="22"/>
          <w:shd w:val="clear" w:color="auto" w:fill="FFFFFF"/>
        </w:rPr>
        <w:t xml:space="preserve"> Respectivamente</w:t>
      </w:r>
      <w:r w:rsidRPr="00A342CA">
        <w:rPr>
          <w:rFonts w:ascii="Arial" w:hAnsi="Arial" w:cs="Arial"/>
          <w:color w:val="auto"/>
          <w:sz w:val="22"/>
          <w:szCs w:val="22"/>
          <w:shd w:val="clear" w:color="auto" w:fill="FFFFFF"/>
        </w:rPr>
        <w:t xml:space="preserve">, en contra de la resolución de diecisiete de mayo del año en curso dictada por el Tribunal Electoral de Tabasco, </w:t>
      </w:r>
      <w:r w:rsidRPr="00A342CA">
        <w:rPr>
          <w:rStyle w:val="textomasactos0"/>
          <w:rFonts w:ascii="Arial" w:hAnsi="Arial" w:cs="Arial"/>
          <w:color w:val="auto"/>
          <w:sz w:val="22"/>
          <w:szCs w:val="22"/>
          <w:shd w:val="clear" w:color="auto" w:fill="FFFFFF"/>
        </w:rPr>
        <w:t>en los expedientes TET-AP-23/2024-III y acumulados TET-AP-24/202</w:t>
      </w:r>
      <w:r w:rsidR="00FD3ECA" w:rsidRPr="00A342CA">
        <w:rPr>
          <w:rStyle w:val="textomasactos0"/>
          <w:rFonts w:ascii="Arial" w:hAnsi="Arial" w:cs="Arial"/>
          <w:color w:val="auto"/>
          <w:sz w:val="22"/>
          <w:szCs w:val="22"/>
          <w:shd w:val="clear" w:color="auto" w:fill="FFFFFF"/>
        </w:rPr>
        <w:t xml:space="preserve">4-III, TET-AP-25/2024-III, que </w:t>
      </w:r>
      <w:r w:rsidRPr="00A342CA">
        <w:rPr>
          <w:rStyle w:val="textomasactos0"/>
          <w:rFonts w:ascii="Arial" w:hAnsi="Arial" w:cs="Arial"/>
          <w:color w:val="auto"/>
          <w:sz w:val="22"/>
          <w:szCs w:val="22"/>
          <w:shd w:val="clear" w:color="auto" w:fill="FFFFFF"/>
        </w:rPr>
        <w:t>entre otras cuestiones, confirmó el acuerdo CE/2024/058 del pasado veintinueve de abril, emitido por el Consejo Estatal del Instituto Electoral y de Participación Ciudadana de la aludida entidad, que a propuesta de la comisión permanente de igualdad de género y no discriminación emite el referido Consejo, mediante el cual se aprueban los lineamientos para garantizar el cumplimiento del principio de paridad de género y no discriminación en la designación de las diputaciones que integraran la legislatura local y las regidurías que conformaran los ayuntamientos del aludido Estado, por el principio de representación proporcional para el proceso electoral Local Ordinario 2023-2024</w:t>
      </w:r>
      <w:r w:rsidR="00E423DF" w:rsidRPr="00A342CA">
        <w:rPr>
          <w:rStyle w:val="textomasactos0"/>
          <w:rFonts w:ascii="Arial" w:hAnsi="Arial" w:cs="Arial"/>
          <w:color w:val="auto"/>
          <w:sz w:val="22"/>
          <w:szCs w:val="22"/>
          <w:shd w:val="clear" w:color="auto" w:fill="FFFFFF"/>
        </w:rPr>
        <w:t>.</w:t>
      </w:r>
    </w:p>
    <w:p w:rsidR="001A14BD" w:rsidRPr="00A342CA" w:rsidRDefault="00E423DF" w:rsidP="00DB5135">
      <w:pPr>
        <w:pStyle w:val="Prrafodelista"/>
        <w:numPr>
          <w:ilvl w:val="2"/>
          <w:numId w:val="7"/>
        </w:numPr>
        <w:spacing w:before="240" w:after="160" w:line="240" w:lineRule="auto"/>
        <w:jc w:val="both"/>
        <w:rPr>
          <w:rFonts w:ascii="Arial" w:hAnsi="Arial" w:cs="Arial"/>
          <w:color w:val="auto"/>
          <w:sz w:val="22"/>
          <w:szCs w:val="22"/>
          <w:shd w:val="clear" w:color="auto" w:fill="FFFFFF"/>
        </w:rPr>
      </w:pPr>
      <w:r w:rsidRPr="00A342CA">
        <w:rPr>
          <w:rFonts w:ascii="Arial" w:hAnsi="Arial" w:cs="Arial"/>
          <w:color w:val="auto"/>
          <w:sz w:val="22"/>
          <w:szCs w:val="22"/>
          <w:shd w:val="clear" w:color="auto" w:fill="FFFFFF"/>
        </w:rPr>
        <w:t xml:space="preserve">Juicio Electoral SX-JE-85/2024, promovido por Antonio Enrique Aguilar </w:t>
      </w:r>
      <w:proofErr w:type="spellStart"/>
      <w:r w:rsidRPr="00A342CA">
        <w:rPr>
          <w:rFonts w:ascii="Arial" w:hAnsi="Arial" w:cs="Arial"/>
          <w:color w:val="auto"/>
          <w:sz w:val="22"/>
          <w:szCs w:val="22"/>
          <w:shd w:val="clear" w:color="auto" w:fill="FFFFFF"/>
        </w:rPr>
        <w:t>Caraveo</w:t>
      </w:r>
      <w:proofErr w:type="spellEnd"/>
      <w:r w:rsidRPr="00A342CA">
        <w:rPr>
          <w:rFonts w:ascii="Arial" w:hAnsi="Arial" w:cs="Arial"/>
          <w:color w:val="auto"/>
          <w:sz w:val="22"/>
          <w:szCs w:val="22"/>
          <w:shd w:val="clear" w:color="auto" w:fill="FFFFFF"/>
        </w:rPr>
        <w:t xml:space="preserve">, </w:t>
      </w:r>
      <w:r w:rsidR="00F915AE" w:rsidRPr="00A342CA">
        <w:rPr>
          <w:rFonts w:ascii="Arial" w:hAnsi="Arial" w:cs="Arial"/>
          <w:color w:val="auto"/>
          <w:sz w:val="22"/>
          <w:szCs w:val="22"/>
          <w:shd w:val="clear" w:color="auto" w:fill="FFFFFF"/>
        </w:rPr>
        <w:t>a</w:t>
      </w:r>
      <w:r w:rsidRPr="00A342CA">
        <w:rPr>
          <w:rFonts w:ascii="Arial" w:hAnsi="Arial" w:cs="Arial"/>
          <w:color w:val="auto"/>
          <w:sz w:val="22"/>
          <w:szCs w:val="22"/>
          <w:shd w:val="clear" w:color="auto" w:fill="FFFFFF"/>
        </w:rPr>
        <w:t xml:space="preserve"> fin de controvertir de la Secretaría Ejecutiva, Dirección Ejecutiva de Administración y de la Subdirección de Administración, todas del Instituto Electoral y de Participación Ciudadana de Tabasco; el descuento de un día de salario reflejado en la primera quincena de mayo de dos mil veintitrés, derivado de la omisión de registrar su entrada el diecinueve de abril de la referida anualidad. </w:t>
      </w:r>
    </w:p>
    <w:p w:rsidR="007616B4" w:rsidRPr="00A342CA" w:rsidRDefault="007616B4" w:rsidP="00DB5135">
      <w:pPr>
        <w:pStyle w:val="Prrafodelista"/>
        <w:numPr>
          <w:ilvl w:val="2"/>
          <w:numId w:val="7"/>
        </w:numPr>
        <w:spacing w:before="240" w:after="160" w:line="240" w:lineRule="auto"/>
        <w:jc w:val="both"/>
        <w:rPr>
          <w:rFonts w:ascii="Arial" w:hAnsi="Arial" w:cs="Arial"/>
          <w:color w:val="auto"/>
          <w:sz w:val="22"/>
          <w:szCs w:val="22"/>
          <w:shd w:val="clear" w:color="auto" w:fill="FFFFFF"/>
        </w:rPr>
      </w:pPr>
      <w:r w:rsidRPr="00A342CA">
        <w:rPr>
          <w:rFonts w:ascii="Arial" w:hAnsi="Arial" w:cs="Arial"/>
          <w:color w:val="auto"/>
          <w:sz w:val="22"/>
          <w:szCs w:val="22"/>
          <w:shd w:val="clear" w:color="auto" w:fill="FFFFFF"/>
        </w:rPr>
        <w:t>Juicio Electoral</w:t>
      </w:r>
      <w:r w:rsidRPr="00A342CA">
        <w:rPr>
          <w:rFonts w:ascii="Arial" w:hAnsi="Arial" w:cs="Arial"/>
          <w:sz w:val="22"/>
          <w:szCs w:val="22"/>
        </w:rPr>
        <w:t xml:space="preserve"> </w:t>
      </w:r>
      <w:r w:rsidRPr="00A342CA">
        <w:rPr>
          <w:rFonts w:ascii="Arial" w:hAnsi="Arial" w:cs="Arial"/>
          <w:color w:val="auto"/>
          <w:sz w:val="22"/>
          <w:szCs w:val="22"/>
          <w:shd w:val="clear" w:color="auto" w:fill="FFFFFF"/>
        </w:rPr>
        <w:t xml:space="preserve">SX-JE-91/2024, promovido por Diana Ramos López, en contra de la determinación de la Dirección Ejecutiva de Administración del Instituto Estatal Electoral y de Participación Ciudadana del Estado de Tabasco, relacionada con la asignación de salarios entre las plazas </w:t>
      </w:r>
      <w:r w:rsidR="00296E2B" w:rsidRPr="00A342CA">
        <w:rPr>
          <w:rFonts w:ascii="Arial" w:hAnsi="Arial" w:cs="Arial"/>
          <w:color w:val="auto"/>
          <w:sz w:val="22"/>
          <w:szCs w:val="22"/>
          <w:shd w:val="clear" w:color="auto" w:fill="FFFFFF"/>
        </w:rPr>
        <w:t>que,</w:t>
      </w:r>
      <w:r w:rsidRPr="00A342CA">
        <w:rPr>
          <w:rFonts w:ascii="Arial" w:hAnsi="Arial" w:cs="Arial"/>
          <w:color w:val="auto"/>
          <w:sz w:val="22"/>
          <w:szCs w:val="22"/>
          <w:shd w:val="clear" w:color="auto" w:fill="FFFFFF"/>
        </w:rPr>
        <w:t xml:space="preserve"> a decir de la actora, desempeñan las mismas funciones.</w:t>
      </w:r>
    </w:p>
    <w:p w:rsidR="0063165C" w:rsidRPr="00A342CA" w:rsidRDefault="0063165C" w:rsidP="00DB5135">
      <w:pPr>
        <w:pStyle w:val="Prrafodelista"/>
        <w:numPr>
          <w:ilvl w:val="2"/>
          <w:numId w:val="7"/>
        </w:numPr>
        <w:spacing w:before="240" w:after="160" w:line="240" w:lineRule="auto"/>
        <w:jc w:val="both"/>
        <w:rPr>
          <w:rFonts w:ascii="Arial" w:hAnsi="Arial" w:cs="Arial"/>
          <w:color w:val="auto"/>
          <w:sz w:val="22"/>
          <w:szCs w:val="22"/>
          <w:shd w:val="clear" w:color="auto" w:fill="FFFFFF"/>
        </w:rPr>
      </w:pPr>
      <w:r w:rsidRPr="00A342CA">
        <w:rPr>
          <w:rFonts w:ascii="Arial" w:hAnsi="Arial" w:cs="Arial"/>
          <w:color w:val="auto"/>
          <w:sz w:val="22"/>
          <w:szCs w:val="22"/>
          <w:shd w:val="clear" w:color="auto" w:fill="FFFFFF"/>
        </w:rPr>
        <w:t>Juicio Electoral</w:t>
      </w:r>
      <w:r w:rsidRPr="00A342CA">
        <w:rPr>
          <w:rFonts w:ascii="Arial" w:hAnsi="Arial" w:cs="Arial"/>
          <w:sz w:val="22"/>
          <w:szCs w:val="22"/>
        </w:rPr>
        <w:t xml:space="preserve"> </w:t>
      </w:r>
      <w:r w:rsidRPr="00A342CA">
        <w:rPr>
          <w:rFonts w:ascii="Arial" w:hAnsi="Arial" w:cs="Arial"/>
          <w:color w:val="auto"/>
          <w:sz w:val="22"/>
          <w:szCs w:val="22"/>
          <w:shd w:val="clear" w:color="auto" w:fill="FFFFFF"/>
        </w:rPr>
        <w:t xml:space="preserve">SX-JE-94/2024, promovido por Antonio Enrique Aguilar </w:t>
      </w:r>
      <w:proofErr w:type="spellStart"/>
      <w:r w:rsidRPr="00A342CA">
        <w:rPr>
          <w:rFonts w:ascii="Arial" w:hAnsi="Arial" w:cs="Arial"/>
          <w:color w:val="auto"/>
          <w:sz w:val="22"/>
          <w:szCs w:val="22"/>
          <w:shd w:val="clear" w:color="auto" w:fill="FFFFFF"/>
        </w:rPr>
        <w:t>Caraveo</w:t>
      </w:r>
      <w:proofErr w:type="spellEnd"/>
      <w:r w:rsidRPr="00A342CA">
        <w:rPr>
          <w:rFonts w:ascii="Arial" w:hAnsi="Arial" w:cs="Arial"/>
          <w:color w:val="auto"/>
          <w:sz w:val="22"/>
          <w:szCs w:val="22"/>
          <w:shd w:val="clear" w:color="auto" w:fill="FFFFFF"/>
        </w:rPr>
        <w:t>,</w:t>
      </w:r>
      <w:r w:rsidRPr="00A342CA">
        <w:rPr>
          <w:rFonts w:ascii="Arial" w:hAnsi="Arial" w:cs="Arial"/>
          <w:sz w:val="22"/>
          <w:szCs w:val="22"/>
        </w:rPr>
        <w:t xml:space="preserve"> </w:t>
      </w:r>
      <w:r w:rsidRPr="00A342CA">
        <w:rPr>
          <w:rFonts w:ascii="Arial" w:hAnsi="Arial" w:cs="Arial"/>
          <w:color w:val="auto"/>
          <w:sz w:val="22"/>
          <w:szCs w:val="22"/>
          <w:shd w:val="clear" w:color="auto" w:fill="FFFFFF"/>
        </w:rPr>
        <w:t>en contra de la destitución emitida en el procedimiento laboral sancionador PLS/002/2023 al cargo que ostentaba el ahora actor, así como la improcedencia del recurso de inconformidad interpuesto por el mismo en contra de actos hechos por las autoridades del instituto Electoral y de Participación Ciudadana de Tabasco.</w:t>
      </w:r>
    </w:p>
    <w:p w:rsidR="00462532" w:rsidRPr="00A342CA" w:rsidRDefault="00462532" w:rsidP="00DB5135">
      <w:pPr>
        <w:pStyle w:val="Prrafodelista"/>
        <w:numPr>
          <w:ilvl w:val="2"/>
          <w:numId w:val="7"/>
        </w:numPr>
        <w:spacing w:before="240" w:after="160" w:line="240" w:lineRule="auto"/>
        <w:jc w:val="both"/>
        <w:rPr>
          <w:rFonts w:ascii="Arial" w:hAnsi="Arial" w:cs="Arial"/>
          <w:color w:val="auto"/>
          <w:sz w:val="22"/>
          <w:szCs w:val="22"/>
          <w:shd w:val="clear" w:color="auto" w:fill="FFFFFF"/>
        </w:rPr>
      </w:pPr>
      <w:r w:rsidRPr="00A342CA">
        <w:rPr>
          <w:rFonts w:ascii="Arial" w:hAnsi="Arial" w:cs="Arial"/>
          <w:color w:val="auto"/>
          <w:sz w:val="22"/>
          <w:szCs w:val="22"/>
          <w:shd w:val="clear" w:color="auto" w:fill="FFFFFF"/>
        </w:rPr>
        <w:t>Juicio Electoral</w:t>
      </w:r>
      <w:r w:rsidRPr="00A342CA">
        <w:rPr>
          <w:rFonts w:ascii="Arial" w:hAnsi="Arial" w:cs="Arial"/>
          <w:sz w:val="22"/>
          <w:szCs w:val="22"/>
        </w:rPr>
        <w:t xml:space="preserve"> </w:t>
      </w:r>
      <w:r w:rsidRPr="00A342CA">
        <w:rPr>
          <w:rFonts w:ascii="Arial" w:hAnsi="Arial" w:cs="Arial"/>
          <w:color w:val="auto"/>
          <w:sz w:val="22"/>
          <w:szCs w:val="22"/>
          <w:shd w:val="clear" w:color="auto" w:fill="FFFFFF"/>
        </w:rPr>
        <w:t xml:space="preserve">SX-JE-97/2024, promovido por Antonio Enrique Aguilar </w:t>
      </w:r>
      <w:proofErr w:type="spellStart"/>
      <w:r w:rsidRPr="00A342CA">
        <w:rPr>
          <w:rFonts w:ascii="Arial" w:hAnsi="Arial" w:cs="Arial"/>
          <w:color w:val="auto"/>
          <w:sz w:val="22"/>
          <w:szCs w:val="22"/>
          <w:shd w:val="clear" w:color="auto" w:fill="FFFFFF"/>
        </w:rPr>
        <w:t>Caraveo</w:t>
      </w:r>
      <w:proofErr w:type="spellEnd"/>
      <w:r w:rsidRPr="00A342CA">
        <w:rPr>
          <w:rFonts w:ascii="Arial" w:hAnsi="Arial" w:cs="Arial"/>
          <w:color w:val="auto"/>
          <w:sz w:val="22"/>
          <w:szCs w:val="22"/>
          <w:shd w:val="clear" w:color="auto" w:fill="FFFFFF"/>
        </w:rPr>
        <w:t xml:space="preserve">, en contra del acuerdo de seis de octubre del año dos mil veintitrés emitido por la </w:t>
      </w:r>
      <w:r w:rsidRPr="00A342CA">
        <w:rPr>
          <w:rFonts w:ascii="Arial" w:hAnsi="Arial" w:cs="Arial"/>
          <w:color w:val="auto"/>
          <w:sz w:val="22"/>
          <w:szCs w:val="22"/>
          <w:shd w:val="clear" w:color="auto" w:fill="FFFFFF"/>
        </w:rPr>
        <w:lastRenderedPageBreak/>
        <w:t>Presidenta de la Junta Estatal Ejecutiva del Instituto Electoral y de Participación Ciudadana de Tabasco, que declaró improcedente la medida cautelar solicitada, relativa al otorgamiento de un mínimo vital propio y el de sus dependientes económicos, derivado de su destitución y terminó de su relación laboral con el referido instituto.</w:t>
      </w:r>
    </w:p>
    <w:p w:rsidR="00986FAC" w:rsidRPr="00A342CA" w:rsidRDefault="00986FAC" w:rsidP="00986FAC">
      <w:pPr>
        <w:pStyle w:val="Prrafodelista"/>
        <w:numPr>
          <w:ilvl w:val="2"/>
          <w:numId w:val="7"/>
        </w:numPr>
        <w:spacing w:before="240" w:after="160" w:line="240" w:lineRule="auto"/>
        <w:jc w:val="both"/>
        <w:rPr>
          <w:rFonts w:ascii="Arial" w:hAnsi="Arial" w:cs="Arial"/>
          <w:color w:val="212529"/>
          <w:sz w:val="22"/>
          <w:szCs w:val="22"/>
          <w:shd w:val="clear" w:color="auto" w:fill="FFFFFF"/>
        </w:rPr>
      </w:pPr>
      <w:r w:rsidRPr="00A342CA">
        <w:rPr>
          <w:rFonts w:ascii="Arial" w:hAnsi="Arial" w:cs="Arial"/>
          <w:color w:val="212529"/>
          <w:sz w:val="22"/>
          <w:szCs w:val="22"/>
          <w:shd w:val="clear" w:color="auto" w:fill="FFFFFF"/>
        </w:rPr>
        <w:t>Juicio Electoral SX-JE-102/2024, promovido por Jorge Orlando Bracamonte Hernández, en contra de la resolución dictada el pasado diecisiete de mayo por el Tribunal Electoral de Tabasco en el expediente TET-AP-021/2024-I, que confirmó el acuerdo dictado en el procedimiento especial sancionador PES/009/2024, por el Consejo Estatal del Instituto Electoral y de Participación Ciudadana de dicha entidad, mediante el cual declaró la existencia de la vulneración a las normas sobre propaganda electoral atribuido al ahora actor y la omisión de deber de cuidado y vigilancia atribuido a los partidos MORENA y Verde Ecologista de México, postulantes como integrantes de la candidatura común aludida.</w:t>
      </w:r>
    </w:p>
    <w:p w:rsidR="00986FAC" w:rsidRPr="00A342CA" w:rsidRDefault="00986FAC" w:rsidP="00986FAC">
      <w:pPr>
        <w:pStyle w:val="Prrafodelista"/>
        <w:numPr>
          <w:ilvl w:val="2"/>
          <w:numId w:val="7"/>
        </w:numPr>
        <w:spacing w:before="240" w:after="160" w:line="240" w:lineRule="auto"/>
        <w:jc w:val="both"/>
        <w:rPr>
          <w:rFonts w:ascii="Arial" w:hAnsi="Arial" w:cs="Arial"/>
          <w:color w:val="212529"/>
          <w:sz w:val="22"/>
          <w:szCs w:val="22"/>
          <w:shd w:val="clear" w:color="auto" w:fill="FFFFFF"/>
        </w:rPr>
      </w:pPr>
      <w:r w:rsidRPr="00A342CA">
        <w:rPr>
          <w:rFonts w:ascii="Arial" w:eastAsia="Times New Roman" w:hAnsi="Arial" w:cs="Arial"/>
          <w:color w:val="auto"/>
          <w:sz w:val="22"/>
          <w:szCs w:val="22"/>
          <w:lang w:eastAsia="es-MX"/>
        </w:rPr>
        <w:t xml:space="preserve">Juicio Electoral SX-JE-103/2024, promovido por </w:t>
      </w:r>
      <w:r w:rsidRPr="00A342CA">
        <w:rPr>
          <w:rFonts w:ascii="Arial" w:hAnsi="Arial" w:cs="Arial"/>
          <w:color w:val="212529"/>
          <w:sz w:val="22"/>
          <w:szCs w:val="22"/>
          <w:shd w:val="clear" w:color="auto" w:fill="FFFFFF"/>
        </w:rPr>
        <w:t xml:space="preserve">Movimiento Ciudadano, en contra de la resolución dictada el pasado diecisiete de mayo por el Tribunal Electoral de Tabasco en el expediente TET-AP-022/2024-III, que confirmó, en lo que fue materia de impugnación, la resolución dictada en el procedimiento especial sancionador PES/005/2024 y su acumulado PES/006/2024, por el Consejo Estatal del Instituto Electoral y de Participación Ciudadana de la aludida entidad, mediante el cual declaró la existencia de la vulneración a las normas en materia de propaganda electoral y actos anticipados de campaña atribuidos a Karla María </w:t>
      </w:r>
      <w:proofErr w:type="spellStart"/>
      <w:r w:rsidRPr="00A342CA">
        <w:rPr>
          <w:rFonts w:ascii="Arial" w:hAnsi="Arial" w:cs="Arial"/>
          <w:color w:val="212529"/>
          <w:sz w:val="22"/>
          <w:szCs w:val="22"/>
          <w:shd w:val="clear" w:color="auto" w:fill="FFFFFF"/>
        </w:rPr>
        <w:t>Rabelo</w:t>
      </w:r>
      <w:proofErr w:type="spellEnd"/>
      <w:r w:rsidRPr="00A342CA">
        <w:rPr>
          <w:rFonts w:ascii="Arial" w:hAnsi="Arial" w:cs="Arial"/>
          <w:color w:val="212529"/>
          <w:sz w:val="22"/>
          <w:szCs w:val="22"/>
          <w:shd w:val="clear" w:color="auto" w:fill="FFFFFF"/>
        </w:rPr>
        <w:t xml:space="preserve"> Estrada, candidata a la presidencia municipal de Huimanguillo, Tabasco, por el aludido partido; así como la existencia en la omisión en el deber de cuidado atribuida al hoy </w:t>
      </w:r>
      <w:proofErr w:type="spellStart"/>
      <w:r w:rsidRPr="00A342CA">
        <w:rPr>
          <w:rFonts w:ascii="Arial" w:hAnsi="Arial" w:cs="Arial"/>
          <w:color w:val="212529"/>
          <w:sz w:val="22"/>
          <w:szCs w:val="22"/>
          <w:shd w:val="clear" w:color="auto" w:fill="FFFFFF"/>
        </w:rPr>
        <w:t>promovente</w:t>
      </w:r>
      <w:proofErr w:type="spellEnd"/>
      <w:r w:rsidRPr="00A342CA">
        <w:rPr>
          <w:rFonts w:ascii="Arial" w:hAnsi="Arial" w:cs="Arial"/>
          <w:color w:val="212529"/>
          <w:sz w:val="22"/>
          <w:szCs w:val="22"/>
          <w:shd w:val="clear" w:color="auto" w:fill="FFFFFF"/>
        </w:rPr>
        <w:t>.</w:t>
      </w:r>
    </w:p>
    <w:p w:rsidR="00706F4F" w:rsidRPr="00A342CA" w:rsidRDefault="005144C0"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Juicio para la Protección de los Derechos Político-Electorales de la Ciudadanía SX-JDC-491/2024, promovido por </w:t>
      </w:r>
      <w:r w:rsidRPr="00A342CA">
        <w:rPr>
          <w:rFonts w:ascii="Arial" w:hAnsi="Arial" w:cs="Arial"/>
          <w:color w:val="auto"/>
          <w:sz w:val="22"/>
          <w:szCs w:val="22"/>
        </w:rPr>
        <w:t xml:space="preserve">Antonio Enrique Aguilar </w:t>
      </w:r>
      <w:proofErr w:type="spellStart"/>
      <w:r w:rsidRPr="00A342CA">
        <w:rPr>
          <w:rFonts w:ascii="Arial" w:hAnsi="Arial" w:cs="Arial"/>
          <w:color w:val="auto"/>
          <w:sz w:val="22"/>
          <w:szCs w:val="22"/>
        </w:rPr>
        <w:t>Caraveo</w:t>
      </w:r>
      <w:proofErr w:type="spellEnd"/>
      <w:r w:rsidRPr="00A342CA">
        <w:rPr>
          <w:rFonts w:ascii="Arial" w:eastAsia="Times New Roman" w:hAnsi="Arial" w:cs="Arial"/>
          <w:color w:val="auto"/>
          <w:sz w:val="22"/>
          <w:szCs w:val="22"/>
          <w:lang w:eastAsia="es-MX"/>
        </w:rPr>
        <w:t>, en contra del acuerdo JEE/2024/08 emitido por la Junta Estatal Ejecutiva del Instituto Electoral y de Participación Ciudadana de Tabasco, mediante el cual ratifica las designaciones de las personas titulares de las vocalías de las Juntas Distritales de dicho instituto, efectuadas a través del diverso JEE/2023/015, y determinó la no idoneidad del hoy actor, para ocupar el cargo de vocal ejecutivo en la Junta Distrital del distrito electoral 8, con motivo del proceso electoral local ordinario 2023-2024.</w:t>
      </w:r>
    </w:p>
    <w:p w:rsidR="0070393F" w:rsidRPr="00A342CA" w:rsidRDefault="002C7A43" w:rsidP="00DB5135">
      <w:pPr>
        <w:pStyle w:val="Prrafodelista"/>
        <w:numPr>
          <w:ilvl w:val="1"/>
          <w:numId w:val="7"/>
        </w:numPr>
        <w:spacing w:before="240" w:after="160" w:line="240" w:lineRule="auto"/>
        <w:jc w:val="both"/>
        <w:rPr>
          <w:rFonts w:ascii="Arial" w:hAnsi="Arial" w:cs="Arial"/>
          <w:b/>
          <w:color w:val="auto"/>
          <w:sz w:val="22"/>
          <w:szCs w:val="22"/>
          <w:shd w:val="clear" w:color="auto" w:fill="FFFFFF"/>
        </w:rPr>
      </w:pPr>
      <w:r w:rsidRPr="00A342CA">
        <w:rPr>
          <w:rFonts w:ascii="Arial" w:hAnsi="Arial" w:cs="Arial"/>
          <w:b/>
          <w:color w:val="auto"/>
          <w:sz w:val="22"/>
          <w:szCs w:val="22"/>
          <w:shd w:val="clear" w:color="auto" w:fill="FFFFFF"/>
        </w:rPr>
        <w:t xml:space="preserve">Ante la Sala Superior </w:t>
      </w:r>
    </w:p>
    <w:p w:rsidR="002C7A43" w:rsidRPr="00A342CA" w:rsidRDefault="006D7B19" w:rsidP="00DB5135">
      <w:pPr>
        <w:pStyle w:val="Prrafodelista"/>
        <w:numPr>
          <w:ilvl w:val="2"/>
          <w:numId w:val="7"/>
        </w:numPr>
        <w:spacing w:before="240" w:after="160" w:line="240" w:lineRule="auto"/>
        <w:jc w:val="both"/>
        <w:rPr>
          <w:rFonts w:ascii="Arial" w:hAnsi="Arial" w:cs="Arial"/>
          <w:color w:val="auto"/>
          <w:sz w:val="22"/>
          <w:szCs w:val="22"/>
        </w:rPr>
      </w:pPr>
      <w:r w:rsidRPr="00A342CA">
        <w:rPr>
          <w:rFonts w:ascii="Arial" w:hAnsi="Arial" w:cs="Arial"/>
          <w:color w:val="auto"/>
          <w:sz w:val="22"/>
          <w:szCs w:val="22"/>
        </w:rPr>
        <w:t xml:space="preserve">Recurso de Reconsideración SUP-REC-428/2024, promovido por Antonio Enrique Aguilar </w:t>
      </w:r>
      <w:proofErr w:type="spellStart"/>
      <w:r w:rsidRPr="00A342CA">
        <w:rPr>
          <w:rFonts w:ascii="Arial" w:hAnsi="Arial" w:cs="Arial"/>
          <w:color w:val="auto"/>
          <w:sz w:val="22"/>
          <w:szCs w:val="22"/>
        </w:rPr>
        <w:t>Caraveo</w:t>
      </w:r>
      <w:proofErr w:type="spellEnd"/>
      <w:r w:rsidRPr="00A342CA">
        <w:rPr>
          <w:rFonts w:ascii="Arial" w:hAnsi="Arial" w:cs="Arial"/>
          <w:color w:val="auto"/>
          <w:sz w:val="22"/>
          <w:szCs w:val="22"/>
        </w:rPr>
        <w:t>, en contra del Acu</w:t>
      </w:r>
      <w:r w:rsidR="00296E2B" w:rsidRPr="00A342CA">
        <w:rPr>
          <w:rFonts w:ascii="Arial" w:hAnsi="Arial" w:cs="Arial"/>
          <w:color w:val="auto"/>
          <w:sz w:val="22"/>
          <w:szCs w:val="22"/>
        </w:rPr>
        <w:t xml:space="preserve">erdo de turno dictado por la Magistrada </w:t>
      </w:r>
      <w:r w:rsidRPr="00A342CA">
        <w:rPr>
          <w:rFonts w:ascii="Arial" w:hAnsi="Arial" w:cs="Arial"/>
          <w:color w:val="auto"/>
          <w:sz w:val="22"/>
          <w:szCs w:val="22"/>
        </w:rPr>
        <w:t xml:space="preserve">Presidenta de la Sala Regional Xalapa en el expediente SX-JE-94/2024, el dieciséis de mayo del presente año, por el que determinó turnar el medio de impugnación que presentó la parte recurrente, como juicio electoral, relacionado con la impugnación contra la Junta Estatal Ejecutiva, Secretaría Ejecutiva, Dirección Ejecutiva Administrativa y otras, todas pertenecientes al Instituto Electoral y de Participación </w:t>
      </w:r>
      <w:r w:rsidRPr="00A342CA">
        <w:rPr>
          <w:rFonts w:ascii="Arial" w:hAnsi="Arial" w:cs="Arial"/>
          <w:color w:val="auto"/>
          <w:sz w:val="22"/>
          <w:szCs w:val="22"/>
        </w:rPr>
        <w:lastRenderedPageBreak/>
        <w:t>Ciudadana de Tabasco, la destitución emitida en el procedimiento laboral sancionador PLS/002/2023 al cargo que ostentaba el recurrente, así como la improcedencia del recurso de inconformidad interpuesto por el mismo en contra de actos realizados por las autoridades del Instituto antes mencionado.</w:t>
      </w:r>
    </w:p>
    <w:p w:rsidR="002C7A43" w:rsidRPr="00A342CA" w:rsidRDefault="002C7A43" w:rsidP="00DB5135">
      <w:pPr>
        <w:spacing w:before="240" w:line="240" w:lineRule="auto"/>
        <w:jc w:val="both"/>
        <w:rPr>
          <w:rFonts w:ascii="Arial" w:hAnsi="Arial" w:cs="Arial"/>
        </w:rPr>
      </w:pPr>
    </w:p>
    <w:p w:rsidR="002C7A43" w:rsidRPr="00A342CA" w:rsidRDefault="002C7A43" w:rsidP="00DB5135">
      <w:pPr>
        <w:pStyle w:val="Prrafodelista"/>
        <w:numPr>
          <w:ilvl w:val="0"/>
          <w:numId w:val="7"/>
        </w:numPr>
        <w:spacing w:before="240" w:after="160" w:line="240" w:lineRule="auto"/>
        <w:ind w:left="709" w:hanging="425"/>
        <w:jc w:val="both"/>
        <w:rPr>
          <w:rFonts w:ascii="Arial" w:hAnsi="Arial" w:cs="Arial"/>
          <w:color w:val="auto"/>
          <w:sz w:val="22"/>
          <w:szCs w:val="22"/>
        </w:rPr>
      </w:pPr>
      <w:r w:rsidRPr="00A342CA">
        <w:rPr>
          <w:rFonts w:ascii="Arial" w:hAnsi="Arial" w:cs="Arial"/>
          <w:b/>
          <w:color w:val="auto"/>
          <w:sz w:val="22"/>
          <w:szCs w:val="22"/>
        </w:rPr>
        <w:t>Medios de Impugnación Resueltos</w:t>
      </w:r>
    </w:p>
    <w:p w:rsidR="002C7A43" w:rsidRPr="00A342CA" w:rsidRDefault="002C7A43" w:rsidP="00DB5135">
      <w:pPr>
        <w:pStyle w:val="Prrafodelista"/>
        <w:numPr>
          <w:ilvl w:val="1"/>
          <w:numId w:val="7"/>
        </w:numPr>
        <w:spacing w:before="240" w:after="160" w:line="240" w:lineRule="auto"/>
        <w:ind w:hanging="578"/>
        <w:jc w:val="both"/>
        <w:rPr>
          <w:rFonts w:ascii="Arial" w:hAnsi="Arial" w:cs="Arial"/>
          <w:color w:val="auto"/>
          <w:sz w:val="22"/>
          <w:szCs w:val="22"/>
        </w:rPr>
      </w:pPr>
      <w:r w:rsidRPr="00A342CA">
        <w:rPr>
          <w:rFonts w:ascii="Arial" w:hAnsi="Arial" w:cs="Arial"/>
          <w:b/>
          <w:color w:val="auto"/>
          <w:sz w:val="22"/>
          <w:szCs w:val="22"/>
          <w:shd w:val="clear" w:color="auto" w:fill="FFFFFF"/>
        </w:rPr>
        <w:t>Ante</w:t>
      </w:r>
      <w:r w:rsidRPr="00A342CA">
        <w:rPr>
          <w:rFonts w:ascii="Arial" w:eastAsia="Yu Gothic UI Light" w:hAnsi="Arial" w:cs="Arial"/>
          <w:b/>
          <w:color w:val="auto"/>
          <w:sz w:val="22"/>
          <w:szCs w:val="22"/>
        </w:rPr>
        <w:t xml:space="preserve"> el Tribunal Electoral de Tabasco</w:t>
      </w:r>
    </w:p>
    <w:p w:rsidR="004C4B79" w:rsidRPr="00A342CA" w:rsidRDefault="004C4B79"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El cuatro de mayo de </w:t>
      </w:r>
      <w:r w:rsidRPr="00A342CA">
        <w:rPr>
          <w:rFonts w:ascii="Arial" w:hAnsi="Arial" w:cs="Arial"/>
          <w:color w:val="auto"/>
          <w:sz w:val="22"/>
          <w:szCs w:val="22"/>
        </w:rPr>
        <w:t>dos mil veinticuatro</w:t>
      </w:r>
      <w:r w:rsidRPr="00A342CA">
        <w:rPr>
          <w:rFonts w:ascii="Arial" w:eastAsia="Times New Roman" w:hAnsi="Arial" w:cs="Arial"/>
          <w:color w:val="auto"/>
          <w:sz w:val="22"/>
          <w:szCs w:val="22"/>
          <w:lang w:eastAsia="es-MX"/>
        </w:rPr>
        <w:t xml:space="preserve">, el Tribunal Electoral de Tabasco confirmó Recurso de Apelación </w:t>
      </w:r>
      <w:r w:rsidRPr="00A342CA">
        <w:rPr>
          <w:rFonts w:ascii="Arial" w:hAnsi="Arial" w:cs="Arial"/>
          <w:color w:val="auto"/>
          <w:sz w:val="22"/>
          <w:szCs w:val="22"/>
        </w:rPr>
        <w:t>TET-AP-18/2024-III</w:t>
      </w:r>
      <w:r w:rsidRPr="00A342CA">
        <w:rPr>
          <w:rFonts w:ascii="Arial" w:eastAsia="Times New Roman" w:hAnsi="Arial" w:cs="Arial"/>
          <w:color w:val="auto"/>
          <w:sz w:val="22"/>
          <w:szCs w:val="22"/>
          <w:lang w:eastAsia="es-MX"/>
        </w:rPr>
        <w:t xml:space="preserve">, promovido por el representante del partido Morena ante el Consejo Electoral Distrital 21 de este Instituto, con cabecera en Tenosique, Tabasco; en contra del Acuerdo de </w:t>
      </w:r>
      <w:proofErr w:type="spellStart"/>
      <w:r w:rsidRPr="00A342CA">
        <w:rPr>
          <w:rFonts w:ascii="Arial" w:eastAsia="Times New Roman" w:hAnsi="Arial" w:cs="Arial"/>
          <w:color w:val="auto"/>
          <w:sz w:val="22"/>
          <w:szCs w:val="22"/>
          <w:lang w:eastAsia="es-MX"/>
        </w:rPr>
        <w:t>Desechamiento</w:t>
      </w:r>
      <w:proofErr w:type="spellEnd"/>
      <w:r w:rsidRPr="00A342CA">
        <w:rPr>
          <w:rFonts w:ascii="Arial" w:eastAsia="Times New Roman" w:hAnsi="Arial" w:cs="Arial"/>
          <w:color w:val="auto"/>
          <w:sz w:val="22"/>
          <w:szCs w:val="22"/>
          <w:lang w:eastAsia="es-MX"/>
        </w:rPr>
        <w:t xml:space="preserve"> del Procedimiento Especial Sancionador PES/013/2024, de fecha 10 de abril del 2024.</w:t>
      </w:r>
    </w:p>
    <w:p w:rsidR="00E75066" w:rsidRPr="00A342CA" w:rsidRDefault="00E75066"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El cuatro de mayo de </w:t>
      </w:r>
      <w:r w:rsidRPr="00A342CA">
        <w:rPr>
          <w:rFonts w:ascii="Arial" w:hAnsi="Arial" w:cs="Arial"/>
          <w:color w:val="auto"/>
          <w:sz w:val="22"/>
          <w:szCs w:val="22"/>
        </w:rPr>
        <w:t>dos mil veinticuatro</w:t>
      </w:r>
      <w:r w:rsidRPr="00A342CA">
        <w:rPr>
          <w:rFonts w:ascii="Arial" w:eastAsia="Times New Roman" w:hAnsi="Arial" w:cs="Arial"/>
          <w:color w:val="auto"/>
          <w:sz w:val="22"/>
          <w:szCs w:val="22"/>
          <w:lang w:eastAsia="es-MX"/>
        </w:rPr>
        <w:t xml:space="preserve">, el Tribunal Electoral de Tabasco, resolvió el Recurso de Apelación </w:t>
      </w:r>
      <w:r w:rsidRPr="00A342CA">
        <w:rPr>
          <w:rFonts w:ascii="Arial" w:hAnsi="Arial" w:cs="Arial"/>
          <w:color w:val="auto"/>
          <w:sz w:val="22"/>
          <w:szCs w:val="22"/>
        </w:rPr>
        <w:t>TET-AP-19/2024-III</w:t>
      </w:r>
      <w:r w:rsidRPr="00A342CA">
        <w:rPr>
          <w:rFonts w:ascii="Arial" w:eastAsia="Times New Roman" w:hAnsi="Arial" w:cs="Arial"/>
          <w:color w:val="auto"/>
          <w:sz w:val="22"/>
          <w:szCs w:val="22"/>
          <w:lang w:eastAsia="es-MX"/>
        </w:rPr>
        <w:t xml:space="preserve">, promovido por el ciudadano </w:t>
      </w:r>
      <w:r w:rsidRPr="00A342CA">
        <w:rPr>
          <w:rFonts w:ascii="Arial" w:eastAsia="DengXian" w:hAnsi="Arial" w:cs="Arial"/>
          <w:color w:val="auto"/>
          <w:sz w:val="22"/>
          <w:szCs w:val="22"/>
        </w:rPr>
        <w:t>Jorge Orlando Bracamonte Hernández, en su calidad de Candidato a la Diputación Local por el Distrito 09 y los partidos Políticos Morena y Verde Ecologista</w:t>
      </w:r>
      <w:r w:rsidRPr="00A342CA">
        <w:rPr>
          <w:rFonts w:ascii="Arial" w:eastAsia="Times New Roman" w:hAnsi="Arial" w:cs="Arial"/>
          <w:color w:val="auto"/>
          <w:sz w:val="22"/>
          <w:szCs w:val="22"/>
          <w:lang w:eastAsia="es-MX"/>
        </w:rPr>
        <w:t>; en contra de la medida de apremio dictada en el acuerdo de Medidas Cautelares del Procedimiento Especial Sancionador PES/009/2024, de fecha 16 de abril del 2024. Revoc</w:t>
      </w:r>
      <w:r w:rsidR="007D3D64" w:rsidRPr="00A342CA">
        <w:rPr>
          <w:rFonts w:ascii="Arial" w:eastAsia="Times New Roman" w:hAnsi="Arial" w:cs="Arial"/>
          <w:color w:val="auto"/>
          <w:sz w:val="22"/>
          <w:szCs w:val="22"/>
          <w:lang w:eastAsia="es-MX"/>
        </w:rPr>
        <w:t>ando el acuerdo de preclusión emitido por la esta Secretaría Ejecutiva el nueve de</w:t>
      </w:r>
      <w:r w:rsidR="002021A9" w:rsidRPr="00A342CA">
        <w:rPr>
          <w:rFonts w:ascii="Arial" w:eastAsia="Times New Roman" w:hAnsi="Arial" w:cs="Arial"/>
          <w:color w:val="auto"/>
          <w:sz w:val="22"/>
          <w:szCs w:val="22"/>
          <w:lang w:eastAsia="es-MX"/>
        </w:rPr>
        <w:t xml:space="preserve"> abril de dos mil veinticuatro </w:t>
      </w:r>
      <w:r w:rsidR="007D3D64" w:rsidRPr="00A342CA">
        <w:rPr>
          <w:rFonts w:ascii="Arial" w:eastAsia="Times New Roman" w:hAnsi="Arial" w:cs="Arial"/>
          <w:color w:val="auto"/>
          <w:sz w:val="22"/>
          <w:szCs w:val="22"/>
          <w:lang w:eastAsia="es-MX"/>
        </w:rPr>
        <w:t xml:space="preserve">en el </w:t>
      </w:r>
      <w:r w:rsidR="002021A9" w:rsidRPr="00A342CA">
        <w:rPr>
          <w:rFonts w:ascii="Arial" w:eastAsia="Times New Roman" w:hAnsi="Arial" w:cs="Arial"/>
          <w:color w:val="auto"/>
          <w:sz w:val="22"/>
          <w:szCs w:val="22"/>
          <w:lang w:eastAsia="es-MX"/>
        </w:rPr>
        <w:t>presente proc</w:t>
      </w:r>
      <w:r w:rsidR="007D3D64" w:rsidRPr="00A342CA">
        <w:rPr>
          <w:rFonts w:ascii="Arial" w:eastAsia="Times New Roman" w:hAnsi="Arial" w:cs="Arial"/>
          <w:color w:val="auto"/>
          <w:sz w:val="22"/>
          <w:szCs w:val="22"/>
          <w:lang w:eastAsia="es-MX"/>
        </w:rPr>
        <w:t>edimiento, quedando sin efectos la medida de apremio aplicada al ciudadano denunciado.</w:t>
      </w:r>
    </w:p>
    <w:p w:rsidR="004C4B79" w:rsidRPr="00A342CA" w:rsidRDefault="004C4B79"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El cuatro de mayo de </w:t>
      </w:r>
      <w:r w:rsidRPr="00A342CA">
        <w:rPr>
          <w:rFonts w:ascii="Arial" w:hAnsi="Arial" w:cs="Arial"/>
          <w:color w:val="auto"/>
          <w:sz w:val="22"/>
          <w:szCs w:val="22"/>
        </w:rPr>
        <w:t>dos mil veinticuatro</w:t>
      </w:r>
      <w:r w:rsidRPr="00A342CA">
        <w:rPr>
          <w:rFonts w:ascii="Arial" w:eastAsia="Times New Roman" w:hAnsi="Arial" w:cs="Arial"/>
          <w:color w:val="auto"/>
          <w:sz w:val="22"/>
          <w:szCs w:val="22"/>
          <w:lang w:eastAsia="es-MX"/>
        </w:rPr>
        <w:t>, el Tribunal Electoral de Tabasco confirmó el Recurso de Apelación TET-AP-020/2024-II, promovido por Jesús Abraham</w:t>
      </w:r>
      <w:r w:rsidR="002021A9" w:rsidRPr="00A342CA">
        <w:rPr>
          <w:rFonts w:ascii="Arial" w:eastAsia="Times New Roman" w:hAnsi="Arial" w:cs="Arial"/>
          <w:color w:val="auto"/>
          <w:sz w:val="22"/>
          <w:szCs w:val="22"/>
          <w:lang w:eastAsia="es-MX"/>
        </w:rPr>
        <w:t xml:space="preserve"> Cano González, candidato a la p</w:t>
      </w:r>
      <w:r w:rsidRPr="00A342CA">
        <w:rPr>
          <w:rFonts w:ascii="Arial" w:eastAsia="Times New Roman" w:hAnsi="Arial" w:cs="Arial"/>
          <w:color w:val="auto"/>
          <w:sz w:val="22"/>
          <w:szCs w:val="22"/>
          <w:lang w:eastAsia="es-MX"/>
        </w:rPr>
        <w:t>residencia municipal de Cun</w:t>
      </w:r>
      <w:r w:rsidR="002021A9" w:rsidRPr="00A342CA">
        <w:rPr>
          <w:rFonts w:ascii="Arial" w:eastAsia="Times New Roman" w:hAnsi="Arial" w:cs="Arial"/>
          <w:color w:val="auto"/>
          <w:sz w:val="22"/>
          <w:szCs w:val="22"/>
          <w:lang w:eastAsia="es-MX"/>
        </w:rPr>
        <w:t>duacán, Tabasco; en contra del a</w:t>
      </w:r>
      <w:r w:rsidRPr="00A342CA">
        <w:rPr>
          <w:rFonts w:ascii="Arial" w:eastAsia="Times New Roman" w:hAnsi="Arial" w:cs="Arial"/>
          <w:color w:val="auto"/>
          <w:sz w:val="22"/>
          <w:szCs w:val="22"/>
          <w:lang w:eastAsia="es-MX"/>
        </w:rPr>
        <w:t xml:space="preserve">cuerdo de </w:t>
      </w:r>
      <w:proofErr w:type="spellStart"/>
      <w:r w:rsidRPr="00A342CA">
        <w:rPr>
          <w:rFonts w:ascii="Arial" w:eastAsia="Times New Roman" w:hAnsi="Arial" w:cs="Arial"/>
          <w:color w:val="auto"/>
          <w:sz w:val="22"/>
          <w:szCs w:val="22"/>
          <w:lang w:eastAsia="es-MX"/>
        </w:rPr>
        <w:t>desechamiento</w:t>
      </w:r>
      <w:proofErr w:type="spellEnd"/>
      <w:r w:rsidRPr="00A342CA">
        <w:rPr>
          <w:rFonts w:ascii="Arial" w:eastAsia="Times New Roman" w:hAnsi="Arial" w:cs="Arial"/>
          <w:color w:val="auto"/>
          <w:sz w:val="22"/>
          <w:szCs w:val="22"/>
          <w:lang w:eastAsia="es-MX"/>
        </w:rPr>
        <w:t xml:space="preserve"> de diecinueve de abril del presente año emitido por la Secretaría Ejecutiva en el Procedimiento Especial Sancionador PES/017/2024.</w:t>
      </w:r>
    </w:p>
    <w:p w:rsidR="00C47C7C" w:rsidRPr="00A342CA" w:rsidRDefault="00C47C7C"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El diecisiete de mayo de dos mil veinticuatro, el Tribunal Electoral de Tabasco confirmó la resolución impugnada</w:t>
      </w:r>
      <w:r w:rsidR="00A636FC" w:rsidRPr="00A342CA">
        <w:rPr>
          <w:rFonts w:ascii="Arial" w:eastAsia="Times New Roman" w:hAnsi="Arial" w:cs="Arial"/>
          <w:color w:val="auto"/>
          <w:sz w:val="22"/>
          <w:szCs w:val="22"/>
          <w:lang w:eastAsia="es-MX"/>
        </w:rPr>
        <w:t xml:space="preserve"> en el Recurso de Apelación </w:t>
      </w:r>
      <w:r w:rsidRPr="00A342CA">
        <w:rPr>
          <w:rFonts w:ascii="Arial" w:eastAsia="Times New Roman" w:hAnsi="Arial" w:cs="Arial"/>
          <w:color w:val="auto"/>
          <w:sz w:val="22"/>
          <w:szCs w:val="22"/>
          <w:lang w:eastAsia="es-MX"/>
        </w:rPr>
        <w:t>TET-AP-21/2024-I</w:t>
      </w:r>
      <w:r w:rsidR="00A636FC" w:rsidRPr="00A342CA">
        <w:rPr>
          <w:rFonts w:ascii="Arial" w:eastAsia="Times New Roman" w:hAnsi="Arial" w:cs="Arial"/>
          <w:color w:val="auto"/>
          <w:sz w:val="22"/>
          <w:szCs w:val="22"/>
          <w:lang w:eastAsia="es-MX"/>
        </w:rPr>
        <w:t>, promovido por</w:t>
      </w:r>
      <w:r w:rsidRPr="00A342CA">
        <w:rPr>
          <w:rFonts w:ascii="Arial" w:eastAsia="Times New Roman" w:hAnsi="Arial" w:cs="Arial"/>
          <w:color w:val="auto"/>
          <w:sz w:val="22"/>
          <w:szCs w:val="22"/>
          <w:lang w:eastAsia="es-MX"/>
        </w:rPr>
        <w:t xml:space="preserve"> Jorge Orlando Bracamonte Hernández</w:t>
      </w:r>
      <w:r w:rsidR="00A636FC" w:rsidRPr="00A342CA">
        <w:rPr>
          <w:rFonts w:ascii="Arial" w:eastAsia="Times New Roman" w:hAnsi="Arial" w:cs="Arial"/>
          <w:color w:val="auto"/>
          <w:sz w:val="22"/>
          <w:szCs w:val="22"/>
          <w:lang w:eastAsia="es-MX"/>
        </w:rPr>
        <w:t xml:space="preserve">, </w:t>
      </w:r>
      <w:r w:rsidR="005017DA" w:rsidRPr="00A342CA">
        <w:rPr>
          <w:rFonts w:ascii="Arial" w:eastAsia="Times New Roman" w:hAnsi="Arial" w:cs="Arial"/>
          <w:color w:val="auto"/>
          <w:sz w:val="22"/>
          <w:szCs w:val="22"/>
          <w:lang w:eastAsia="es-MX"/>
        </w:rPr>
        <w:t>por la que se declaró la existencia de la vulneración a las normas sobre propaganda electoral atribuida a Jorge Orlando Bracamonte Hernández, Candidato a la Diputación Local por el Distrito 09 y la omisión del deber de cuidado atribuida a los Partidos Políticos Morena y Verde Ecologista de México como integrant</w:t>
      </w:r>
      <w:r w:rsidR="00296E2B" w:rsidRPr="00A342CA">
        <w:rPr>
          <w:rFonts w:ascii="Arial" w:eastAsia="Times New Roman" w:hAnsi="Arial" w:cs="Arial"/>
          <w:color w:val="auto"/>
          <w:sz w:val="22"/>
          <w:szCs w:val="22"/>
          <w:lang w:eastAsia="es-MX"/>
        </w:rPr>
        <w:t>es de la Candidatura Común "En T</w:t>
      </w:r>
      <w:r w:rsidR="005017DA" w:rsidRPr="00A342CA">
        <w:rPr>
          <w:rFonts w:ascii="Arial" w:eastAsia="Times New Roman" w:hAnsi="Arial" w:cs="Arial"/>
          <w:color w:val="auto"/>
          <w:sz w:val="22"/>
          <w:szCs w:val="22"/>
          <w:lang w:eastAsia="es-MX"/>
        </w:rPr>
        <w:t>abasco, seguimos transformando", con motivo del Procedimiento Especial Sancionador PES/009/2024.</w:t>
      </w:r>
    </w:p>
    <w:p w:rsidR="00440D7C" w:rsidRPr="00A342CA" w:rsidRDefault="00440D7C"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El cuatro de mayo de </w:t>
      </w:r>
      <w:r w:rsidRPr="00A342CA">
        <w:rPr>
          <w:rFonts w:ascii="Arial" w:hAnsi="Arial" w:cs="Arial"/>
          <w:color w:val="auto"/>
          <w:sz w:val="22"/>
          <w:szCs w:val="22"/>
        </w:rPr>
        <w:t>dos mil veinticuatro</w:t>
      </w:r>
      <w:r w:rsidRPr="00A342CA">
        <w:rPr>
          <w:rFonts w:ascii="Arial" w:eastAsia="Times New Roman" w:hAnsi="Arial" w:cs="Arial"/>
          <w:color w:val="auto"/>
          <w:sz w:val="22"/>
          <w:szCs w:val="22"/>
          <w:lang w:eastAsia="es-MX"/>
        </w:rPr>
        <w:t xml:space="preserve">, el Tribunal Electoral de Tabasco </w:t>
      </w:r>
      <w:r w:rsidR="006F7129" w:rsidRPr="00A342CA">
        <w:rPr>
          <w:rFonts w:ascii="Arial" w:eastAsia="Times New Roman" w:hAnsi="Arial" w:cs="Arial"/>
          <w:color w:val="auto"/>
          <w:sz w:val="22"/>
          <w:szCs w:val="22"/>
          <w:lang w:eastAsia="es-MX"/>
        </w:rPr>
        <w:t xml:space="preserve">confirmó las medidas cautelares impugnadas en el </w:t>
      </w:r>
      <w:r w:rsidRPr="00A342CA">
        <w:rPr>
          <w:rFonts w:ascii="Arial" w:eastAsia="Times New Roman" w:hAnsi="Arial" w:cs="Arial"/>
          <w:color w:val="auto"/>
          <w:sz w:val="22"/>
          <w:szCs w:val="22"/>
          <w:lang w:eastAsia="es-MX"/>
        </w:rPr>
        <w:t xml:space="preserve">Juicio </w:t>
      </w:r>
      <w:r w:rsidR="006F7129" w:rsidRPr="00A342CA">
        <w:rPr>
          <w:rFonts w:ascii="Arial" w:eastAsia="Times New Roman" w:hAnsi="Arial" w:cs="Arial"/>
          <w:color w:val="auto"/>
          <w:sz w:val="22"/>
          <w:szCs w:val="22"/>
          <w:lang w:eastAsia="es-MX"/>
        </w:rPr>
        <w:t>para la Prote</w:t>
      </w:r>
      <w:r w:rsidR="000A1021" w:rsidRPr="00A342CA">
        <w:rPr>
          <w:rFonts w:ascii="Arial" w:eastAsia="Times New Roman" w:hAnsi="Arial" w:cs="Arial"/>
          <w:color w:val="auto"/>
          <w:sz w:val="22"/>
          <w:szCs w:val="22"/>
          <w:lang w:eastAsia="es-MX"/>
        </w:rPr>
        <w:t>cción de los Derechos Político-</w:t>
      </w:r>
      <w:r w:rsidR="006F7129" w:rsidRPr="00A342CA">
        <w:rPr>
          <w:rFonts w:ascii="Arial" w:eastAsia="Times New Roman" w:hAnsi="Arial" w:cs="Arial"/>
          <w:color w:val="auto"/>
          <w:sz w:val="22"/>
          <w:szCs w:val="22"/>
          <w:lang w:eastAsia="es-MX"/>
        </w:rPr>
        <w:t>Electorales de la Ciudadanía TET-JDC-028/2024-I</w:t>
      </w:r>
      <w:r w:rsidRPr="00A342CA">
        <w:rPr>
          <w:rFonts w:ascii="Arial" w:eastAsia="Times New Roman" w:hAnsi="Arial" w:cs="Arial"/>
          <w:color w:val="auto"/>
          <w:sz w:val="22"/>
          <w:szCs w:val="22"/>
          <w:lang w:eastAsia="es-MX"/>
        </w:rPr>
        <w:t xml:space="preserve">, promovido por Jesús </w:t>
      </w:r>
      <w:r w:rsidRPr="00A342CA">
        <w:rPr>
          <w:rFonts w:ascii="Arial" w:eastAsia="Times New Roman" w:hAnsi="Arial" w:cs="Arial"/>
          <w:color w:val="auto"/>
          <w:sz w:val="22"/>
          <w:szCs w:val="22"/>
          <w:lang w:eastAsia="es-MX"/>
        </w:rPr>
        <w:lastRenderedPageBreak/>
        <w:t>Abraham Cano González, candidato a la Presidencia municipal de Cunduacán, Tabasco; en contra de las Medidas Cautelares dictadas en el Procedimiento Especial Sancionador PES/010/2024.</w:t>
      </w:r>
    </w:p>
    <w:p w:rsidR="00582315" w:rsidRPr="00A342CA" w:rsidRDefault="00EB5A01" w:rsidP="00DB5135">
      <w:pPr>
        <w:pStyle w:val="Prrafodelista"/>
        <w:numPr>
          <w:ilvl w:val="2"/>
          <w:numId w:val="7"/>
        </w:numPr>
        <w:spacing w:before="240" w:after="160" w:line="240" w:lineRule="auto"/>
        <w:jc w:val="both"/>
        <w:rPr>
          <w:rStyle w:val="textomasactos0"/>
          <w:rFonts w:ascii="Arial" w:eastAsia="Times New Roman" w:hAnsi="Arial" w:cs="Arial"/>
          <w:color w:val="auto"/>
          <w:sz w:val="22"/>
          <w:szCs w:val="22"/>
          <w:lang w:eastAsia="es-MX"/>
        </w:rPr>
      </w:pPr>
      <w:r w:rsidRPr="00A342CA">
        <w:rPr>
          <w:rFonts w:ascii="Arial" w:hAnsi="Arial" w:cs="Arial"/>
          <w:color w:val="auto"/>
          <w:sz w:val="22"/>
          <w:szCs w:val="22"/>
          <w:shd w:val="clear" w:color="auto" w:fill="FFFFFF"/>
        </w:rPr>
        <w:t>E</w:t>
      </w:r>
      <w:r w:rsidR="00582315" w:rsidRPr="00A342CA">
        <w:rPr>
          <w:rFonts w:ascii="Arial" w:hAnsi="Arial" w:cs="Arial"/>
          <w:color w:val="auto"/>
          <w:sz w:val="22"/>
          <w:szCs w:val="22"/>
          <w:shd w:val="clear" w:color="auto" w:fill="FFFFFF"/>
        </w:rPr>
        <w:t xml:space="preserve">l </w:t>
      </w:r>
      <w:r w:rsidRPr="00A342CA">
        <w:rPr>
          <w:rFonts w:ascii="Arial" w:hAnsi="Arial" w:cs="Arial"/>
          <w:color w:val="auto"/>
          <w:sz w:val="22"/>
          <w:szCs w:val="22"/>
          <w:shd w:val="clear" w:color="auto" w:fill="FFFFFF"/>
        </w:rPr>
        <w:t xml:space="preserve">diecisiete de mayo de dos mil veinticuatro, el </w:t>
      </w:r>
      <w:r w:rsidR="00582315" w:rsidRPr="00A342CA">
        <w:rPr>
          <w:rFonts w:ascii="Arial" w:hAnsi="Arial" w:cs="Arial"/>
          <w:color w:val="auto"/>
          <w:sz w:val="22"/>
          <w:szCs w:val="22"/>
          <w:shd w:val="clear" w:color="auto" w:fill="FFFFFF"/>
        </w:rPr>
        <w:t xml:space="preserve">Tribunal Electoral de Tabasco, </w:t>
      </w:r>
      <w:r w:rsidR="00FD3ECA" w:rsidRPr="00A342CA">
        <w:rPr>
          <w:rFonts w:ascii="Arial" w:hAnsi="Arial" w:cs="Arial"/>
          <w:color w:val="auto"/>
          <w:sz w:val="22"/>
          <w:szCs w:val="22"/>
          <w:shd w:val="clear" w:color="auto" w:fill="FFFFFF"/>
        </w:rPr>
        <w:t>resolvió</w:t>
      </w:r>
      <w:r w:rsidR="00972FC1" w:rsidRPr="00A342CA">
        <w:rPr>
          <w:rFonts w:ascii="Arial" w:hAnsi="Arial" w:cs="Arial"/>
          <w:color w:val="auto"/>
          <w:sz w:val="22"/>
          <w:szCs w:val="22"/>
          <w:shd w:val="clear" w:color="auto" w:fill="FFFFFF"/>
        </w:rPr>
        <w:t xml:space="preserve"> los Recursos de Apelación </w:t>
      </w:r>
      <w:r w:rsidR="00582315" w:rsidRPr="00A342CA">
        <w:rPr>
          <w:rStyle w:val="textomasactos0"/>
          <w:rFonts w:ascii="Arial" w:hAnsi="Arial" w:cs="Arial"/>
          <w:color w:val="auto"/>
          <w:sz w:val="22"/>
          <w:szCs w:val="22"/>
          <w:shd w:val="clear" w:color="auto" w:fill="FFFFFF"/>
        </w:rPr>
        <w:t>en los expedientes TET-AP-23/2024-III y acumulados TET-AP-24/202</w:t>
      </w:r>
      <w:r w:rsidR="00FD3ECA" w:rsidRPr="00A342CA">
        <w:rPr>
          <w:rStyle w:val="textomasactos0"/>
          <w:rFonts w:ascii="Arial" w:hAnsi="Arial" w:cs="Arial"/>
          <w:color w:val="auto"/>
          <w:sz w:val="22"/>
          <w:szCs w:val="22"/>
          <w:shd w:val="clear" w:color="auto" w:fill="FFFFFF"/>
        </w:rPr>
        <w:t xml:space="preserve">4-III, TET-AP-25/2024-III, que </w:t>
      </w:r>
      <w:r w:rsidR="00582315" w:rsidRPr="00A342CA">
        <w:rPr>
          <w:rStyle w:val="textomasactos0"/>
          <w:rFonts w:ascii="Arial" w:hAnsi="Arial" w:cs="Arial"/>
          <w:color w:val="auto"/>
          <w:sz w:val="22"/>
          <w:szCs w:val="22"/>
          <w:shd w:val="clear" w:color="auto" w:fill="FFFFFF"/>
        </w:rPr>
        <w:t>entre otras cuestiones, confirmó el acuerdo CE/2024/058 del pasado veintinueve de abril, emitido por el Consejo Estatal del Instituto Electoral y de Participación Ciudadana de la aludida entidad, que a propuesta de la comisión permanente de igualdad de género y no discriminación emite el referido Conse</w:t>
      </w:r>
      <w:r w:rsidR="00B80AD0" w:rsidRPr="00A342CA">
        <w:rPr>
          <w:rStyle w:val="textomasactos0"/>
          <w:rFonts w:ascii="Arial" w:hAnsi="Arial" w:cs="Arial"/>
          <w:color w:val="auto"/>
          <w:sz w:val="22"/>
          <w:szCs w:val="22"/>
          <w:shd w:val="clear" w:color="auto" w:fill="FFFFFF"/>
        </w:rPr>
        <w:t>jo, mediante el cual se aprobaron</w:t>
      </w:r>
      <w:r w:rsidR="00582315" w:rsidRPr="00A342CA">
        <w:rPr>
          <w:rStyle w:val="textomasactos0"/>
          <w:rFonts w:ascii="Arial" w:hAnsi="Arial" w:cs="Arial"/>
          <w:color w:val="auto"/>
          <w:sz w:val="22"/>
          <w:szCs w:val="22"/>
          <w:shd w:val="clear" w:color="auto" w:fill="FFFFFF"/>
        </w:rPr>
        <w:t xml:space="preserve"> los lineamientos para garantizar el cumplimiento del principio de paridad de género y no discriminación en la designación de las diputaciones que integraran la legislatura local y las regidurías que conformaran los ayuntamientos del aludido Estado, por el principio de representación proporcional para el proceso electoral Local Ordinario 2023-2024</w:t>
      </w:r>
      <w:r w:rsidR="00FD3ECA" w:rsidRPr="00A342CA">
        <w:rPr>
          <w:rStyle w:val="textomasactos0"/>
          <w:rFonts w:ascii="Arial" w:hAnsi="Arial" w:cs="Arial"/>
          <w:color w:val="auto"/>
          <w:sz w:val="22"/>
          <w:szCs w:val="22"/>
          <w:shd w:val="clear" w:color="auto" w:fill="FFFFFF"/>
        </w:rPr>
        <w:t>.</w:t>
      </w:r>
    </w:p>
    <w:p w:rsidR="00DE5C80" w:rsidRPr="00A342CA" w:rsidRDefault="009D341C"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Style w:val="textomasactos0"/>
          <w:rFonts w:ascii="Arial" w:hAnsi="Arial" w:cs="Arial"/>
          <w:color w:val="auto"/>
          <w:sz w:val="22"/>
          <w:szCs w:val="22"/>
          <w:shd w:val="clear" w:color="auto" w:fill="FFFFFF"/>
        </w:rPr>
        <w:t xml:space="preserve">El diecisiete de mayo de dos mil veinticuatro, </w:t>
      </w:r>
      <w:r w:rsidRPr="00A342CA">
        <w:rPr>
          <w:rFonts w:ascii="Arial" w:hAnsi="Arial" w:cs="Arial"/>
          <w:color w:val="auto"/>
          <w:sz w:val="22"/>
          <w:szCs w:val="22"/>
        </w:rPr>
        <w:t xml:space="preserve">el Tribunal Electoral de Tabasco confirmó la resolución impugnada en el </w:t>
      </w:r>
      <w:r w:rsidRPr="00A342CA">
        <w:rPr>
          <w:rStyle w:val="textomasactos0"/>
          <w:rFonts w:ascii="Arial" w:hAnsi="Arial" w:cs="Arial"/>
          <w:color w:val="auto"/>
          <w:sz w:val="22"/>
          <w:szCs w:val="22"/>
          <w:shd w:val="clear" w:color="auto" w:fill="FFFFFF"/>
        </w:rPr>
        <w:t xml:space="preserve">Recurso de Apelación TET-AP-22/2024-III, promovido por el Partido Movimiento Ciudadano, a través de su Consejero Representante ante el Consejo Estatal del IEPCT, en contra de la resolución que, a propuesta de la Secretaría Ejecutiva, emite el Consejo Estatal del Instituto Electoral y de Participación Ciudadana de Tabasco, por la que se declaró la existencia de la vulneración a las normas en materia de propaganda electoral y actos anticipados de campaña atribuidos a Karla María </w:t>
      </w:r>
      <w:proofErr w:type="spellStart"/>
      <w:r w:rsidRPr="00A342CA">
        <w:rPr>
          <w:rStyle w:val="textomasactos0"/>
          <w:rFonts w:ascii="Arial" w:hAnsi="Arial" w:cs="Arial"/>
          <w:color w:val="auto"/>
          <w:sz w:val="22"/>
          <w:szCs w:val="22"/>
          <w:shd w:val="clear" w:color="auto" w:fill="FFFFFF"/>
        </w:rPr>
        <w:t>Rabelo</w:t>
      </w:r>
      <w:proofErr w:type="spellEnd"/>
      <w:r w:rsidRPr="00A342CA">
        <w:rPr>
          <w:rStyle w:val="textomasactos0"/>
          <w:rFonts w:ascii="Arial" w:hAnsi="Arial" w:cs="Arial"/>
          <w:color w:val="auto"/>
          <w:sz w:val="22"/>
          <w:szCs w:val="22"/>
          <w:shd w:val="clear" w:color="auto" w:fill="FFFFFF"/>
        </w:rPr>
        <w:t xml:space="preserve"> Estrada; así como la existencia en la omisión en el deber de cuidado atribuida al Partido Movimiento Ciudadano con motivo del Procedimiento Especial Sancionador PES/005/2024 y su acumulado PES/006/2024.</w:t>
      </w:r>
    </w:p>
    <w:p w:rsidR="002C7A43" w:rsidRPr="00A342CA" w:rsidRDefault="002C7A43" w:rsidP="00DB5135">
      <w:pPr>
        <w:pStyle w:val="Prrafodelista"/>
        <w:numPr>
          <w:ilvl w:val="1"/>
          <w:numId w:val="7"/>
        </w:numPr>
        <w:spacing w:before="240" w:after="160" w:line="240" w:lineRule="auto"/>
        <w:jc w:val="both"/>
        <w:rPr>
          <w:rFonts w:ascii="Arial" w:hAnsi="Arial" w:cs="Arial"/>
          <w:b/>
          <w:color w:val="auto"/>
          <w:sz w:val="22"/>
          <w:szCs w:val="22"/>
          <w:shd w:val="clear" w:color="auto" w:fill="FFFFFF"/>
        </w:rPr>
      </w:pPr>
      <w:r w:rsidRPr="00A342CA">
        <w:rPr>
          <w:rFonts w:ascii="Arial" w:hAnsi="Arial" w:cs="Arial"/>
          <w:b/>
          <w:color w:val="auto"/>
          <w:sz w:val="22"/>
          <w:szCs w:val="22"/>
          <w:shd w:val="clear" w:color="auto" w:fill="FFFFFF"/>
        </w:rPr>
        <w:t>Ante la Sala</w:t>
      </w:r>
      <w:r w:rsidR="00DA7846" w:rsidRPr="00A342CA">
        <w:rPr>
          <w:rFonts w:ascii="Arial" w:hAnsi="Arial" w:cs="Arial"/>
          <w:b/>
          <w:color w:val="auto"/>
          <w:sz w:val="22"/>
          <w:szCs w:val="22"/>
          <w:shd w:val="clear" w:color="auto" w:fill="FFFFFF"/>
        </w:rPr>
        <w:t xml:space="preserve"> Regional </w:t>
      </w:r>
      <w:r w:rsidRPr="00A342CA">
        <w:rPr>
          <w:rFonts w:ascii="Arial" w:hAnsi="Arial" w:cs="Arial"/>
          <w:b/>
          <w:color w:val="auto"/>
          <w:sz w:val="22"/>
          <w:szCs w:val="22"/>
          <w:shd w:val="clear" w:color="auto" w:fill="FFFFFF"/>
        </w:rPr>
        <w:t xml:space="preserve">Xalapa </w:t>
      </w:r>
    </w:p>
    <w:p w:rsidR="00DA7846" w:rsidRPr="00A342CA" w:rsidRDefault="00DA7846"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El veintiuno de mayo de </w:t>
      </w:r>
      <w:r w:rsidRPr="00A342CA">
        <w:rPr>
          <w:rFonts w:ascii="Arial" w:hAnsi="Arial" w:cs="Arial"/>
          <w:color w:val="auto"/>
          <w:sz w:val="22"/>
          <w:szCs w:val="22"/>
        </w:rPr>
        <w:t>dos mil veinticuatro</w:t>
      </w:r>
      <w:r w:rsidRPr="00A342CA">
        <w:rPr>
          <w:rFonts w:ascii="Arial" w:eastAsia="Times New Roman" w:hAnsi="Arial" w:cs="Arial"/>
          <w:color w:val="auto"/>
          <w:sz w:val="22"/>
          <w:szCs w:val="22"/>
          <w:lang w:eastAsia="es-MX"/>
        </w:rPr>
        <w:t>, la Sala Regional Xalapa confirmó la</w:t>
      </w:r>
      <w:r w:rsidR="001A0208" w:rsidRPr="00A342CA">
        <w:rPr>
          <w:rFonts w:ascii="Arial" w:eastAsia="Times New Roman" w:hAnsi="Arial" w:cs="Arial"/>
          <w:color w:val="auto"/>
          <w:sz w:val="22"/>
          <w:szCs w:val="22"/>
          <w:lang w:eastAsia="es-MX"/>
        </w:rPr>
        <w:t xml:space="preserve"> resolución </w:t>
      </w:r>
      <w:r w:rsidRPr="00A342CA">
        <w:rPr>
          <w:rFonts w:ascii="Arial" w:eastAsia="Times New Roman" w:hAnsi="Arial" w:cs="Arial"/>
          <w:color w:val="auto"/>
          <w:sz w:val="22"/>
          <w:szCs w:val="22"/>
          <w:lang w:eastAsia="es-MX"/>
        </w:rPr>
        <w:t xml:space="preserve">en el Juicio </w:t>
      </w:r>
      <w:r w:rsidR="00B742CD" w:rsidRPr="00A342CA">
        <w:rPr>
          <w:rFonts w:ascii="Arial" w:eastAsia="Times New Roman" w:hAnsi="Arial" w:cs="Arial"/>
          <w:color w:val="auto"/>
          <w:sz w:val="22"/>
          <w:szCs w:val="22"/>
          <w:lang w:eastAsia="es-MX"/>
        </w:rPr>
        <w:t xml:space="preserve">Electoral </w:t>
      </w:r>
      <w:r w:rsidR="002418F3" w:rsidRPr="00A342CA">
        <w:rPr>
          <w:rFonts w:ascii="Arial" w:eastAsia="Times New Roman" w:hAnsi="Arial" w:cs="Arial"/>
          <w:color w:val="auto"/>
          <w:sz w:val="22"/>
          <w:szCs w:val="22"/>
          <w:lang w:eastAsia="es-MX"/>
        </w:rPr>
        <w:t>SX-JE-89/2024</w:t>
      </w:r>
      <w:r w:rsidRPr="00A342CA">
        <w:rPr>
          <w:rFonts w:ascii="Arial" w:eastAsia="Times New Roman" w:hAnsi="Arial" w:cs="Arial"/>
          <w:color w:val="auto"/>
          <w:sz w:val="22"/>
          <w:szCs w:val="22"/>
          <w:lang w:eastAsia="es-MX"/>
        </w:rPr>
        <w:t>, promovido por Jesús Abraham Cano González, candidato a la Presidencia municipal de Cunduacán, Tabasco; en contra</w:t>
      </w:r>
      <w:r w:rsidR="002418F3" w:rsidRPr="00A342CA">
        <w:rPr>
          <w:rFonts w:ascii="Arial" w:eastAsia="Times New Roman" w:hAnsi="Arial" w:cs="Arial"/>
          <w:color w:val="auto"/>
          <w:sz w:val="22"/>
          <w:szCs w:val="22"/>
          <w:lang w:eastAsia="es-MX"/>
        </w:rPr>
        <w:t xml:space="preserve"> de la resolución dictada el cuatro de mayo por el Tribunal Electoral de Tabasco en el expediente TET-JDC-028/2024-I, que a su vez confirmó </w:t>
      </w:r>
      <w:r w:rsidRPr="00A342CA">
        <w:rPr>
          <w:rFonts w:ascii="Arial" w:eastAsia="Times New Roman" w:hAnsi="Arial" w:cs="Arial"/>
          <w:color w:val="auto"/>
          <w:sz w:val="22"/>
          <w:szCs w:val="22"/>
          <w:lang w:eastAsia="es-MX"/>
        </w:rPr>
        <w:t>las Medidas Cautelares dictadas en el Procedimiento Especia</w:t>
      </w:r>
      <w:r w:rsidR="00B742CD" w:rsidRPr="00A342CA">
        <w:rPr>
          <w:rFonts w:ascii="Arial" w:eastAsia="Times New Roman" w:hAnsi="Arial" w:cs="Arial"/>
          <w:color w:val="auto"/>
          <w:sz w:val="22"/>
          <w:szCs w:val="22"/>
          <w:lang w:eastAsia="es-MX"/>
        </w:rPr>
        <w:t>l Sancionador PES/010/2024</w:t>
      </w:r>
      <w:r w:rsidR="001A0208" w:rsidRPr="00A342CA">
        <w:rPr>
          <w:rFonts w:ascii="Arial" w:eastAsia="Times New Roman" w:hAnsi="Arial" w:cs="Arial"/>
          <w:color w:val="auto"/>
          <w:sz w:val="22"/>
          <w:szCs w:val="22"/>
          <w:lang w:eastAsia="es-MX"/>
        </w:rPr>
        <w:t>.</w:t>
      </w:r>
    </w:p>
    <w:p w:rsidR="00DA7846" w:rsidRPr="00A342CA" w:rsidRDefault="001A0208" w:rsidP="00DB5135">
      <w:pPr>
        <w:pStyle w:val="Prrafodelista"/>
        <w:numPr>
          <w:ilvl w:val="2"/>
          <w:numId w:val="7"/>
        </w:numPr>
        <w:spacing w:before="240" w:after="160" w:line="240" w:lineRule="auto"/>
        <w:jc w:val="both"/>
        <w:rPr>
          <w:rFonts w:ascii="Arial" w:eastAsia="Times New Roman" w:hAnsi="Arial" w:cs="Arial"/>
          <w:color w:val="auto"/>
          <w:sz w:val="22"/>
          <w:szCs w:val="22"/>
          <w:lang w:eastAsia="es-MX"/>
        </w:rPr>
      </w:pPr>
      <w:r w:rsidRPr="00A342CA">
        <w:rPr>
          <w:rFonts w:ascii="Arial" w:eastAsia="Times New Roman" w:hAnsi="Arial" w:cs="Arial"/>
          <w:color w:val="auto"/>
          <w:sz w:val="22"/>
          <w:szCs w:val="22"/>
          <w:lang w:eastAsia="es-MX"/>
        </w:rPr>
        <w:t xml:space="preserve">El veintiuno de mayo de </w:t>
      </w:r>
      <w:r w:rsidRPr="00A342CA">
        <w:rPr>
          <w:rFonts w:ascii="Arial" w:hAnsi="Arial" w:cs="Arial"/>
          <w:color w:val="auto"/>
          <w:sz w:val="22"/>
          <w:szCs w:val="22"/>
        </w:rPr>
        <w:t>dos mil veinticuatro</w:t>
      </w:r>
      <w:r w:rsidRPr="00A342CA">
        <w:rPr>
          <w:rFonts w:ascii="Arial" w:eastAsia="Times New Roman" w:hAnsi="Arial" w:cs="Arial"/>
          <w:color w:val="auto"/>
          <w:sz w:val="22"/>
          <w:szCs w:val="22"/>
          <w:lang w:eastAsia="es-MX"/>
        </w:rPr>
        <w:t>, la Sala Regional Xalapa confirmó la resolución en el Juicio Electoral SX-JE-</w:t>
      </w:r>
      <w:r w:rsidR="00283EE3" w:rsidRPr="00A342CA">
        <w:rPr>
          <w:rFonts w:ascii="Arial" w:eastAsia="Times New Roman" w:hAnsi="Arial" w:cs="Arial"/>
          <w:color w:val="auto"/>
          <w:sz w:val="22"/>
          <w:szCs w:val="22"/>
          <w:lang w:eastAsia="es-MX"/>
        </w:rPr>
        <w:t>90</w:t>
      </w:r>
      <w:r w:rsidRPr="00A342CA">
        <w:rPr>
          <w:rFonts w:ascii="Arial" w:eastAsia="Times New Roman" w:hAnsi="Arial" w:cs="Arial"/>
          <w:color w:val="auto"/>
          <w:sz w:val="22"/>
          <w:szCs w:val="22"/>
          <w:lang w:eastAsia="es-MX"/>
        </w:rPr>
        <w:t>/2024, promovido por Jesús Abraham Cano González, candidato a la Presidencia municipal de Cunduacán, Tabasco; en contra</w:t>
      </w:r>
      <w:r w:rsidR="00283EE3" w:rsidRPr="00A342CA">
        <w:rPr>
          <w:rFonts w:ascii="Arial" w:eastAsia="Times New Roman" w:hAnsi="Arial" w:cs="Arial"/>
          <w:color w:val="auto"/>
          <w:sz w:val="22"/>
          <w:szCs w:val="22"/>
          <w:lang w:eastAsia="es-MX"/>
        </w:rPr>
        <w:t xml:space="preserve"> de la resolución dictada en cuatro de mayo por el Tribunal Electoral de Tabasco en el Recurso de Apelación TET-AP-020/2024-II, que a su vez confirmó </w:t>
      </w:r>
      <w:r w:rsidRPr="00A342CA">
        <w:rPr>
          <w:rFonts w:ascii="Arial" w:eastAsia="Times New Roman" w:hAnsi="Arial" w:cs="Arial"/>
          <w:color w:val="auto"/>
          <w:sz w:val="22"/>
          <w:szCs w:val="22"/>
          <w:lang w:eastAsia="es-MX"/>
        </w:rPr>
        <w:t xml:space="preserve">del Acuerdo de </w:t>
      </w:r>
      <w:proofErr w:type="spellStart"/>
      <w:r w:rsidRPr="00A342CA">
        <w:rPr>
          <w:rFonts w:ascii="Arial" w:eastAsia="Times New Roman" w:hAnsi="Arial" w:cs="Arial"/>
          <w:color w:val="auto"/>
          <w:sz w:val="22"/>
          <w:szCs w:val="22"/>
          <w:lang w:eastAsia="es-MX"/>
        </w:rPr>
        <w:t>desechamiento</w:t>
      </w:r>
      <w:proofErr w:type="spellEnd"/>
      <w:r w:rsidRPr="00A342CA">
        <w:rPr>
          <w:rFonts w:ascii="Arial" w:eastAsia="Times New Roman" w:hAnsi="Arial" w:cs="Arial"/>
          <w:color w:val="auto"/>
          <w:sz w:val="22"/>
          <w:szCs w:val="22"/>
          <w:lang w:eastAsia="es-MX"/>
        </w:rPr>
        <w:t xml:space="preserve"> de diecinueve de abril del presente año emitido por la </w:t>
      </w:r>
      <w:r w:rsidR="00283EE3" w:rsidRPr="00A342CA">
        <w:rPr>
          <w:rFonts w:ascii="Arial" w:eastAsia="Times New Roman" w:hAnsi="Arial" w:cs="Arial"/>
          <w:color w:val="auto"/>
          <w:sz w:val="22"/>
          <w:szCs w:val="22"/>
          <w:lang w:eastAsia="es-MX"/>
        </w:rPr>
        <w:t>Secretarí</w:t>
      </w:r>
      <w:r w:rsidRPr="00A342CA">
        <w:rPr>
          <w:rFonts w:ascii="Arial" w:eastAsia="Times New Roman" w:hAnsi="Arial" w:cs="Arial"/>
          <w:color w:val="auto"/>
          <w:sz w:val="22"/>
          <w:szCs w:val="22"/>
          <w:lang w:eastAsia="es-MX"/>
        </w:rPr>
        <w:t>a Ejecutiva en el Procedimiento Especial Sancionador PES/017/2024.</w:t>
      </w:r>
    </w:p>
    <w:p w:rsidR="00DE5C80" w:rsidRPr="00A342CA" w:rsidRDefault="00F54CBE" w:rsidP="00FF71AC">
      <w:pPr>
        <w:pStyle w:val="Prrafodelista"/>
        <w:numPr>
          <w:ilvl w:val="2"/>
          <w:numId w:val="7"/>
        </w:numPr>
        <w:spacing w:before="240" w:after="160" w:line="240" w:lineRule="auto"/>
        <w:jc w:val="both"/>
        <w:rPr>
          <w:rFonts w:ascii="Arial" w:eastAsia="Times New Roman" w:hAnsi="Arial" w:cs="Arial"/>
          <w:color w:val="auto"/>
          <w:sz w:val="22"/>
          <w:szCs w:val="20"/>
          <w:lang w:eastAsia="es-MX"/>
        </w:rPr>
      </w:pPr>
      <w:r w:rsidRPr="00A342CA">
        <w:rPr>
          <w:rFonts w:ascii="Arial" w:eastAsia="Times New Roman" w:hAnsi="Arial" w:cs="Arial"/>
          <w:color w:val="auto"/>
          <w:sz w:val="22"/>
          <w:szCs w:val="20"/>
          <w:lang w:eastAsia="es-MX"/>
        </w:rPr>
        <w:lastRenderedPageBreak/>
        <w:t>El doce de mayo de dos mil veinticuatro</w:t>
      </w:r>
      <w:r w:rsidR="00F04B6F" w:rsidRPr="00A342CA">
        <w:rPr>
          <w:rFonts w:ascii="Arial" w:eastAsia="Times New Roman" w:hAnsi="Arial" w:cs="Arial"/>
          <w:color w:val="auto"/>
          <w:sz w:val="22"/>
          <w:szCs w:val="20"/>
          <w:lang w:eastAsia="es-MX"/>
        </w:rPr>
        <w:t>,</w:t>
      </w:r>
      <w:r w:rsidRPr="00A342CA">
        <w:rPr>
          <w:rFonts w:ascii="Arial" w:eastAsia="Times New Roman" w:hAnsi="Arial" w:cs="Arial"/>
          <w:color w:val="auto"/>
          <w:sz w:val="22"/>
          <w:szCs w:val="20"/>
          <w:lang w:eastAsia="es-MX"/>
        </w:rPr>
        <w:t xml:space="preserve"> la Sala Regional Xalapa</w:t>
      </w:r>
      <w:r w:rsidR="00F04B6F" w:rsidRPr="00A342CA">
        <w:rPr>
          <w:rFonts w:ascii="Arial" w:eastAsia="Times New Roman" w:hAnsi="Arial" w:cs="Arial"/>
          <w:color w:val="auto"/>
          <w:sz w:val="22"/>
          <w:szCs w:val="20"/>
          <w:lang w:eastAsia="es-MX"/>
        </w:rPr>
        <w:t xml:space="preserve"> </w:t>
      </w:r>
      <w:r w:rsidRPr="00A342CA">
        <w:rPr>
          <w:rFonts w:ascii="Arial" w:eastAsia="Times New Roman" w:hAnsi="Arial" w:cs="Arial"/>
          <w:color w:val="auto"/>
          <w:sz w:val="22"/>
          <w:szCs w:val="20"/>
          <w:lang w:eastAsia="es-MX"/>
        </w:rPr>
        <w:t xml:space="preserve"> </w:t>
      </w:r>
      <w:r w:rsidR="00F04B6F" w:rsidRPr="00A342CA">
        <w:rPr>
          <w:rFonts w:ascii="Arial" w:eastAsia="Times New Roman" w:hAnsi="Arial" w:cs="Arial"/>
          <w:color w:val="auto"/>
          <w:sz w:val="22"/>
          <w:szCs w:val="20"/>
          <w:lang w:eastAsia="es-MX"/>
        </w:rPr>
        <w:t xml:space="preserve">resolvió el Juicio para la Protección de los Derechos Político-Electorales de la Ciudadanía </w:t>
      </w:r>
      <w:r w:rsidR="00983B96" w:rsidRPr="00A342CA">
        <w:rPr>
          <w:rFonts w:ascii="Arial" w:eastAsia="Times New Roman" w:hAnsi="Arial" w:cs="Arial"/>
          <w:color w:val="auto"/>
          <w:sz w:val="22"/>
          <w:szCs w:val="20"/>
          <w:lang w:eastAsia="es-MX"/>
        </w:rPr>
        <w:t>SX-JDC-419/2024</w:t>
      </w:r>
      <w:r w:rsidR="00F04B6F" w:rsidRPr="00A342CA">
        <w:rPr>
          <w:rFonts w:ascii="Arial" w:eastAsia="Times New Roman" w:hAnsi="Arial" w:cs="Arial"/>
          <w:color w:val="auto"/>
          <w:sz w:val="22"/>
          <w:szCs w:val="20"/>
          <w:lang w:eastAsia="es-MX"/>
        </w:rPr>
        <w:t xml:space="preserve">, promovido por </w:t>
      </w:r>
      <w:proofErr w:type="spellStart"/>
      <w:r w:rsidR="00F04B6F" w:rsidRPr="00A342CA">
        <w:rPr>
          <w:rFonts w:ascii="Arial" w:eastAsia="Times New Roman" w:hAnsi="Arial" w:cs="Arial"/>
          <w:color w:val="auto"/>
          <w:sz w:val="22"/>
          <w:szCs w:val="20"/>
          <w:lang w:eastAsia="es-MX"/>
        </w:rPr>
        <w:t>Mathiel</w:t>
      </w:r>
      <w:proofErr w:type="spellEnd"/>
      <w:r w:rsidR="00F04B6F" w:rsidRPr="00A342CA">
        <w:rPr>
          <w:rFonts w:ascii="Arial" w:eastAsia="Times New Roman" w:hAnsi="Arial" w:cs="Arial"/>
          <w:color w:val="auto"/>
          <w:sz w:val="22"/>
          <w:szCs w:val="20"/>
          <w:lang w:eastAsia="es-MX"/>
        </w:rPr>
        <w:t xml:space="preserve"> Álvaro Ramírez Mendoza</w:t>
      </w:r>
      <w:r w:rsidR="00E71593" w:rsidRPr="00A342CA">
        <w:rPr>
          <w:rFonts w:ascii="Arial" w:eastAsia="Times New Roman" w:hAnsi="Arial" w:cs="Arial"/>
          <w:color w:val="auto"/>
          <w:sz w:val="22"/>
          <w:szCs w:val="20"/>
          <w:lang w:eastAsia="es-MX"/>
        </w:rPr>
        <w:t>,</w:t>
      </w:r>
      <w:r w:rsidR="00F04B6F" w:rsidRPr="00A342CA">
        <w:rPr>
          <w:rFonts w:ascii="Arial" w:eastAsia="Times New Roman" w:hAnsi="Arial" w:cs="Arial"/>
          <w:color w:val="auto"/>
          <w:sz w:val="22"/>
          <w:szCs w:val="20"/>
          <w:lang w:eastAsia="es-MX"/>
        </w:rPr>
        <w:t xml:space="preserve"> en contra de </w:t>
      </w:r>
      <w:r w:rsidR="00F04B6F" w:rsidRPr="00A342CA">
        <w:rPr>
          <w:rFonts w:ascii="Arial" w:hAnsi="Arial" w:cs="Arial"/>
          <w:color w:val="auto"/>
          <w:sz w:val="22"/>
          <w:szCs w:val="20"/>
        </w:rPr>
        <w:t xml:space="preserve">la resolución CNHJ-TAB-519/2024 emitida el pasado cinco de mayo por la Comisión Nacional de Honestidad y Justicia de MORENA, que declaró infundados, inoperantes e ineficaces los agravios hechos valer por el hoy actor, en contra de los registros aprobados para el proceso de selección de MORENA </w:t>
      </w:r>
      <w:r w:rsidR="00E71593" w:rsidRPr="00A342CA">
        <w:rPr>
          <w:rFonts w:ascii="Arial" w:hAnsi="Arial" w:cs="Arial"/>
          <w:color w:val="auto"/>
          <w:sz w:val="22"/>
          <w:szCs w:val="20"/>
        </w:rPr>
        <w:t>p</w:t>
      </w:r>
      <w:r w:rsidR="00F04B6F" w:rsidRPr="00A342CA">
        <w:rPr>
          <w:rFonts w:ascii="Arial" w:hAnsi="Arial" w:cs="Arial"/>
          <w:color w:val="auto"/>
          <w:sz w:val="22"/>
          <w:szCs w:val="20"/>
        </w:rPr>
        <w:t xml:space="preserve">ara las candidaturas a diputaciones locales por el principio de mayoría relativa, en el estado de Tabasco, para el proceso electoral local 2023-2024, por el supuesto incumplimiento al principio de paridad y acciones afirmativas; en particular, respecto de la candidatura para diputación local por el principio de mayoría relativa correspondiente al Distrito V.  Declarando improcedente el juicio ciudadano promovido por la parte </w:t>
      </w:r>
      <w:proofErr w:type="spellStart"/>
      <w:r w:rsidR="00F04B6F" w:rsidRPr="00A342CA">
        <w:rPr>
          <w:rFonts w:ascii="Arial" w:hAnsi="Arial" w:cs="Arial"/>
          <w:color w:val="auto"/>
          <w:sz w:val="22"/>
          <w:szCs w:val="20"/>
        </w:rPr>
        <w:t>promovente</w:t>
      </w:r>
      <w:proofErr w:type="spellEnd"/>
      <w:r w:rsidR="00F04B6F" w:rsidRPr="00A342CA">
        <w:rPr>
          <w:rFonts w:ascii="Arial" w:hAnsi="Arial" w:cs="Arial"/>
          <w:color w:val="auto"/>
          <w:sz w:val="22"/>
          <w:szCs w:val="20"/>
        </w:rPr>
        <w:t xml:space="preserve">, toda vez que el acto impugnado carece de </w:t>
      </w:r>
      <w:proofErr w:type="spellStart"/>
      <w:r w:rsidR="00F04B6F" w:rsidRPr="00A342CA">
        <w:rPr>
          <w:rFonts w:ascii="Arial" w:hAnsi="Arial" w:cs="Arial"/>
          <w:color w:val="auto"/>
          <w:sz w:val="22"/>
          <w:szCs w:val="20"/>
        </w:rPr>
        <w:t>definitividad</w:t>
      </w:r>
      <w:proofErr w:type="spellEnd"/>
      <w:r w:rsidR="00F04B6F" w:rsidRPr="00A342CA">
        <w:rPr>
          <w:rFonts w:ascii="Arial" w:hAnsi="Arial" w:cs="Arial"/>
          <w:color w:val="auto"/>
          <w:sz w:val="22"/>
          <w:szCs w:val="20"/>
        </w:rPr>
        <w:t xml:space="preserve"> y no existe justificación válida para conocerlo a través del salto de instancia. En ese sentido, determinó reencauzar la demanda y sus anexos al Tribunal Electoral de Tabasco a fin de que, en el ámbito de sus atribuciones, determine lo que en derecho corresponda.</w:t>
      </w:r>
    </w:p>
    <w:p w:rsidR="002C7A43" w:rsidRPr="00A342CA" w:rsidRDefault="002C7A43" w:rsidP="00DB5135">
      <w:pPr>
        <w:pStyle w:val="Prrafodelista"/>
        <w:numPr>
          <w:ilvl w:val="1"/>
          <w:numId w:val="7"/>
        </w:numPr>
        <w:spacing w:before="240" w:after="160" w:line="240" w:lineRule="auto"/>
        <w:jc w:val="both"/>
        <w:rPr>
          <w:rFonts w:ascii="Arial" w:hAnsi="Arial" w:cs="Arial"/>
          <w:b/>
          <w:color w:val="auto"/>
          <w:sz w:val="22"/>
          <w:szCs w:val="22"/>
          <w:shd w:val="clear" w:color="auto" w:fill="FFFFFF"/>
        </w:rPr>
      </w:pPr>
      <w:r w:rsidRPr="00A342CA">
        <w:rPr>
          <w:rFonts w:ascii="Arial" w:hAnsi="Arial" w:cs="Arial"/>
          <w:b/>
          <w:color w:val="auto"/>
          <w:sz w:val="22"/>
          <w:szCs w:val="22"/>
        </w:rPr>
        <w:t xml:space="preserve">Ante la Sala Superior </w:t>
      </w:r>
    </w:p>
    <w:p w:rsidR="00296E2B" w:rsidRPr="00A342CA" w:rsidRDefault="00296E2B" w:rsidP="00296E2B">
      <w:pPr>
        <w:pStyle w:val="Prrafodelista"/>
        <w:numPr>
          <w:ilvl w:val="2"/>
          <w:numId w:val="7"/>
        </w:numPr>
        <w:spacing w:before="240" w:after="160" w:line="240" w:lineRule="auto"/>
        <w:jc w:val="both"/>
        <w:rPr>
          <w:rFonts w:ascii="Arial" w:hAnsi="Arial" w:cs="Arial"/>
          <w:color w:val="auto"/>
          <w:sz w:val="22"/>
          <w:szCs w:val="22"/>
        </w:rPr>
      </w:pPr>
      <w:r w:rsidRPr="00A342CA">
        <w:rPr>
          <w:rFonts w:ascii="Arial" w:hAnsi="Arial" w:cs="Arial"/>
          <w:color w:val="auto"/>
          <w:sz w:val="22"/>
          <w:szCs w:val="22"/>
        </w:rPr>
        <w:t xml:space="preserve">El ocho de mayo de dos mil veinticuatro se resolvió el Recurso de Reconsideración SUP-REC-269/2024 promovido por el Partido Acción Nacional en contra de la sentencia emitida por la Sala Regional Xalapa en los juicios SX-JDC-239/2024 y SX-JRC-17/2024 acumulados, que confirmó los acuerdos CED-03/2024/005 emitido por el Consejo Electoral Distrital 03 de este Instituto Electoral, así como el diverso CE/2024/042 dictado por el Consejo Estatal , por los que en cada caso se aprobó el registro de las candidaturas a diputaciones locales por el principio de mayoría relativa postuladas entre otros por el Partido Acción Nacional para el proceso electoral local ordinario en curso, y por el cual se determinó el incumplimiento del principio de paridad horizontal de las solicitudes de registro de las candidaturas a diputaciones y regidurías por el principio de mayoría relativa presentadas por el mencionado partido político; determinando el </w:t>
      </w:r>
      <w:proofErr w:type="spellStart"/>
      <w:r w:rsidRPr="00A342CA">
        <w:rPr>
          <w:rFonts w:ascii="Arial" w:hAnsi="Arial" w:cs="Arial"/>
          <w:color w:val="auto"/>
          <w:sz w:val="22"/>
          <w:szCs w:val="22"/>
        </w:rPr>
        <w:t>desechamiento</w:t>
      </w:r>
      <w:proofErr w:type="spellEnd"/>
      <w:r w:rsidRPr="00A342CA">
        <w:rPr>
          <w:rFonts w:ascii="Arial" w:hAnsi="Arial" w:cs="Arial"/>
          <w:color w:val="auto"/>
          <w:sz w:val="22"/>
          <w:szCs w:val="22"/>
        </w:rPr>
        <w:t xml:space="preserve"> de la demanda.</w:t>
      </w:r>
    </w:p>
    <w:p w:rsidR="00296E2B" w:rsidRPr="00A342CA" w:rsidRDefault="00296E2B" w:rsidP="00296E2B">
      <w:pPr>
        <w:pStyle w:val="Prrafodelista"/>
        <w:numPr>
          <w:ilvl w:val="2"/>
          <w:numId w:val="7"/>
        </w:numPr>
        <w:spacing w:before="240" w:after="160" w:line="240" w:lineRule="auto"/>
        <w:jc w:val="both"/>
        <w:rPr>
          <w:rFonts w:ascii="Arial" w:hAnsi="Arial" w:cs="Arial"/>
          <w:color w:val="auto"/>
          <w:sz w:val="22"/>
          <w:szCs w:val="22"/>
        </w:rPr>
      </w:pPr>
      <w:r w:rsidRPr="00A342CA">
        <w:rPr>
          <w:rFonts w:ascii="Arial" w:hAnsi="Arial" w:cs="Arial"/>
          <w:color w:val="auto"/>
          <w:sz w:val="22"/>
          <w:szCs w:val="22"/>
        </w:rPr>
        <w:t>El ocho de mayo de dos mil veinticuatro, revocó la sentencia incidental interpuesta en el Recurso de Reconsideración SUP-REC-321/2024, promovido por</w:t>
      </w:r>
      <w:r w:rsidRPr="00A342CA">
        <w:rPr>
          <w:rFonts w:ascii="Arial" w:hAnsi="Arial" w:cs="Arial"/>
          <w:color w:val="auto"/>
        </w:rPr>
        <w:t xml:space="preserve"> </w:t>
      </w:r>
      <w:proofErr w:type="spellStart"/>
      <w:r w:rsidRPr="00A342CA">
        <w:rPr>
          <w:rFonts w:ascii="Arial" w:hAnsi="Arial" w:cs="Arial"/>
          <w:color w:val="auto"/>
          <w:sz w:val="22"/>
          <w:szCs w:val="22"/>
        </w:rPr>
        <w:t>Donají</w:t>
      </w:r>
      <w:proofErr w:type="spellEnd"/>
      <w:r w:rsidRPr="00A342CA">
        <w:rPr>
          <w:rFonts w:ascii="Arial" w:hAnsi="Arial" w:cs="Arial"/>
          <w:color w:val="auto"/>
          <w:sz w:val="22"/>
          <w:szCs w:val="22"/>
        </w:rPr>
        <w:t xml:space="preserve"> Alba Arroyo, en contra de la sentencia incidental dictada el veinte de abril del dos mil veinticuatro por la Sala Regional Xalapa en el juicio SX-JDC-154/2024, que declaró fundado el incidente de incumplimiento del acuerdo plenario emitido el diecinueve de marzo del presente año, que ordenó reencauzar la Comisión Nacional de Honestidad y Justicia de MORENA la demanda presentada por el </w:t>
      </w:r>
      <w:proofErr w:type="spellStart"/>
      <w:r w:rsidRPr="00A342CA">
        <w:rPr>
          <w:rFonts w:ascii="Arial" w:hAnsi="Arial" w:cs="Arial"/>
          <w:color w:val="auto"/>
          <w:sz w:val="22"/>
          <w:szCs w:val="22"/>
        </w:rPr>
        <w:t>incidentista</w:t>
      </w:r>
      <w:proofErr w:type="spellEnd"/>
      <w:r w:rsidRPr="00A342CA">
        <w:rPr>
          <w:rFonts w:ascii="Arial" w:hAnsi="Arial" w:cs="Arial"/>
          <w:color w:val="auto"/>
          <w:sz w:val="22"/>
          <w:szCs w:val="22"/>
        </w:rPr>
        <w:t>, a fin de que resolviera lo conducente dentro del plazo de cinco días a partir del día siguiente de la notificación, por lo que al no emitir dicha resolución la referida Sala les impuso una multa de $10,857.00 (diez mil ochocientos cincuenta y siete pesos), a los integrantes de la mencionada Comisión.</w:t>
      </w:r>
    </w:p>
    <w:p w:rsidR="00296E2B" w:rsidRPr="00A342CA" w:rsidRDefault="00296E2B" w:rsidP="00296E2B">
      <w:pPr>
        <w:pStyle w:val="Prrafodelista"/>
        <w:numPr>
          <w:ilvl w:val="0"/>
          <w:numId w:val="0"/>
        </w:numPr>
        <w:spacing w:before="240" w:after="160" w:line="240" w:lineRule="auto"/>
        <w:ind w:left="720"/>
        <w:jc w:val="both"/>
        <w:rPr>
          <w:rFonts w:ascii="Arial" w:hAnsi="Arial" w:cs="Arial"/>
          <w:color w:val="auto"/>
          <w:sz w:val="22"/>
          <w:szCs w:val="22"/>
        </w:rPr>
      </w:pPr>
    </w:p>
    <w:p w:rsidR="00DE5C80" w:rsidRPr="00A342CA" w:rsidRDefault="003F547B" w:rsidP="00DB5135">
      <w:pPr>
        <w:pStyle w:val="Prrafodelista"/>
        <w:numPr>
          <w:ilvl w:val="2"/>
          <w:numId w:val="7"/>
        </w:numPr>
        <w:spacing w:before="240" w:after="160" w:line="240" w:lineRule="auto"/>
        <w:jc w:val="both"/>
        <w:rPr>
          <w:rFonts w:ascii="Arial" w:hAnsi="Arial" w:cs="Arial"/>
          <w:color w:val="auto"/>
          <w:sz w:val="22"/>
          <w:szCs w:val="22"/>
        </w:rPr>
      </w:pPr>
      <w:r w:rsidRPr="00A342CA">
        <w:rPr>
          <w:rFonts w:ascii="Arial" w:eastAsia="Times New Roman" w:hAnsi="Arial" w:cs="Arial"/>
          <w:color w:val="auto"/>
          <w:sz w:val="22"/>
          <w:szCs w:val="22"/>
          <w:lang w:eastAsia="es-MX"/>
        </w:rPr>
        <w:lastRenderedPageBreak/>
        <w:t xml:space="preserve">El veintidós de mayo de dos mil veinticuatro, se resolvió </w:t>
      </w:r>
      <w:r w:rsidR="007616B4" w:rsidRPr="00A342CA">
        <w:rPr>
          <w:rFonts w:ascii="Arial" w:eastAsia="Times New Roman" w:hAnsi="Arial" w:cs="Arial"/>
          <w:color w:val="auto"/>
          <w:sz w:val="22"/>
          <w:szCs w:val="22"/>
          <w:lang w:eastAsia="es-MX"/>
        </w:rPr>
        <w:t xml:space="preserve">Juicio para la Protección de los Derechos Político-Electorales de la Ciudadanía SUP-JDC-685/2024, promovido por Antonio Enrique Aguilar </w:t>
      </w:r>
      <w:proofErr w:type="spellStart"/>
      <w:r w:rsidR="007616B4" w:rsidRPr="00A342CA">
        <w:rPr>
          <w:rFonts w:ascii="Arial" w:eastAsia="Times New Roman" w:hAnsi="Arial" w:cs="Arial"/>
          <w:color w:val="auto"/>
          <w:sz w:val="22"/>
          <w:szCs w:val="22"/>
          <w:lang w:eastAsia="es-MX"/>
        </w:rPr>
        <w:t>Caraveo</w:t>
      </w:r>
      <w:proofErr w:type="spellEnd"/>
      <w:r w:rsidRPr="00A342CA">
        <w:rPr>
          <w:rFonts w:ascii="Arial" w:eastAsia="Times New Roman" w:hAnsi="Arial" w:cs="Arial"/>
          <w:color w:val="auto"/>
          <w:sz w:val="22"/>
          <w:szCs w:val="22"/>
          <w:lang w:eastAsia="es-MX"/>
        </w:rPr>
        <w:t xml:space="preserve">, en contra del acuerdo que JEE/2024/008, emitido por la Junta Estatal Ejecutiva de este Instituto Electoral, por el cual se ratificó las designaciones de la Vocalías de la Juntas Electorales Distritales de dicho Instituto y da cumplimiento a la sentencia dictada por la Sala Superior en el Expediente SUP-REC-59/2024. </w:t>
      </w:r>
    </w:p>
    <w:p w:rsidR="002C7A43" w:rsidRPr="00A342CA" w:rsidRDefault="002C7A43" w:rsidP="00DB5135">
      <w:pPr>
        <w:pStyle w:val="Prrafodelista"/>
        <w:numPr>
          <w:ilvl w:val="0"/>
          <w:numId w:val="7"/>
        </w:numPr>
        <w:spacing w:before="240" w:after="160" w:line="240" w:lineRule="auto"/>
        <w:jc w:val="both"/>
        <w:rPr>
          <w:rFonts w:ascii="Arial" w:hAnsi="Arial" w:cs="Arial"/>
          <w:b/>
          <w:color w:val="auto"/>
          <w:sz w:val="22"/>
          <w:szCs w:val="22"/>
          <w:shd w:val="clear" w:color="auto" w:fill="FFFFFF"/>
        </w:rPr>
      </w:pPr>
      <w:r w:rsidRPr="00A342CA">
        <w:rPr>
          <w:rFonts w:ascii="Arial" w:eastAsia="Times New Roman" w:hAnsi="Arial" w:cs="Arial"/>
          <w:b/>
          <w:color w:val="auto"/>
          <w:sz w:val="22"/>
          <w:szCs w:val="22"/>
        </w:rPr>
        <w:t>Otros juicios</w:t>
      </w:r>
    </w:p>
    <w:p w:rsidR="002C7A43" w:rsidRPr="00A342CA" w:rsidRDefault="002C7A43" w:rsidP="00DB5135">
      <w:pPr>
        <w:numPr>
          <w:ilvl w:val="1"/>
          <w:numId w:val="8"/>
        </w:numPr>
        <w:spacing w:before="240" w:line="240" w:lineRule="auto"/>
        <w:ind w:left="567" w:hanging="567"/>
        <w:jc w:val="both"/>
        <w:outlineLvl w:val="1"/>
        <w:rPr>
          <w:rFonts w:ascii="Arial" w:eastAsia="Posterama" w:hAnsi="Arial" w:cs="Arial"/>
          <w:bCs/>
        </w:rPr>
      </w:pPr>
      <w:r w:rsidRPr="00A342CA">
        <w:rPr>
          <w:rFonts w:ascii="Arial" w:eastAsia="Posterama" w:hAnsi="Arial" w:cs="Arial"/>
          <w:bCs/>
        </w:rPr>
        <w:t xml:space="preserve">Juicio Contencioso Administrativo 51/2022-S-E promovido por la Mtra. Blanca </w:t>
      </w:r>
      <w:proofErr w:type="spellStart"/>
      <w:r w:rsidRPr="00A342CA">
        <w:rPr>
          <w:rFonts w:ascii="Arial" w:eastAsia="Posterama" w:hAnsi="Arial" w:cs="Arial"/>
          <w:bCs/>
        </w:rPr>
        <w:t>Eni</w:t>
      </w:r>
      <w:proofErr w:type="spellEnd"/>
      <w:r w:rsidRPr="00A342CA">
        <w:rPr>
          <w:rFonts w:ascii="Arial" w:eastAsia="Posterama" w:hAnsi="Arial" w:cs="Arial"/>
          <w:bCs/>
        </w:rPr>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Actualmente en período probatorio.</w:t>
      </w:r>
    </w:p>
    <w:p w:rsidR="002C7A43" w:rsidRPr="00A342CA" w:rsidRDefault="002C7A43" w:rsidP="00DB5135">
      <w:pPr>
        <w:numPr>
          <w:ilvl w:val="1"/>
          <w:numId w:val="8"/>
        </w:numPr>
        <w:spacing w:before="240" w:line="240" w:lineRule="auto"/>
        <w:ind w:left="567" w:hanging="567"/>
        <w:jc w:val="both"/>
        <w:outlineLvl w:val="1"/>
        <w:rPr>
          <w:rFonts w:ascii="Arial" w:eastAsia="Posterama" w:hAnsi="Arial" w:cs="Arial"/>
          <w:bCs/>
        </w:rPr>
      </w:pPr>
      <w:r w:rsidRPr="00A342CA">
        <w:rPr>
          <w:rFonts w:ascii="Arial" w:eastAsia="Posterama" w:hAnsi="Arial" w:cs="Arial"/>
          <w:bCs/>
        </w:rPr>
        <w:t>Juicio Contencioso Administrativo 52/2022-S-E promovido por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período probatorio.</w:t>
      </w:r>
    </w:p>
    <w:p w:rsidR="002C7A43" w:rsidRPr="00A342CA" w:rsidRDefault="002C7A43" w:rsidP="00DB5135">
      <w:pPr>
        <w:spacing w:before="240" w:line="240" w:lineRule="auto"/>
        <w:jc w:val="center"/>
        <w:rPr>
          <w:rFonts w:ascii="Arial" w:hAnsi="Arial" w:cs="Arial"/>
        </w:rPr>
      </w:pPr>
    </w:p>
    <w:p w:rsidR="002C7A43" w:rsidRPr="00A342CA" w:rsidRDefault="002C7A43" w:rsidP="00DB5135">
      <w:pPr>
        <w:spacing w:before="240" w:line="240" w:lineRule="auto"/>
        <w:jc w:val="center"/>
        <w:rPr>
          <w:rFonts w:ascii="Arial" w:hAnsi="Arial" w:cs="Arial"/>
        </w:rPr>
      </w:pPr>
    </w:p>
    <w:p w:rsidR="008C3A01" w:rsidRPr="00A342CA" w:rsidRDefault="002C7A43" w:rsidP="00DB5135">
      <w:pPr>
        <w:spacing w:before="240" w:line="240" w:lineRule="auto"/>
        <w:jc w:val="both"/>
        <w:rPr>
          <w:rFonts w:ascii="Arial" w:hAnsi="Arial" w:cs="Arial"/>
        </w:rPr>
      </w:pPr>
      <w:r w:rsidRPr="00A342CA">
        <w:rPr>
          <w:rFonts w:ascii="Arial" w:hAnsi="Arial" w:cs="Arial"/>
        </w:rPr>
        <w:t xml:space="preserve"> </w:t>
      </w:r>
    </w:p>
    <w:p w:rsidR="00711200" w:rsidRPr="00BE2A42" w:rsidRDefault="00711200" w:rsidP="00711200">
      <w:pPr>
        <w:spacing w:before="240" w:after="240" w:line="276" w:lineRule="auto"/>
        <w:jc w:val="center"/>
        <w:rPr>
          <w:rFonts w:ascii="Arial" w:hAnsi="Arial" w:cs="Arial"/>
          <w:b/>
        </w:rPr>
      </w:pPr>
    </w:p>
    <w:p w:rsidR="00711200" w:rsidRPr="00BE2A42" w:rsidRDefault="00711200" w:rsidP="00711200">
      <w:pPr>
        <w:spacing w:before="240" w:after="240" w:line="276" w:lineRule="auto"/>
        <w:jc w:val="center"/>
        <w:rPr>
          <w:rFonts w:ascii="Arial" w:hAnsi="Arial" w:cs="Arial"/>
          <w:b/>
        </w:rPr>
      </w:pPr>
      <w:r w:rsidRPr="00BE2A42">
        <w:rPr>
          <w:rFonts w:ascii="Arial" w:hAnsi="Arial" w:cs="Arial"/>
          <w:b/>
        </w:rPr>
        <w:t>Atentamente</w:t>
      </w:r>
      <w:bookmarkStart w:id="0" w:name="_GoBack"/>
      <w:bookmarkEnd w:id="0"/>
    </w:p>
    <w:p w:rsidR="00711200" w:rsidRPr="00BE2A42" w:rsidRDefault="00711200" w:rsidP="00711200">
      <w:pPr>
        <w:spacing w:after="0" w:line="276" w:lineRule="auto"/>
        <w:jc w:val="center"/>
        <w:rPr>
          <w:rFonts w:ascii="Arial" w:hAnsi="Arial" w:cs="Arial"/>
          <w:b/>
        </w:rPr>
      </w:pPr>
      <w:r w:rsidRPr="00BE2A42">
        <w:rPr>
          <w:rFonts w:ascii="Arial" w:hAnsi="Arial" w:cs="Arial"/>
          <w:b/>
        </w:rPr>
        <w:t>Lic. Jorge Alberto Zavala Frías</w:t>
      </w:r>
    </w:p>
    <w:p w:rsidR="00711200" w:rsidRPr="00BE2A42" w:rsidRDefault="00711200" w:rsidP="00711200">
      <w:pPr>
        <w:spacing w:after="0" w:line="276" w:lineRule="auto"/>
        <w:jc w:val="center"/>
        <w:rPr>
          <w:rFonts w:ascii="Arial" w:hAnsi="Arial" w:cs="Arial"/>
        </w:rPr>
      </w:pPr>
      <w:r w:rsidRPr="00BE2A42">
        <w:rPr>
          <w:rFonts w:ascii="Arial" w:hAnsi="Arial" w:cs="Arial"/>
          <w:b/>
        </w:rPr>
        <w:t>Secretario Ejecutivo</w:t>
      </w:r>
    </w:p>
    <w:p w:rsidR="00CE4C13" w:rsidRPr="00A342CA" w:rsidRDefault="00CE4C13" w:rsidP="00DB5135">
      <w:pPr>
        <w:spacing w:before="240" w:line="240" w:lineRule="auto"/>
        <w:rPr>
          <w:rFonts w:ascii="Arial" w:hAnsi="Arial" w:cs="Arial"/>
        </w:rPr>
      </w:pPr>
    </w:p>
    <w:sectPr w:rsidR="00CE4C13" w:rsidRPr="00A342CA" w:rsidSect="004C4B79">
      <w:headerReference w:type="default" r:id="rId7"/>
      <w:footerReference w:type="default" r:id="rId8"/>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61" w:rsidRDefault="00C95F61">
      <w:pPr>
        <w:spacing w:after="0" w:line="240" w:lineRule="auto"/>
      </w:pPr>
      <w:r>
        <w:separator/>
      </w:r>
    </w:p>
  </w:endnote>
  <w:endnote w:type="continuationSeparator" w:id="0">
    <w:p w:rsidR="00C95F61" w:rsidRDefault="00C9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sterama">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88161"/>
      <w:docPartObj>
        <w:docPartGallery w:val="Page Numbers (Bottom of Page)"/>
        <w:docPartUnique/>
      </w:docPartObj>
    </w:sdtPr>
    <w:sdtEndPr>
      <w:rPr>
        <w:rFonts w:ascii="Arial" w:hAnsi="Arial" w:cs="Arial"/>
        <w:b/>
        <w:color w:val="993366"/>
      </w:rPr>
    </w:sdtEndPr>
    <w:sdtContent>
      <w:sdt>
        <w:sdtPr>
          <w:rPr>
            <w:rFonts w:ascii="Arial" w:hAnsi="Arial" w:cs="Arial"/>
            <w:b/>
            <w:color w:val="993366"/>
          </w:rPr>
          <w:id w:val="-1525007287"/>
          <w:docPartObj>
            <w:docPartGallery w:val="Page Numbers (Top of Page)"/>
            <w:docPartUnique/>
          </w:docPartObj>
        </w:sdtPr>
        <w:sdtEndPr/>
        <w:sdtContent>
          <w:p w:rsidR="00C47C7C" w:rsidRPr="00413104" w:rsidRDefault="00C47C7C">
            <w:pPr>
              <w:pStyle w:val="Piedepgina"/>
              <w:jc w:val="right"/>
              <w:rPr>
                <w:rFonts w:ascii="Arial" w:hAnsi="Arial" w:cs="Arial"/>
                <w:b/>
                <w:color w:val="993366"/>
              </w:rPr>
            </w:pPr>
            <w:r w:rsidRPr="00413104">
              <w:rPr>
                <w:rFonts w:ascii="Arial" w:hAnsi="Arial" w:cs="Arial"/>
                <w:b/>
                <w:color w:val="993366"/>
                <w:lang w:val="es-ES"/>
              </w:rPr>
              <w:t xml:space="preserve">Página </w:t>
            </w:r>
            <w:r w:rsidRPr="00413104">
              <w:rPr>
                <w:rFonts w:ascii="Arial" w:hAnsi="Arial" w:cs="Arial"/>
                <w:b/>
                <w:bCs/>
                <w:color w:val="993366"/>
                <w:sz w:val="24"/>
                <w:szCs w:val="24"/>
              </w:rPr>
              <w:fldChar w:fldCharType="begin"/>
            </w:r>
            <w:r w:rsidRPr="00413104">
              <w:rPr>
                <w:rFonts w:ascii="Arial" w:hAnsi="Arial" w:cs="Arial"/>
                <w:b/>
                <w:bCs/>
                <w:color w:val="993366"/>
              </w:rPr>
              <w:instrText>PAGE</w:instrText>
            </w:r>
            <w:r w:rsidRPr="00413104">
              <w:rPr>
                <w:rFonts w:ascii="Arial" w:hAnsi="Arial" w:cs="Arial"/>
                <w:b/>
                <w:bCs/>
                <w:color w:val="993366"/>
                <w:sz w:val="24"/>
                <w:szCs w:val="24"/>
              </w:rPr>
              <w:fldChar w:fldCharType="separate"/>
            </w:r>
            <w:r w:rsidR="00711200">
              <w:rPr>
                <w:rFonts w:ascii="Arial" w:hAnsi="Arial" w:cs="Arial"/>
                <w:b/>
                <w:bCs/>
                <w:noProof/>
                <w:color w:val="993366"/>
              </w:rPr>
              <w:t>7</w:t>
            </w:r>
            <w:r w:rsidRPr="00413104">
              <w:rPr>
                <w:rFonts w:ascii="Arial" w:hAnsi="Arial" w:cs="Arial"/>
                <w:b/>
                <w:bCs/>
                <w:color w:val="993366"/>
                <w:sz w:val="24"/>
                <w:szCs w:val="24"/>
              </w:rPr>
              <w:fldChar w:fldCharType="end"/>
            </w:r>
            <w:r w:rsidRPr="00413104">
              <w:rPr>
                <w:rFonts w:ascii="Arial" w:hAnsi="Arial" w:cs="Arial"/>
                <w:b/>
                <w:color w:val="993366"/>
                <w:lang w:val="es-ES"/>
              </w:rPr>
              <w:t xml:space="preserve"> de </w:t>
            </w:r>
            <w:r w:rsidRPr="00413104">
              <w:rPr>
                <w:rFonts w:ascii="Arial" w:hAnsi="Arial" w:cs="Arial"/>
                <w:b/>
                <w:bCs/>
                <w:color w:val="993366"/>
                <w:sz w:val="24"/>
                <w:szCs w:val="24"/>
              </w:rPr>
              <w:fldChar w:fldCharType="begin"/>
            </w:r>
            <w:r w:rsidRPr="00413104">
              <w:rPr>
                <w:rFonts w:ascii="Arial" w:hAnsi="Arial" w:cs="Arial"/>
                <w:b/>
                <w:bCs/>
                <w:color w:val="993366"/>
              </w:rPr>
              <w:instrText>NUMPAGES</w:instrText>
            </w:r>
            <w:r w:rsidRPr="00413104">
              <w:rPr>
                <w:rFonts w:ascii="Arial" w:hAnsi="Arial" w:cs="Arial"/>
                <w:b/>
                <w:bCs/>
                <w:color w:val="993366"/>
                <w:sz w:val="24"/>
                <w:szCs w:val="24"/>
              </w:rPr>
              <w:fldChar w:fldCharType="separate"/>
            </w:r>
            <w:r w:rsidR="00711200">
              <w:rPr>
                <w:rFonts w:ascii="Arial" w:hAnsi="Arial" w:cs="Arial"/>
                <w:b/>
                <w:bCs/>
                <w:noProof/>
                <w:color w:val="993366"/>
              </w:rPr>
              <w:t>7</w:t>
            </w:r>
            <w:r w:rsidRPr="00413104">
              <w:rPr>
                <w:rFonts w:ascii="Arial" w:hAnsi="Arial" w:cs="Arial"/>
                <w:b/>
                <w:bCs/>
                <w:color w:val="993366"/>
                <w:sz w:val="24"/>
                <w:szCs w:val="24"/>
              </w:rPr>
              <w:fldChar w:fldCharType="end"/>
            </w:r>
          </w:p>
        </w:sdtContent>
      </w:sdt>
    </w:sdtContent>
  </w:sdt>
  <w:p w:rsidR="00C47C7C" w:rsidRDefault="00C47C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61" w:rsidRDefault="00C95F61">
      <w:pPr>
        <w:spacing w:after="0" w:line="240" w:lineRule="auto"/>
      </w:pPr>
      <w:r>
        <w:separator/>
      </w:r>
    </w:p>
  </w:footnote>
  <w:footnote w:type="continuationSeparator" w:id="0">
    <w:p w:rsidR="00C95F61" w:rsidRDefault="00C9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C47C7C" w:rsidTr="004C4B79">
      <w:tc>
        <w:tcPr>
          <w:tcW w:w="1748" w:type="dxa"/>
          <w:tcBorders>
            <w:bottom w:val="single" w:sz="8" w:space="0" w:color="auto"/>
          </w:tcBorders>
        </w:tcPr>
        <w:p w:rsidR="00C47C7C" w:rsidRDefault="00C47C7C" w:rsidP="004C4B79">
          <w:pPr>
            <w:pStyle w:val="Encabezado"/>
            <w:jc w:val="center"/>
          </w:pPr>
          <w:r>
            <w:rPr>
              <w:noProof/>
              <w:lang w:eastAsia="es-MX"/>
            </w:rPr>
            <w:drawing>
              <wp:inline distT="0" distB="0" distL="0" distR="0" wp14:anchorId="775451A1" wp14:editId="78CC8166">
                <wp:extent cx="838200" cy="6878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87887"/>
                        </a:xfrm>
                        <a:prstGeom prst="rect">
                          <a:avLst/>
                        </a:prstGeom>
                      </pic:spPr>
                    </pic:pic>
                  </a:graphicData>
                </a:graphic>
              </wp:inline>
            </w:drawing>
          </w:r>
        </w:p>
      </w:tc>
      <w:tc>
        <w:tcPr>
          <w:tcW w:w="7183" w:type="dxa"/>
          <w:tcBorders>
            <w:bottom w:val="single" w:sz="8" w:space="0" w:color="auto"/>
          </w:tcBorders>
        </w:tcPr>
        <w:p w:rsidR="00C47C7C" w:rsidRPr="000A3855" w:rsidRDefault="00C47C7C" w:rsidP="004C4B79">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C47C7C" w:rsidTr="004C4B79">
      <w:tc>
        <w:tcPr>
          <w:tcW w:w="1748" w:type="dxa"/>
          <w:tcBorders>
            <w:top w:val="single" w:sz="8" w:space="0" w:color="auto"/>
          </w:tcBorders>
        </w:tcPr>
        <w:p w:rsidR="00C47C7C" w:rsidRPr="000A3855" w:rsidRDefault="00C47C7C" w:rsidP="004C4B79">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rsidR="00C47C7C" w:rsidRPr="00322F64" w:rsidRDefault="00C47C7C" w:rsidP="004C4B79">
          <w:pPr>
            <w:pStyle w:val="Encabezado"/>
            <w:spacing w:before="60"/>
            <w:jc w:val="right"/>
            <w:rPr>
              <w:rFonts w:ascii="Arial" w:hAnsi="Arial" w:cs="Arial"/>
              <w:b/>
              <w:bCs/>
            </w:rPr>
          </w:pPr>
          <w:r w:rsidRPr="00322F64">
            <w:rPr>
              <w:rFonts w:ascii="Arial" w:hAnsi="Arial" w:cs="Arial"/>
              <w:b/>
              <w:bCs/>
            </w:rPr>
            <w:t>SECRETARÍA EJECUTIVA</w:t>
          </w:r>
        </w:p>
      </w:tc>
    </w:tr>
  </w:tbl>
  <w:p w:rsidR="00C47C7C" w:rsidRDefault="00C47C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D38"/>
    <w:multiLevelType w:val="multilevel"/>
    <w:tmpl w:val="7C9CF954"/>
    <w:lvl w:ilvl="0">
      <w:start w:val="1"/>
      <w:numFmt w:val="decimal"/>
      <w:lvlText w:val="%1."/>
      <w:lvlJc w:val="left"/>
      <w:pPr>
        <w:ind w:left="450" w:hanging="450"/>
      </w:pPr>
      <w:rPr>
        <w:rFonts w:hint="default"/>
        <w:b/>
      </w:rPr>
    </w:lvl>
    <w:lvl w:ilvl="1">
      <w:start w:val="1"/>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1" w15:restartNumberingAfterBreak="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D7C92B"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3682F"/>
    <w:multiLevelType w:val="multilevel"/>
    <w:tmpl w:val="1B04C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A5561A"/>
    <w:multiLevelType w:val="multilevel"/>
    <w:tmpl w:val="C07CE45E"/>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589A6520"/>
    <w:multiLevelType w:val="multilevel"/>
    <w:tmpl w:val="43DA6F1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59A97F5C"/>
    <w:multiLevelType w:val="multilevel"/>
    <w:tmpl w:val="3EA24C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49B66BA"/>
    <w:multiLevelType w:val="multilevel"/>
    <w:tmpl w:val="7818A3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6BCE16BE"/>
    <w:multiLevelType w:val="multilevel"/>
    <w:tmpl w:val="3DE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37166"/>
    <w:multiLevelType w:val="multilevel"/>
    <w:tmpl w:val="6902035C"/>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ascii="Tahoma" w:hAnsi="Tahoma" w:cs="Tahoma" w:hint="default"/>
        <w:b w:val="0"/>
        <w:color w:val="auto"/>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01"/>
    <w:rsid w:val="00027981"/>
    <w:rsid w:val="00033C91"/>
    <w:rsid w:val="00072209"/>
    <w:rsid w:val="0009686D"/>
    <w:rsid w:val="000A1021"/>
    <w:rsid w:val="000B5EBE"/>
    <w:rsid w:val="000D3698"/>
    <w:rsid w:val="00123B4D"/>
    <w:rsid w:val="00150BEC"/>
    <w:rsid w:val="001A0208"/>
    <w:rsid w:val="001A14BD"/>
    <w:rsid w:val="002021A9"/>
    <w:rsid w:val="002418F3"/>
    <w:rsid w:val="00250189"/>
    <w:rsid w:val="0027508E"/>
    <w:rsid w:val="00283EE3"/>
    <w:rsid w:val="002927B5"/>
    <w:rsid w:val="00296E2B"/>
    <w:rsid w:val="002C0DC0"/>
    <w:rsid w:val="002C7A43"/>
    <w:rsid w:val="003669F9"/>
    <w:rsid w:val="003F2143"/>
    <w:rsid w:val="003F547B"/>
    <w:rsid w:val="00427A95"/>
    <w:rsid w:val="00440D7C"/>
    <w:rsid w:val="00462532"/>
    <w:rsid w:val="004B5579"/>
    <w:rsid w:val="004C4B79"/>
    <w:rsid w:val="005017DA"/>
    <w:rsid w:val="005144C0"/>
    <w:rsid w:val="00582315"/>
    <w:rsid w:val="0063165C"/>
    <w:rsid w:val="00663E8E"/>
    <w:rsid w:val="006D7B19"/>
    <w:rsid w:val="006F7129"/>
    <w:rsid w:val="00700571"/>
    <w:rsid w:val="0070393F"/>
    <w:rsid w:val="00706F4F"/>
    <w:rsid w:val="00711200"/>
    <w:rsid w:val="00725A2C"/>
    <w:rsid w:val="007616B4"/>
    <w:rsid w:val="00797FF3"/>
    <w:rsid w:val="007A1080"/>
    <w:rsid w:val="007C394B"/>
    <w:rsid w:val="007D3D64"/>
    <w:rsid w:val="007E5280"/>
    <w:rsid w:val="00816686"/>
    <w:rsid w:val="008C3A01"/>
    <w:rsid w:val="00972FC1"/>
    <w:rsid w:val="00983B96"/>
    <w:rsid w:val="00986FAC"/>
    <w:rsid w:val="009D341C"/>
    <w:rsid w:val="00A133B6"/>
    <w:rsid w:val="00A342CA"/>
    <w:rsid w:val="00A37619"/>
    <w:rsid w:val="00A44191"/>
    <w:rsid w:val="00A636FC"/>
    <w:rsid w:val="00AF3A98"/>
    <w:rsid w:val="00AF57A6"/>
    <w:rsid w:val="00B05633"/>
    <w:rsid w:val="00B27D3D"/>
    <w:rsid w:val="00B642A1"/>
    <w:rsid w:val="00B742CD"/>
    <w:rsid w:val="00B80333"/>
    <w:rsid w:val="00B80AD0"/>
    <w:rsid w:val="00BF24E2"/>
    <w:rsid w:val="00C47C7C"/>
    <w:rsid w:val="00C95F61"/>
    <w:rsid w:val="00CE4C13"/>
    <w:rsid w:val="00CE709C"/>
    <w:rsid w:val="00D0564C"/>
    <w:rsid w:val="00D11281"/>
    <w:rsid w:val="00D25ECA"/>
    <w:rsid w:val="00D40003"/>
    <w:rsid w:val="00D771D5"/>
    <w:rsid w:val="00DA7846"/>
    <w:rsid w:val="00DB5135"/>
    <w:rsid w:val="00DE5C80"/>
    <w:rsid w:val="00E06B1B"/>
    <w:rsid w:val="00E423DF"/>
    <w:rsid w:val="00E71593"/>
    <w:rsid w:val="00E75066"/>
    <w:rsid w:val="00EB5A01"/>
    <w:rsid w:val="00EE1FC2"/>
    <w:rsid w:val="00F018BA"/>
    <w:rsid w:val="00F0423E"/>
    <w:rsid w:val="00F04B6F"/>
    <w:rsid w:val="00F10EA0"/>
    <w:rsid w:val="00F1534B"/>
    <w:rsid w:val="00F54CBE"/>
    <w:rsid w:val="00F915AE"/>
    <w:rsid w:val="00FD26C8"/>
    <w:rsid w:val="00FD3ECA"/>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C302D-2EBB-4801-A79E-DD1C8048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s-MX"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01"/>
    <w:pPr>
      <w:spacing w:after="160" w:line="259" w:lineRule="auto"/>
    </w:pPr>
    <w:rPr>
      <w:rFonts w:eastAsiaTheme="minorHAnsi" w:cstheme="minorBidi"/>
    </w:rPr>
  </w:style>
  <w:style w:type="paragraph" w:styleId="Ttulo1">
    <w:name w:val="heading 1"/>
    <w:basedOn w:val="Normal"/>
    <w:next w:val="Normal"/>
    <w:link w:val="Ttulo1Car"/>
    <w:uiPriority w:val="9"/>
    <w:qFormat/>
    <w:rsid w:val="00CE4C13"/>
    <w:pPr>
      <w:keepNext/>
      <w:keepLines/>
      <w:spacing w:before="240"/>
      <w:outlineLvl w:val="0"/>
    </w:pPr>
    <w:rPr>
      <w:rFonts w:asciiTheme="majorHAnsi" w:eastAsiaTheme="majorEastAsia" w:hAnsiTheme="majorHAnsi" w:cstheme="majorBidi"/>
      <w:color w:val="411840" w:themeColor="accent1" w:themeShade="BF"/>
      <w:sz w:val="32"/>
      <w:szCs w:val="32"/>
    </w:rPr>
  </w:style>
  <w:style w:type="paragraph" w:styleId="Ttulo2">
    <w:name w:val="heading 2"/>
    <w:basedOn w:val="Normal"/>
    <w:next w:val="Normal"/>
    <w:link w:val="Ttulo2Car"/>
    <w:uiPriority w:val="9"/>
    <w:qFormat/>
    <w:rsid w:val="00CE4C13"/>
    <w:pPr>
      <w:keepNext/>
      <w:kinsoku w:val="0"/>
      <w:overflowPunct w:val="0"/>
      <w:outlineLvl w:val="1"/>
    </w:pPr>
    <w:rPr>
      <w:rFonts w:asciiTheme="majorHAnsi" w:hAnsiTheme="majorHAnsi"/>
      <w:b/>
      <w:bCs/>
      <w:szCs w:val="20"/>
    </w:rPr>
  </w:style>
  <w:style w:type="paragraph" w:styleId="Ttulo3">
    <w:name w:val="heading 3"/>
    <w:basedOn w:val="Normal"/>
    <w:next w:val="Normal"/>
    <w:link w:val="Ttulo3Car"/>
    <w:uiPriority w:val="9"/>
    <w:unhideWhenUsed/>
    <w:qFormat/>
    <w:rsid w:val="008C3A01"/>
    <w:pPr>
      <w:keepNext/>
      <w:keepLines/>
      <w:spacing w:before="40" w:after="0"/>
      <w:ind w:left="720" w:hanging="720"/>
      <w:outlineLvl w:val="2"/>
    </w:pPr>
    <w:rPr>
      <w:rFonts w:asciiTheme="majorHAnsi" w:eastAsiaTheme="majorEastAsia" w:hAnsiTheme="majorHAnsi" w:cstheme="majorBidi"/>
      <w:color w:val="2B102A" w:themeColor="accent1" w:themeShade="7F"/>
      <w:sz w:val="24"/>
      <w:szCs w:val="24"/>
    </w:rPr>
  </w:style>
  <w:style w:type="paragraph" w:styleId="Ttulo4">
    <w:name w:val="heading 4"/>
    <w:basedOn w:val="Normal"/>
    <w:next w:val="Normal"/>
    <w:link w:val="Ttulo4Car"/>
    <w:uiPriority w:val="9"/>
    <w:semiHidden/>
    <w:unhideWhenUsed/>
    <w:qFormat/>
    <w:rsid w:val="008C3A01"/>
    <w:pPr>
      <w:keepNext/>
      <w:keepLines/>
      <w:spacing w:before="40" w:after="0"/>
      <w:ind w:left="864" w:hanging="864"/>
      <w:outlineLvl w:val="3"/>
    </w:pPr>
    <w:rPr>
      <w:rFonts w:asciiTheme="majorHAnsi" w:eastAsiaTheme="majorEastAsia" w:hAnsiTheme="majorHAnsi" w:cstheme="majorBidi"/>
      <w:i/>
      <w:iCs/>
      <w:color w:val="411840" w:themeColor="accent1" w:themeShade="BF"/>
    </w:rPr>
  </w:style>
  <w:style w:type="paragraph" w:styleId="Ttulo5">
    <w:name w:val="heading 5"/>
    <w:basedOn w:val="Normal"/>
    <w:next w:val="Normal"/>
    <w:link w:val="Ttulo5Car"/>
    <w:uiPriority w:val="9"/>
    <w:semiHidden/>
    <w:unhideWhenUsed/>
    <w:qFormat/>
    <w:rsid w:val="008C3A01"/>
    <w:pPr>
      <w:keepNext/>
      <w:keepLines/>
      <w:spacing w:before="40" w:after="0"/>
      <w:ind w:left="1008" w:hanging="1008"/>
      <w:outlineLvl w:val="4"/>
    </w:pPr>
    <w:rPr>
      <w:rFonts w:asciiTheme="majorHAnsi" w:eastAsiaTheme="majorEastAsia" w:hAnsiTheme="majorHAnsi" w:cstheme="majorBidi"/>
      <w:color w:val="411840" w:themeColor="accent1" w:themeShade="BF"/>
    </w:rPr>
  </w:style>
  <w:style w:type="paragraph" w:styleId="Ttulo6">
    <w:name w:val="heading 6"/>
    <w:basedOn w:val="Normal"/>
    <w:next w:val="Normal"/>
    <w:link w:val="Ttulo6Car"/>
    <w:uiPriority w:val="9"/>
    <w:semiHidden/>
    <w:unhideWhenUsed/>
    <w:qFormat/>
    <w:rsid w:val="008C3A01"/>
    <w:pPr>
      <w:keepNext/>
      <w:keepLines/>
      <w:spacing w:before="40" w:after="0"/>
      <w:ind w:left="1152" w:hanging="1152"/>
      <w:outlineLvl w:val="5"/>
    </w:pPr>
    <w:rPr>
      <w:rFonts w:asciiTheme="majorHAnsi" w:eastAsiaTheme="majorEastAsia" w:hAnsiTheme="majorHAnsi" w:cstheme="majorBidi"/>
      <w:color w:val="2B102A" w:themeColor="accent1" w:themeShade="7F"/>
    </w:rPr>
  </w:style>
  <w:style w:type="paragraph" w:styleId="Ttulo7">
    <w:name w:val="heading 7"/>
    <w:basedOn w:val="Normal"/>
    <w:next w:val="Normal"/>
    <w:link w:val="Ttulo7Car"/>
    <w:uiPriority w:val="9"/>
    <w:semiHidden/>
    <w:unhideWhenUsed/>
    <w:qFormat/>
    <w:rsid w:val="008C3A01"/>
    <w:pPr>
      <w:keepNext/>
      <w:keepLines/>
      <w:spacing w:before="40" w:after="0"/>
      <w:ind w:left="1296" w:hanging="1296"/>
      <w:outlineLvl w:val="6"/>
    </w:pPr>
    <w:rPr>
      <w:rFonts w:asciiTheme="majorHAnsi" w:eastAsiaTheme="majorEastAsia" w:hAnsiTheme="majorHAnsi" w:cstheme="majorBidi"/>
      <w:i/>
      <w:iCs/>
      <w:color w:val="2B102A" w:themeColor="accent1" w:themeShade="7F"/>
    </w:rPr>
  </w:style>
  <w:style w:type="paragraph" w:styleId="Ttulo8">
    <w:name w:val="heading 8"/>
    <w:basedOn w:val="Normal"/>
    <w:next w:val="Normal"/>
    <w:link w:val="Ttulo8Car"/>
    <w:uiPriority w:val="9"/>
    <w:semiHidden/>
    <w:unhideWhenUsed/>
    <w:qFormat/>
    <w:rsid w:val="008C3A0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C3A0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otipo">
    <w:name w:val="Logotipo"/>
    <w:basedOn w:val="Ttulo1"/>
    <w:uiPriority w:val="1"/>
    <w:qFormat/>
    <w:rsid w:val="00CE4C13"/>
    <w:pPr>
      <w:keepNext w:val="0"/>
      <w:keepLines w:val="0"/>
      <w:kinsoku w:val="0"/>
      <w:overflowPunct w:val="0"/>
      <w:spacing w:before="0"/>
    </w:pPr>
    <w:rPr>
      <w:rFonts w:eastAsia="Times New Roman" w:cstheme="majorHAnsi"/>
      <w:b/>
      <w:caps/>
      <w:color w:val="D7C92B" w:themeColor="accent4"/>
      <w:spacing w:val="-80"/>
      <w:sz w:val="120"/>
      <w:szCs w:val="120"/>
    </w:rPr>
  </w:style>
  <w:style w:type="character" w:customStyle="1" w:styleId="Ttulo1Car">
    <w:name w:val="Título 1 Car"/>
    <w:basedOn w:val="Fuentedeprrafopredeter"/>
    <w:link w:val="Ttulo1"/>
    <w:uiPriority w:val="9"/>
    <w:rsid w:val="00CE4C13"/>
    <w:rPr>
      <w:rFonts w:asciiTheme="majorHAnsi" w:eastAsiaTheme="majorEastAsia" w:hAnsiTheme="majorHAnsi" w:cstheme="majorBidi"/>
      <w:color w:val="411840" w:themeColor="accent1" w:themeShade="BF"/>
      <w:sz w:val="32"/>
      <w:szCs w:val="32"/>
    </w:rPr>
  </w:style>
  <w:style w:type="paragraph" w:customStyle="1" w:styleId="Nombre">
    <w:name w:val="Nombre"/>
    <w:basedOn w:val="Normal"/>
    <w:uiPriority w:val="1"/>
    <w:qFormat/>
    <w:rsid w:val="00CE4C13"/>
    <w:rPr>
      <w:b/>
      <w:bCs/>
      <w:color w:val="582156" w:themeColor="accent1"/>
      <w:sz w:val="28"/>
      <w:szCs w:val="32"/>
    </w:rPr>
  </w:style>
  <w:style w:type="paragraph" w:customStyle="1" w:styleId="Direccin">
    <w:name w:val="Dirección"/>
    <w:basedOn w:val="Normal"/>
    <w:uiPriority w:val="1"/>
    <w:qFormat/>
    <w:rsid w:val="00CE4C13"/>
    <w:pPr>
      <w:spacing w:before="40"/>
      <w:contextualSpacing/>
    </w:pPr>
    <w:rPr>
      <w:rFonts w:cstheme="minorHAnsi"/>
      <w:sz w:val="20"/>
      <w:szCs w:val="20"/>
    </w:rPr>
  </w:style>
  <w:style w:type="paragraph" w:customStyle="1" w:styleId="Nombredelaempresa">
    <w:name w:val="Nombre de la empresa"/>
    <w:basedOn w:val="Normal"/>
    <w:uiPriority w:val="1"/>
    <w:qFormat/>
    <w:rsid w:val="00CE4C13"/>
    <w:rPr>
      <w:rFonts w:asciiTheme="majorHAnsi" w:hAnsiTheme="majorHAnsi"/>
      <w:b/>
      <w:color w:val="AA2170" w:themeColor="accent2"/>
    </w:rPr>
  </w:style>
  <w:style w:type="character" w:customStyle="1" w:styleId="Rosa">
    <w:name w:val="Rosa"/>
    <w:uiPriority w:val="1"/>
    <w:qFormat/>
    <w:rsid w:val="00CE4C13"/>
    <w:rPr>
      <w:color w:val="EB4252" w:themeColor="accent3"/>
    </w:rPr>
  </w:style>
  <w:style w:type="paragraph" w:customStyle="1" w:styleId="Anclajedegrficos">
    <w:name w:val="Anclaje de gráficos"/>
    <w:basedOn w:val="Normal"/>
    <w:uiPriority w:val="1"/>
    <w:qFormat/>
    <w:rsid w:val="00CE4C13"/>
    <w:rPr>
      <w:noProof/>
    </w:rPr>
  </w:style>
  <w:style w:type="character" w:customStyle="1" w:styleId="Ttulo2Car">
    <w:name w:val="Título 2 Car"/>
    <w:basedOn w:val="Fuentedeprrafopredeter"/>
    <w:link w:val="Ttulo2"/>
    <w:uiPriority w:val="9"/>
    <w:rsid w:val="00CE4C13"/>
    <w:rPr>
      <w:rFonts w:asciiTheme="majorHAnsi" w:hAnsiTheme="majorHAnsi"/>
      <w:b/>
      <w:bCs/>
      <w:color w:val="595959" w:themeColor="text2" w:themeTint="A6"/>
      <w:szCs w:val="20"/>
    </w:rPr>
  </w:style>
  <w:style w:type="paragraph" w:styleId="Textoindependiente">
    <w:name w:val="Body Text"/>
    <w:basedOn w:val="Normal"/>
    <w:link w:val="TextoindependienteCar"/>
    <w:uiPriority w:val="1"/>
    <w:semiHidden/>
    <w:qFormat/>
    <w:rsid w:val="00CE4C13"/>
    <w:rPr>
      <w:rFonts w:cs="Georgia"/>
    </w:rPr>
  </w:style>
  <w:style w:type="character" w:customStyle="1" w:styleId="TextoindependienteCar">
    <w:name w:val="Texto independiente Car"/>
    <w:basedOn w:val="Fuentedeprrafopredeter"/>
    <w:link w:val="Textoindependiente"/>
    <w:uiPriority w:val="1"/>
    <w:semiHidden/>
    <w:rsid w:val="00CE4C13"/>
    <w:rPr>
      <w:rFonts w:cs="Georgia"/>
    </w:rPr>
  </w:style>
  <w:style w:type="character" w:styleId="Textoennegrita">
    <w:name w:val="Strong"/>
    <w:basedOn w:val="Fuentedeprrafopredeter"/>
    <w:uiPriority w:val="22"/>
    <w:qFormat/>
    <w:rsid w:val="00CE4C13"/>
    <w:rPr>
      <w:b/>
      <w:bCs/>
      <w:color w:val="D7C92B" w:themeColor="accent4"/>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Textoindependiente"/>
    <w:link w:val="PrrafodelistaCar"/>
    <w:uiPriority w:val="34"/>
    <w:qFormat/>
    <w:rsid w:val="00CE4C13"/>
    <w:pPr>
      <w:numPr>
        <w:numId w:val="1"/>
      </w:numPr>
      <w:spacing w:after="120"/>
    </w:pPr>
    <w:rPr>
      <w:rFonts w:cs="Times New Roman"/>
      <w:color w:val="595959" w:themeColor="text2" w:themeTint="A6"/>
      <w:sz w:val="20"/>
      <w:szCs w:val="24"/>
    </w:rPr>
  </w:style>
  <w:style w:type="character" w:customStyle="1" w:styleId="Ttulo3Car">
    <w:name w:val="Título 3 Car"/>
    <w:basedOn w:val="Fuentedeprrafopredeter"/>
    <w:link w:val="Ttulo3"/>
    <w:uiPriority w:val="9"/>
    <w:rsid w:val="008C3A01"/>
    <w:rPr>
      <w:rFonts w:asciiTheme="majorHAnsi" w:eastAsiaTheme="majorEastAsia" w:hAnsiTheme="majorHAnsi" w:cstheme="majorBidi"/>
      <w:color w:val="2B102A" w:themeColor="accent1" w:themeShade="7F"/>
      <w:sz w:val="24"/>
      <w:szCs w:val="24"/>
    </w:rPr>
  </w:style>
  <w:style w:type="character" w:customStyle="1" w:styleId="Ttulo4Car">
    <w:name w:val="Título 4 Car"/>
    <w:basedOn w:val="Fuentedeprrafopredeter"/>
    <w:link w:val="Ttulo4"/>
    <w:uiPriority w:val="9"/>
    <w:semiHidden/>
    <w:rsid w:val="008C3A01"/>
    <w:rPr>
      <w:rFonts w:asciiTheme="majorHAnsi" w:eastAsiaTheme="majorEastAsia" w:hAnsiTheme="majorHAnsi" w:cstheme="majorBidi"/>
      <w:i/>
      <w:iCs/>
      <w:color w:val="411840" w:themeColor="accent1" w:themeShade="BF"/>
    </w:rPr>
  </w:style>
  <w:style w:type="character" w:customStyle="1" w:styleId="Ttulo5Car">
    <w:name w:val="Título 5 Car"/>
    <w:basedOn w:val="Fuentedeprrafopredeter"/>
    <w:link w:val="Ttulo5"/>
    <w:uiPriority w:val="9"/>
    <w:semiHidden/>
    <w:rsid w:val="008C3A01"/>
    <w:rPr>
      <w:rFonts w:asciiTheme="majorHAnsi" w:eastAsiaTheme="majorEastAsia" w:hAnsiTheme="majorHAnsi" w:cstheme="majorBidi"/>
      <w:color w:val="411840" w:themeColor="accent1" w:themeShade="BF"/>
    </w:rPr>
  </w:style>
  <w:style w:type="character" w:customStyle="1" w:styleId="Ttulo6Car">
    <w:name w:val="Título 6 Car"/>
    <w:basedOn w:val="Fuentedeprrafopredeter"/>
    <w:link w:val="Ttulo6"/>
    <w:uiPriority w:val="9"/>
    <w:semiHidden/>
    <w:rsid w:val="008C3A01"/>
    <w:rPr>
      <w:rFonts w:asciiTheme="majorHAnsi" w:eastAsiaTheme="majorEastAsia" w:hAnsiTheme="majorHAnsi" w:cstheme="majorBidi"/>
      <w:color w:val="2B102A" w:themeColor="accent1" w:themeShade="7F"/>
    </w:rPr>
  </w:style>
  <w:style w:type="character" w:customStyle="1" w:styleId="Ttulo7Car">
    <w:name w:val="Título 7 Car"/>
    <w:basedOn w:val="Fuentedeprrafopredeter"/>
    <w:link w:val="Ttulo7"/>
    <w:uiPriority w:val="9"/>
    <w:semiHidden/>
    <w:rsid w:val="008C3A01"/>
    <w:rPr>
      <w:rFonts w:asciiTheme="majorHAnsi" w:eastAsiaTheme="majorEastAsia" w:hAnsiTheme="majorHAnsi" w:cstheme="majorBidi"/>
      <w:i/>
      <w:iCs/>
      <w:color w:val="2B102A" w:themeColor="accent1" w:themeShade="7F"/>
    </w:rPr>
  </w:style>
  <w:style w:type="character" w:customStyle="1" w:styleId="Ttulo8Car">
    <w:name w:val="Título 8 Car"/>
    <w:basedOn w:val="Fuentedeprrafopredeter"/>
    <w:link w:val="Ttulo8"/>
    <w:uiPriority w:val="9"/>
    <w:semiHidden/>
    <w:rsid w:val="008C3A0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C3A0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C3A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A01"/>
    <w:rPr>
      <w:rFonts w:eastAsiaTheme="minorHAnsi" w:cstheme="minorBidi"/>
    </w:rPr>
  </w:style>
  <w:style w:type="paragraph" w:styleId="Piedepgina">
    <w:name w:val="footer"/>
    <w:basedOn w:val="Normal"/>
    <w:link w:val="PiedepginaCar"/>
    <w:uiPriority w:val="99"/>
    <w:unhideWhenUsed/>
    <w:rsid w:val="008C3A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A01"/>
    <w:rPr>
      <w:rFonts w:eastAsiaTheme="minorHAnsi" w:cstheme="minorBidi"/>
    </w:rPr>
  </w:style>
  <w:style w:type="table" w:styleId="Tablaconcuadrcula">
    <w:name w:val="Table Grid"/>
    <w:basedOn w:val="Tablanormal"/>
    <w:uiPriority w:val="39"/>
    <w:rsid w:val="008C3A01"/>
    <w:pPr>
      <w:spacing w:after="0"/>
    </w:pPr>
    <w:rPr>
      <w:rFonts w:eastAsia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8C3A01"/>
    <w:rPr>
      <w:color w:val="595959" w:themeColor="text2" w:themeTint="A6"/>
      <w:sz w:val="20"/>
      <w:szCs w:val="24"/>
    </w:rPr>
  </w:style>
  <w:style w:type="character" w:customStyle="1" w:styleId="textomasactos0">
    <w:name w:val="textomasactos0"/>
    <w:basedOn w:val="Fuentedeprrafopredeter"/>
    <w:rsid w:val="00582315"/>
  </w:style>
  <w:style w:type="paragraph" w:customStyle="1" w:styleId="ms-1">
    <w:name w:val="ms-1"/>
    <w:basedOn w:val="Normal"/>
    <w:rsid w:val="00663E8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90050">
      <w:bodyDiv w:val="1"/>
      <w:marLeft w:val="0"/>
      <w:marRight w:val="0"/>
      <w:marTop w:val="0"/>
      <w:marBottom w:val="0"/>
      <w:divBdr>
        <w:top w:val="none" w:sz="0" w:space="0" w:color="auto"/>
        <w:left w:val="none" w:sz="0" w:space="0" w:color="auto"/>
        <w:bottom w:val="none" w:sz="0" w:space="0" w:color="auto"/>
        <w:right w:val="none" w:sz="0" w:space="0" w:color="auto"/>
      </w:divBdr>
      <w:divsChild>
        <w:div w:id="90048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Bold Sunset">
      <a:dk1>
        <a:sysClr val="windowText" lastClr="000000"/>
      </a:dk1>
      <a:lt1>
        <a:sysClr val="window" lastClr="FFFFFF"/>
      </a:lt1>
      <a:dk2>
        <a:srgbClr val="000000"/>
      </a:dk2>
      <a:lt2>
        <a:srgbClr val="FFFFFF"/>
      </a:lt2>
      <a:accent1>
        <a:srgbClr val="582156"/>
      </a:accent1>
      <a:accent2>
        <a:srgbClr val="AA2170"/>
      </a:accent2>
      <a:accent3>
        <a:srgbClr val="EB4252"/>
      </a:accent3>
      <a:accent4>
        <a:srgbClr val="D7C92B"/>
      </a:accent4>
      <a:accent5>
        <a:srgbClr val="FFFFFF"/>
      </a:accent5>
      <a:accent6>
        <a:srgbClr val="FFFFFF"/>
      </a:accent6>
      <a:hlink>
        <a:srgbClr val="000000"/>
      </a:hlink>
      <a:folHlink>
        <a:srgbClr val="AA2170"/>
      </a:folHlink>
    </a:clrScheme>
    <a:fontScheme name="Posterama">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2923</Words>
  <Characters>16081</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Yarelitzel Ovalle Morales</dc:creator>
  <cp:keywords/>
  <dc:description/>
  <cp:lastModifiedBy>Jaqueline del Carmen Carrillo Llergo</cp:lastModifiedBy>
  <cp:revision>5</cp:revision>
  <cp:lastPrinted>2024-05-25T18:18:00Z</cp:lastPrinted>
  <dcterms:created xsi:type="dcterms:W3CDTF">2024-05-25T18:09:00Z</dcterms:created>
  <dcterms:modified xsi:type="dcterms:W3CDTF">2024-05-28T18:19:00Z</dcterms:modified>
</cp:coreProperties>
</file>