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30C6A" w14:textId="523947D6" w:rsidR="00A6133A" w:rsidRPr="00235489" w:rsidRDefault="00235489" w:rsidP="00A6133A">
      <w:pPr>
        <w:rPr>
          <w:b/>
          <w:sz w:val="24"/>
          <w:szCs w:val="24"/>
        </w:rPr>
      </w:pPr>
      <w:r w:rsidRPr="00235489">
        <w:rPr>
          <w:b/>
          <w:sz w:val="24"/>
          <w:szCs w:val="24"/>
        </w:rPr>
        <w:t>ACUERDO QUE, A PROPUESTA DE LA COMISIÓN PERMANENTE DE ORGANIZACIÓN ELECTORAL Y EDUCACIÓN CÍVICA, EMITE EL CONSEJO ESTATAL DEL INSTITUTO ELECTORAL Y DE PARTICIPACIÓN CIUDADANA</w:t>
      </w:r>
      <w:r w:rsidR="00623731">
        <w:rPr>
          <w:b/>
          <w:sz w:val="24"/>
          <w:szCs w:val="24"/>
        </w:rPr>
        <w:t xml:space="preserve"> DE TABASCO</w:t>
      </w:r>
      <w:r w:rsidRPr="00235489">
        <w:rPr>
          <w:b/>
          <w:sz w:val="24"/>
          <w:szCs w:val="24"/>
        </w:rPr>
        <w:t xml:space="preserve"> MEDIANTE EL CUAL APRUEBA LOS LINEAMIENTOS PARA EL DESARROLLO DE LAS SESIONES DE CÓMPUTO EN LOS CONSEJOS ELECTORALES DISTRITALES Y EL CUADERNILLO DE CONSULTA SOBRE VOTOS VÁLIDOS Y VOTOS NULOS PARA EL DESARROLLO DE LA SESIÓN ESPECIAL DE CÓMPUTOS DISTRITALES Y MUNICIPALES CON MOTIVO DEL PROCESO ELECTORAL LOCAL ORDINARIO 2023 – 2024 </w:t>
      </w:r>
    </w:p>
    <w:p w14:paraId="10502D1B" w14:textId="77777777" w:rsidR="00A6133A" w:rsidRPr="00482C23" w:rsidRDefault="00A6133A" w:rsidP="00A6133A">
      <w:r w:rsidRPr="00482C23">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E7576F" w:rsidRPr="00482C23" w14:paraId="56529EC5" w14:textId="77777777" w:rsidTr="006016E5">
        <w:trPr>
          <w:trHeight w:val="624"/>
          <w:jc w:val="center"/>
        </w:trPr>
        <w:tc>
          <w:tcPr>
            <w:tcW w:w="2042" w:type="pct"/>
            <w:shd w:val="clear" w:color="auto" w:fill="auto"/>
            <w:vAlign w:val="center"/>
          </w:tcPr>
          <w:p w14:paraId="6EAC3DC5" w14:textId="77777777" w:rsidR="00E7576F" w:rsidRPr="00235489" w:rsidRDefault="00E7576F" w:rsidP="006016E5">
            <w:pPr>
              <w:widowControl w:val="0"/>
              <w:spacing w:before="60" w:after="60"/>
              <w:ind w:left="57"/>
              <w:jc w:val="right"/>
              <w:rPr>
                <w:b/>
                <w:sz w:val="20"/>
                <w:szCs w:val="20"/>
              </w:rPr>
            </w:pPr>
            <w:r w:rsidRPr="00235489">
              <w:rPr>
                <w:b/>
                <w:sz w:val="20"/>
                <w:szCs w:val="20"/>
              </w:rPr>
              <w:t>Comisión:</w:t>
            </w:r>
          </w:p>
        </w:tc>
        <w:tc>
          <w:tcPr>
            <w:tcW w:w="2958" w:type="pct"/>
            <w:shd w:val="clear" w:color="auto" w:fill="auto"/>
            <w:vAlign w:val="center"/>
          </w:tcPr>
          <w:p w14:paraId="60CA9212" w14:textId="77777777" w:rsidR="00E7576F" w:rsidRPr="00235489" w:rsidRDefault="00E7576F" w:rsidP="006016E5">
            <w:pPr>
              <w:widowControl w:val="0"/>
              <w:spacing w:before="60" w:after="60"/>
              <w:ind w:left="57"/>
              <w:rPr>
                <w:sz w:val="20"/>
                <w:szCs w:val="20"/>
              </w:rPr>
            </w:pPr>
            <w:r w:rsidRPr="00235489">
              <w:rPr>
                <w:sz w:val="20"/>
                <w:szCs w:val="20"/>
              </w:rPr>
              <w:t>Comisión Permanente de Organización Electoral y Educación Cívica.</w:t>
            </w:r>
          </w:p>
        </w:tc>
        <w:bookmarkStart w:id="0" w:name="_GoBack"/>
        <w:bookmarkEnd w:id="0"/>
      </w:tr>
      <w:tr w:rsidR="00E7576F" w:rsidRPr="00482C23" w14:paraId="7A9C0A34" w14:textId="77777777" w:rsidTr="006016E5">
        <w:trPr>
          <w:trHeight w:val="624"/>
          <w:jc w:val="center"/>
        </w:trPr>
        <w:tc>
          <w:tcPr>
            <w:tcW w:w="2042" w:type="pct"/>
            <w:shd w:val="clear" w:color="auto" w:fill="auto"/>
            <w:vAlign w:val="center"/>
          </w:tcPr>
          <w:p w14:paraId="3AA1CA6D" w14:textId="77777777" w:rsidR="00E7576F" w:rsidRPr="00235489" w:rsidRDefault="00E7576F" w:rsidP="006016E5">
            <w:pPr>
              <w:widowControl w:val="0"/>
              <w:spacing w:before="60" w:after="60"/>
              <w:ind w:left="57"/>
              <w:jc w:val="right"/>
              <w:rPr>
                <w:b/>
                <w:sz w:val="20"/>
                <w:szCs w:val="20"/>
              </w:rPr>
            </w:pPr>
            <w:r w:rsidRPr="00235489">
              <w:rPr>
                <w:b/>
                <w:sz w:val="20"/>
                <w:szCs w:val="20"/>
              </w:rPr>
              <w:t>Consejo Estatal:</w:t>
            </w:r>
          </w:p>
        </w:tc>
        <w:tc>
          <w:tcPr>
            <w:tcW w:w="2958" w:type="pct"/>
            <w:shd w:val="clear" w:color="auto" w:fill="auto"/>
            <w:vAlign w:val="center"/>
          </w:tcPr>
          <w:p w14:paraId="6BDF8FC9" w14:textId="77777777" w:rsidR="00E7576F" w:rsidRPr="00235489" w:rsidRDefault="00E7576F" w:rsidP="006016E5">
            <w:pPr>
              <w:widowControl w:val="0"/>
              <w:spacing w:before="60" w:after="60"/>
              <w:ind w:left="57"/>
              <w:rPr>
                <w:sz w:val="20"/>
                <w:szCs w:val="20"/>
              </w:rPr>
            </w:pPr>
            <w:r w:rsidRPr="00235489">
              <w:rPr>
                <w:sz w:val="20"/>
                <w:szCs w:val="20"/>
              </w:rPr>
              <w:t>Consejo Estatal del Instituto Electoral y de Participación Ciudadana de Tabasco.</w:t>
            </w:r>
          </w:p>
        </w:tc>
      </w:tr>
      <w:tr w:rsidR="00E7576F" w:rsidRPr="00482C23" w14:paraId="798E78E3" w14:textId="77777777" w:rsidTr="006016E5">
        <w:trPr>
          <w:trHeight w:val="624"/>
          <w:jc w:val="center"/>
        </w:trPr>
        <w:tc>
          <w:tcPr>
            <w:tcW w:w="2042" w:type="pct"/>
            <w:shd w:val="clear" w:color="auto" w:fill="auto"/>
            <w:vAlign w:val="center"/>
          </w:tcPr>
          <w:p w14:paraId="4F405437" w14:textId="77777777" w:rsidR="00E7576F" w:rsidRPr="00235489" w:rsidRDefault="00E7576F" w:rsidP="006016E5">
            <w:pPr>
              <w:widowControl w:val="0"/>
              <w:spacing w:before="60" w:after="60"/>
              <w:ind w:left="57"/>
              <w:jc w:val="right"/>
              <w:rPr>
                <w:b/>
                <w:sz w:val="20"/>
                <w:szCs w:val="20"/>
              </w:rPr>
            </w:pPr>
            <w:r w:rsidRPr="00235489">
              <w:rPr>
                <w:b/>
                <w:sz w:val="20"/>
                <w:szCs w:val="20"/>
              </w:rPr>
              <w:t>Consejos Distritales:</w:t>
            </w:r>
          </w:p>
        </w:tc>
        <w:tc>
          <w:tcPr>
            <w:tcW w:w="2958" w:type="pct"/>
            <w:shd w:val="clear" w:color="auto" w:fill="auto"/>
            <w:vAlign w:val="center"/>
          </w:tcPr>
          <w:p w14:paraId="71EBAE66" w14:textId="77777777" w:rsidR="00E7576F" w:rsidRPr="00235489" w:rsidRDefault="00E7576F" w:rsidP="006016E5">
            <w:pPr>
              <w:widowControl w:val="0"/>
              <w:spacing w:before="60" w:after="60"/>
              <w:ind w:left="57"/>
              <w:rPr>
                <w:sz w:val="20"/>
                <w:szCs w:val="20"/>
              </w:rPr>
            </w:pPr>
            <w:r w:rsidRPr="00235489">
              <w:rPr>
                <w:sz w:val="20"/>
                <w:szCs w:val="20"/>
              </w:rPr>
              <w:t>Consejos Electorales Distritales del Instituto Electoral y de Participación Ciudadana de Tabasco.</w:t>
            </w:r>
          </w:p>
        </w:tc>
      </w:tr>
      <w:tr w:rsidR="00E7576F" w:rsidRPr="00482C23" w14:paraId="49005A4E" w14:textId="77777777" w:rsidTr="006016E5">
        <w:trPr>
          <w:trHeight w:val="624"/>
          <w:jc w:val="center"/>
        </w:trPr>
        <w:tc>
          <w:tcPr>
            <w:tcW w:w="2042" w:type="pct"/>
            <w:shd w:val="clear" w:color="auto" w:fill="auto"/>
            <w:vAlign w:val="center"/>
          </w:tcPr>
          <w:p w14:paraId="69C083CA" w14:textId="77777777" w:rsidR="00E7576F" w:rsidRPr="00235489" w:rsidRDefault="00E7576F" w:rsidP="006016E5">
            <w:pPr>
              <w:widowControl w:val="0"/>
              <w:spacing w:before="60" w:after="60"/>
              <w:ind w:left="57"/>
              <w:jc w:val="right"/>
              <w:rPr>
                <w:b/>
                <w:sz w:val="20"/>
                <w:szCs w:val="20"/>
              </w:rPr>
            </w:pPr>
            <w:r w:rsidRPr="00235489">
              <w:rPr>
                <w:b/>
                <w:sz w:val="20"/>
                <w:szCs w:val="20"/>
              </w:rPr>
              <w:t>Constitución Federal:</w:t>
            </w:r>
          </w:p>
        </w:tc>
        <w:tc>
          <w:tcPr>
            <w:tcW w:w="2958" w:type="pct"/>
            <w:shd w:val="clear" w:color="auto" w:fill="auto"/>
            <w:vAlign w:val="center"/>
          </w:tcPr>
          <w:p w14:paraId="198CC8CF" w14:textId="77777777" w:rsidR="00E7576F" w:rsidRPr="00235489" w:rsidRDefault="00E7576F" w:rsidP="006016E5">
            <w:pPr>
              <w:widowControl w:val="0"/>
              <w:spacing w:before="60" w:after="60"/>
              <w:ind w:left="57"/>
              <w:rPr>
                <w:sz w:val="20"/>
                <w:szCs w:val="20"/>
              </w:rPr>
            </w:pPr>
            <w:r w:rsidRPr="00235489">
              <w:rPr>
                <w:sz w:val="20"/>
                <w:szCs w:val="20"/>
              </w:rPr>
              <w:t>Constitución Política de los Estados Unidos Mexicanos.</w:t>
            </w:r>
          </w:p>
        </w:tc>
      </w:tr>
      <w:tr w:rsidR="00E7576F" w:rsidRPr="00482C23" w14:paraId="40F6A5BF" w14:textId="77777777" w:rsidTr="006016E5">
        <w:trPr>
          <w:trHeight w:val="624"/>
          <w:jc w:val="center"/>
        </w:trPr>
        <w:tc>
          <w:tcPr>
            <w:tcW w:w="2042" w:type="pct"/>
            <w:shd w:val="clear" w:color="auto" w:fill="auto"/>
            <w:vAlign w:val="center"/>
          </w:tcPr>
          <w:p w14:paraId="2D954983" w14:textId="77777777" w:rsidR="00E7576F" w:rsidRPr="00235489" w:rsidRDefault="00E7576F" w:rsidP="006016E5">
            <w:pPr>
              <w:widowControl w:val="0"/>
              <w:spacing w:before="60" w:after="60"/>
              <w:ind w:left="57"/>
              <w:jc w:val="right"/>
              <w:rPr>
                <w:b/>
                <w:sz w:val="20"/>
                <w:szCs w:val="20"/>
              </w:rPr>
            </w:pPr>
            <w:r w:rsidRPr="00235489">
              <w:rPr>
                <w:b/>
                <w:sz w:val="20"/>
                <w:szCs w:val="20"/>
              </w:rPr>
              <w:t>Constitución Local:</w:t>
            </w:r>
          </w:p>
        </w:tc>
        <w:tc>
          <w:tcPr>
            <w:tcW w:w="2958" w:type="pct"/>
            <w:shd w:val="clear" w:color="auto" w:fill="auto"/>
            <w:vAlign w:val="center"/>
          </w:tcPr>
          <w:p w14:paraId="53320500" w14:textId="77777777" w:rsidR="00E7576F" w:rsidRPr="00235489" w:rsidRDefault="00E7576F" w:rsidP="006016E5">
            <w:pPr>
              <w:widowControl w:val="0"/>
              <w:spacing w:before="60" w:after="60"/>
              <w:ind w:left="57"/>
              <w:rPr>
                <w:sz w:val="20"/>
                <w:szCs w:val="20"/>
              </w:rPr>
            </w:pPr>
            <w:r w:rsidRPr="00235489">
              <w:rPr>
                <w:sz w:val="20"/>
                <w:szCs w:val="20"/>
              </w:rPr>
              <w:t>Constitución Política del Estado Libre y Soberano de Tabasco.</w:t>
            </w:r>
          </w:p>
        </w:tc>
      </w:tr>
      <w:tr w:rsidR="00E7576F" w:rsidRPr="00482C23" w14:paraId="53663C03" w14:textId="77777777" w:rsidTr="006016E5">
        <w:trPr>
          <w:trHeight w:val="624"/>
          <w:jc w:val="center"/>
        </w:trPr>
        <w:tc>
          <w:tcPr>
            <w:tcW w:w="2042" w:type="pct"/>
            <w:shd w:val="clear" w:color="auto" w:fill="auto"/>
            <w:vAlign w:val="center"/>
          </w:tcPr>
          <w:p w14:paraId="51415492" w14:textId="77777777" w:rsidR="00E7576F" w:rsidRPr="00235489" w:rsidRDefault="00E7576F" w:rsidP="006016E5">
            <w:pPr>
              <w:widowControl w:val="0"/>
              <w:spacing w:before="60" w:after="60"/>
              <w:ind w:left="57"/>
              <w:jc w:val="right"/>
              <w:rPr>
                <w:b/>
                <w:sz w:val="20"/>
                <w:szCs w:val="20"/>
              </w:rPr>
            </w:pPr>
            <w:r w:rsidRPr="00235489">
              <w:rPr>
                <w:b/>
                <w:sz w:val="20"/>
                <w:szCs w:val="20"/>
              </w:rPr>
              <w:t>INE:</w:t>
            </w:r>
          </w:p>
        </w:tc>
        <w:tc>
          <w:tcPr>
            <w:tcW w:w="2958" w:type="pct"/>
            <w:shd w:val="clear" w:color="auto" w:fill="auto"/>
            <w:vAlign w:val="center"/>
          </w:tcPr>
          <w:p w14:paraId="52564A1E" w14:textId="77777777" w:rsidR="00E7576F" w:rsidRPr="00235489" w:rsidRDefault="00E7576F" w:rsidP="006016E5">
            <w:pPr>
              <w:widowControl w:val="0"/>
              <w:spacing w:before="60" w:after="60"/>
              <w:ind w:left="57"/>
              <w:rPr>
                <w:sz w:val="20"/>
                <w:szCs w:val="20"/>
              </w:rPr>
            </w:pPr>
            <w:r w:rsidRPr="00235489">
              <w:rPr>
                <w:sz w:val="20"/>
                <w:szCs w:val="20"/>
              </w:rPr>
              <w:t>Instituto Nacional Electoral.</w:t>
            </w:r>
          </w:p>
        </w:tc>
      </w:tr>
      <w:tr w:rsidR="00E7576F" w:rsidRPr="00482C23" w14:paraId="52E85CBD" w14:textId="77777777" w:rsidTr="006016E5">
        <w:trPr>
          <w:trHeight w:val="624"/>
          <w:jc w:val="center"/>
        </w:trPr>
        <w:tc>
          <w:tcPr>
            <w:tcW w:w="2042" w:type="pct"/>
            <w:shd w:val="clear" w:color="auto" w:fill="auto"/>
            <w:vAlign w:val="center"/>
          </w:tcPr>
          <w:p w14:paraId="14191423" w14:textId="77777777" w:rsidR="00E7576F" w:rsidRPr="00235489" w:rsidRDefault="00E7576F" w:rsidP="006016E5">
            <w:pPr>
              <w:widowControl w:val="0"/>
              <w:spacing w:before="60" w:after="60"/>
              <w:ind w:left="57"/>
              <w:jc w:val="right"/>
              <w:rPr>
                <w:b/>
                <w:sz w:val="20"/>
                <w:szCs w:val="20"/>
              </w:rPr>
            </w:pPr>
            <w:r w:rsidRPr="00235489">
              <w:rPr>
                <w:b/>
                <w:sz w:val="20"/>
                <w:szCs w:val="20"/>
              </w:rPr>
              <w:t>Instituto:</w:t>
            </w:r>
          </w:p>
        </w:tc>
        <w:tc>
          <w:tcPr>
            <w:tcW w:w="2958" w:type="pct"/>
            <w:shd w:val="clear" w:color="auto" w:fill="auto"/>
          </w:tcPr>
          <w:p w14:paraId="21263C69" w14:textId="77777777" w:rsidR="00E7576F" w:rsidRPr="00235489" w:rsidRDefault="00E7576F" w:rsidP="006016E5">
            <w:pPr>
              <w:widowControl w:val="0"/>
              <w:spacing w:before="60" w:after="60"/>
              <w:ind w:left="57"/>
              <w:rPr>
                <w:sz w:val="20"/>
                <w:szCs w:val="20"/>
              </w:rPr>
            </w:pPr>
            <w:r w:rsidRPr="00235489">
              <w:rPr>
                <w:sz w:val="20"/>
                <w:szCs w:val="20"/>
              </w:rPr>
              <w:t>Instituto Electoral y de Participación Ciudadana de Tabasco.</w:t>
            </w:r>
          </w:p>
        </w:tc>
      </w:tr>
      <w:tr w:rsidR="00E7576F" w:rsidRPr="00482C23" w14:paraId="2D1A1754" w14:textId="77777777" w:rsidTr="006016E5">
        <w:trPr>
          <w:trHeight w:val="624"/>
          <w:jc w:val="center"/>
        </w:trPr>
        <w:tc>
          <w:tcPr>
            <w:tcW w:w="2042" w:type="pct"/>
            <w:shd w:val="clear" w:color="auto" w:fill="auto"/>
            <w:vAlign w:val="center"/>
          </w:tcPr>
          <w:p w14:paraId="373A9B46" w14:textId="77777777" w:rsidR="00E7576F" w:rsidRPr="00235489" w:rsidRDefault="00E7576F" w:rsidP="006016E5">
            <w:pPr>
              <w:widowControl w:val="0"/>
              <w:spacing w:before="60" w:after="60"/>
              <w:ind w:left="57"/>
              <w:jc w:val="right"/>
              <w:rPr>
                <w:b/>
                <w:sz w:val="20"/>
                <w:szCs w:val="20"/>
              </w:rPr>
            </w:pPr>
            <w:r w:rsidRPr="00235489">
              <w:rPr>
                <w:b/>
                <w:sz w:val="20"/>
                <w:szCs w:val="20"/>
              </w:rPr>
              <w:t>Ley Electoral:</w:t>
            </w:r>
          </w:p>
        </w:tc>
        <w:tc>
          <w:tcPr>
            <w:tcW w:w="2958" w:type="pct"/>
            <w:shd w:val="clear" w:color="auto" w:fill="auto"/>
            <w:vAlign w:val="center"/>
          </w:tcPr>
          <w:p w14:paraId="5E639363" w14:textId="77777777" w:rsidR="00E7576F" w:rsidRPr="00235489" w:rsidRDefault="00E7576F" w:rsidP="006016E5">
            <w:pPr>
              <w:widowControl w:val="0"/>
              <w:spacing w:before="60" w:after="60"/>
              <w:ind w:left="57"/>
              <w:rPr>
                <w:sz w:val="20"/>
                <w:szCs w:val="20"/>
              </w:rPr>
            </w:pPr>
            <w:r w:rsidRPr="00235489">
              <w:rPr>
                <w:sz w:val="20"/>
                <w:szCs w:val="20"/>
              </w:rPr>
              <w:t>Ley Electoral y de Partidos Políticos del Estado de Tabasco.</w:t>
            </w:r>
          </w:p>
        </w:tc>
      </w:tr>
      <w:tr w:rsidR="00E7576F" w:rsidRPr="00482C23" w14:paraId="2460CF0C" w14:textId="77777777" w:rsidTr="006016E5">
        <w:trPr>
          <w:trHeight w:val="624"/>
          <w:jc w:val="center"/>
        </w:trPr>
        <w:tc>
          <w:tcPr>
            <w:tcW w:w="2042" w:type="pct"/>
            <w:shd w:val="clear" w:color="auto" w:fill="auto"/>
            <w:vAlign w:val="center"/>
          </w:tcPr>
          <w:p w14:paraId="5CFDCD9A" w14:textId="77777777" w:rsidR="00E7576F" w:rsidRPr="00235489" w:rsidRDefault="00E7576F" w:rsidP="006016E5">
            <w:pPr>
              <w:widowControl w:val="0"/>
              <w:spacing w:before="60" w:after="60"/>
              <w:ind w:left="57"/>
              <w:jc w:val="right"/>
              <w:rPr>
                <w:b/>
                <w:sz w:val="20"/>
                <w:szCs w:val="20"/>
              </w:rPr>
            </w:pPr>
            <w:r w:rsidRPr="00235489">
              <w:rPr>
                <w:b/>
                <w:sz w:val="20"/>
                <w:szCs w:val="20"/>
              </w:rPr>
              <w:t>Ley General:</w:t>
            </w:r>
          </w:p>
        </w:tc>
        <w:tc>
          <w:tcPr>
            <w:tcW w:w="2958" w:type="pct"/>
            <w:shd w:val="clear" w:color="auto" w:fill="auto"/>
            <w:vAlign w:val="center"/>
          </w:tcPr>
          <w:p w14:paraId="0FC56FDB" w14:textId="77777777" w:rsidR="00E7576F" w:rsidRPr="00235489" w:rsidRDefault="00E7576F" w:rsidP="006016E5">
            <w:pPr>
              <w:widowControl w:val="0"/>
              <w:spacing w:before="60" w:after="60"/>
              <w:ind w:left="57"/>
              <w:rPr>
                <w:sz w:val="20"/>
                <w:szCs w:val="20"/>
              </w:rPr>
            </w:pPr>
            <w:r w:rsidRPr="00235489">
              <w:rPr>
                <w:sz w:val="20"/>
                <w:szCs w:val="20"/>
              </w:rPr>
              <w:t>Ley General de Instituciones y Procedimientos Electorales.</w:t>
            </w:r>
          </w:p>
        </w:tc>
      </w:tr>
      <w:tr w:rsidR="00E7576F" w:rsidRPr="00482C23" w14:paraId="247DE372" w14:textId="77777777" w:rsidTr="006016E5">
        <w:trPr>
          <w:trHeight w:val="624"/>
          <w:jc w:val="center"/>
        </w:trPr>
        <w:tc>
          <w:tcPr>
            <w:tcW w:w="2042" w:type="pct"/>
            <w:shd w:val="clear" w:color="auto" w:fill="auto"/>
            <w:vAlign w:val="center"/>
          </w:tcPr>
          <w:p w14:paraId="30F3B276" w14:textId="77777777" w:rsidR="00E7576F" w:rsidRPr="00235489" w:rsidRDefault="00E7576F" w:rsidP="006016E5">
            <w:pPr>
              <w:widowControl w:val="0"/>
              <w:spacing w:before="60" w:after="60"/>
              <w:ind w:left="57"/>
              <w:jc w:val="right"/>
              <w:rPr>
                <w:b/>
                <w:sz w:val="20"/>
                <w:szCs w:val="20"/>
              </w:rPr>
            </w:pPr>
            <w:r w:rsidRPr="00235489">
              <w:rPr>
                <w:b/>
                <w:sz w:val="20"/>
                <w:szCs w:val="20"/>
              </w:rPr>
              <w:t>Organismo electoral:</w:t>
            </w:r>
          </w:p>
        </w:tc>
        <w:tc>
          <w:tcPr>
            <w:tcW w:w="2958" w:type="pct"/>
            <w:shd w:val="clear" w:color="auto" w:fill="auto"/>
            <w:vAlign w:val="center"/>
          </w:tcPr>
          <w:p w14:paraId="10122E10" w14:textId="77777777" w:rsidR="00E7576F" w:rsidRPr="00235489" w:rsidRDefault="00E7576F" w:rsidP="006016E5">
            <w:pPr>
              <w:widowControl w:val="0"/>
              <w:spacing w:before="60" w:after="60"/>
              <w:ind w:left="57"/>
              <w:rPr>
                <w:sz w:val="20"/>
                <w:szCs w:val="20"/>
              </w:rPr>
            </w:pPr>
            <w:r w:rsidRPr="00235489">
              <w:rPr>
                <w:sz w:val="20"/>
                <w:szCs w:val="20"/>
              </w:rPr>
              <w:t xml:space="preserve">Organismo(s) público(s) local(es) electoral(es). </w:t>
            </w:r>
          </w:p>
        </w:tc>
      </w:tr>
      <w:tr w:rsidR="00E7576F" w:rsidRPr="00482C23" w14:paraId="1FC25E98" w14:textId="77777777" w:rsidTr="006016E5">
        <w:trPr>
          <w:trHeight w:val="624"/>
          <w:jc w:val="center"/>
        </w:trPr>
        <w:tc>
          <w:tcPr>
            <w:tcW w:w="2042" w:type="pct"/>
            <w:shd w:val="clear" w:color="auto" w:fill="auto"/>
            <w:vAlign w:val="center"/>
          </w:tcPr>
          <w:p w14:paraId="0C8B58C5" w14:textId="77777777" w:rsidR="00E7576F" w:rsidRPr="00235489" w:rsidRDefault="00E7576F" w:rsidP="006016E5">
            <w:pPr>
              <w:widowControl w:val="0"/>
              <w:spacing w:before="60" w:after="60"/>
              <w:ind w:left="57"/>
              <w:jc w:val="right"/>
              <w:rPr>
                <w:b/>
                <w:sz w:val="20"/>
                <w:szCs w:val="20"/>
              </w:rPr>
            </w:pPr>
            <w:r w:rsidRPr="00235489">
              <w:rPr>
                <w:b/>
                <w:sz w:val="20"/>
                <w:szCs w:val="20"/>
              </w:rPr>
              <w:lastRenderedPageBreak/>
              <w:t>Proceso Electoral:</w:t>
            </w:r>
          </w:p>
        </w:tc>
        <w:tc>
          <w:tcPr>
            <w:tcW w:w="2958" w:type="pct"/>
            <w:shd w:val="clear" w:color="auto" w:fill="auto"/>
            <w:vAlign w:val="center"/>
          </w:tcPr>
          <w:p w14:paraId="58D93490" w14:textId="77777777" w:rsidR="00E7576F" w:rsidRPr="00235489" w:rsidRDefault="00E7576F" w:rsidP="006016E5">
            <w:pPr>
              <w:widowControl w:val="0"/>
              <w:spacing w:before="60" w:after="60"/>
              <w:ind w:left="57"/>
              <w:rPr>
                <w:sz w:val="20"/>
                <w:szCs w:val="20"/>
              </w:rPr>
            </w:pPr>
            <w:r w:rsidRPr="00235489">
              <w:rPr>
                <w:sz w:val="20"/>
                <w:szCs w:val="20"/>
              </w:rPr>
              <w:t>Proceso Electoral Local Ordinario 2023-2024.</w:t>
            </w:r>
          </w:p>
        </w:tc>
      </w:tr>
      <w:tr w:rsidR="00E7576F" w:rsidRPr="00482C23" w14:paraId="72C85018" w14:textId="77777777" w:rsidTr="006016E5">
        <w:trPr>
          <w:trHeight w:val="624"/>
          <w:jc w:val="center"/>
        </w:trPr>
        <w:tc>
          <w:tcPr>
            <w:tcW w:w="2042" w:type="pct"/>
            <w:shd w:val="clear" w:color="auto" w:fill="auto"/>
            <w:vAlign w:val="center"/>
          </w:tcPr>
          <w:p w14:paraId="7EB39E5E" w14:textId="77777777" w:rsidR="00E7576F" w:rsidRPr="00235489" w:rsidRDefault="00E7576F" w:rsidP="006016E5">
            <w:pPr>
              <w:widowControl w:val="0"/>
              <w:spacing w:before="60" w:after="60"/>
              <w:ind w:left="57"/>
              <w:jc w:val="right"/>
              <w:rPr>
                <w:b/>
                <w:sz w:val="20"/>
                <w:szCs w:val="20"/>
              </w:rPr>
            </w:pPr>
            <w:r w:rsidRPr="00235489">
              <w:rPr>
                <w:b/>
                <w:sz w:val="20"/>
                <w:szCs w:val="20"/>
              </w:rPr>
              <w:t>Secretaría Ejecutiva:</w:t>
            </w:r>
          </w:p>
        </w:tc>
        <w:tc>
          <w:tcPr>
            <w:tcW w:w="2958" w:type="pct"/>
            <w:shd w:val="clear" w:color="auto" w:fill="auto"/>
            <w:vAlign w:val="center"/>
          </w:tcPr>
          <w:p w14:paraId="4BCF8258" w14:textId="77777777" w:rsidR="00E7576F" w:rsidRPr="00235489" w:rsidRDefault="00E7576F" w:rsidP="006016E5">
            <w:pPr>
              <w:widowControl w:val="0"/>
              <w:spacing w:before="60" w:after="60"/>
              <w:ind w:left="57"/>
              <w:rPr>
                <w:sz w:val="20"/>
                <w:szCs w:val="20"/>
              </w:rPr>
            </w:pPr>
            <w:r w:rsidRPr="00235489">
              <w:rPr>
                <w:sz w:val="20"/>
                <w:szCs w:val="20"/>
              </w:rPr>
              <w:t>Secretaría Ejecutiva del Instituto Electoral y de Participación Ciudadana de Tabasco.</w:t>
            </w:r>
          </w:p>
        </w:tc>
      </w:tr>
      <w:tr w:rsidR="00AE61C3" w:rsidRPr="00482C23" w14:paraId="6CEF6753" w14:textId="77777777" w:rsidTr="006016E5">
        <w:trPr>
          <w:trHeight w:val="624"/>
          <w:jc w:val="center"/>
        </w:trPr>
        <w:tc>
          <w:tcPr>
            <w:tcW w:w="2042" w:type="pct"/>
            <w:shd w:val="clear" w:color="auto" w:fill="auto"/>
            <w:vAlign w:val="center"/>
          </w:tcPr>
          <w:p w14:paraId="38F8E0F5" w14:textId="11E16E8D" w:rsidR="00AE61C3" w:rsidRPr="00235489" w:rsidRDefault="00AE61C3" w:rsidP="006016E5">
            <w:pPr>
              <w:widowControl w:val="0"/>
              <w:spacing w:before="60" w:after="60"/>
              <w:ind w:left="57"/>
              <w:jc w:val="right"/>
              <w:rPr>
                <w:b/>
                <w:sz w:val="20"/>
                <w:szCs w:val="20"/>
              </w:rPr>
            </w:pPr>
            <w:r w:rsidRPr="00235489">
              <w:rPr>
                <w:b/>
                <w:sz w:val="20"/>
                <w:szCs w:val="20"/>
              </w:rPr>
              <w:t>Reglamento de Elecciones:</w:t>
            </w:r>
          </w:p>
        </w:tc>
        <w:tc>
          <w:tcPr>
            <w:tcW w:w="2958" w:type="pct"/>
            <w:shd w:val="clear" w:color="auto" w:fill="auto"/>
            <w:vAlign w:val="center"/>
          </w:tcPr>
          <w:p w14:paraId="3EDADA24" w14:textId="716040ED" w:rsidR="00AE61C3" w:rsidRPr="00235489" w:rsidRDefault="00AE61C3" w:rsidP="006016E5">
            <w:pPr>
              <w:widowControl w:val="0"/>
              <w:spacing w:before="60" w:after="60"/>
              <w:ind w:left="57"/>
              <w:rPr>
                <w:sz w:val="20"/>
                <w:szCs w:val="20"/>
              </w:rPr>
            </w:pPr>
            <w:r w:rsidRPr="00235489">
              <w:rPr>
                <w:sz w:val="20"/>
                <w:szCs w:val="20"/>
              </w:rPr>
              <w:t>Reglamento de Elecciones del Instituto Nacional Electoral</w:t>
            </w:r>
          </w:p>
        </w:tc>
      </w:tr>
    </w:tbl>
    <w:p w14:paraId="156E6D61" w14:textId="77777777" w:rsidR="00A6133A" w:rsidRPr="00235489" w:rsidRDefault="00A6133A" w:rsidP="00225A82">
      <w:pPr>
        <w:pStyle w:val="Ttulo1"/>
        <w:rPr>
          <w:rFonts w:ascii="Arial" w:hAnsi="Arial"/>
          <w:sz w:val="24"/>
          <w:szCs w:val="24"/>
        </w:rPr>
      </w:pPr>
      <w:r w:rsidRPr="00235489">
        <w:rPr>
          <w:rFonts w:ascii="Arial" w:hAnsi="Arial"/>
          <w:sz w:val="24"/>
          <w:szCs w:val="24"/>
        </w:rPr>
        <w:t>Antecedentes</w:t>
      </w:r>
    </w:p>
    <w:p w14:paraId="4866D317" w14:textId="77777777" w:rsidR="00A6133A" w:rsidRPr="00235489" w:rsidRDefault="00A6133A" w:rsidP="00225A82">
      <w:pPr>
        <w:pStyle w:val="Ttulo2"/>
        <w:rPr>
          <w:rFonts w:ascii="Arial" w:hAnsi="Arial"/>
          <w:sz w:val="23"/>
        </w:rPr>
      </w:pPr>
      <w:r w:rsidRPr="00235489">
        <w:rPr>
          <w:rFonts w:ascii="Arial" w:hAnsi="Arial"/>
          <w:sz w:val="23"/>
        </w:rPr>
        <w:t>Modificación de la circunscripción plurinominal</w:t>
      </w:r>
    </w:p>
    <w:p w14:paraId="2BBD03AE" w14:textId="77777777" w:rsidR="00A6133A" w:rsidRPr="00235489" w:rsidRDefault="00A6133A" w:rsidP="00A6133A">
      <w:r w:rsidRPr="00235489">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0D42FA63" w14:textId="77777777" w:rsidR="00A6133A" w:rsidRPr="00235489" w:rsidRDefault="00A6133A" w:rsidP="00A6133A">
      <w:r w:rsidRPr="00235489">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5D8C6913" w14:textId="77777777" w:rsidR="00A6133A" w:rsidRPr="00235489" w:rsidRDefault="00A6133A" w:rsidP="00225A82">
      <w:pPr>
        <w:pStyle w:val="Ttulo2"/>
        <w:rPr>
          <w:rFonts w:ascii="Arial" w:hAnsi="Arial"/>
          <w:sz w:val="23"/>
        </w:rPr>
      </w:pPr>
      <w:r w:rsidRPr="00235489">
        <w:rPr>
          <w:rFonts w:ascii="Arial" w:hAnsi="Arial"/>
          <w:sz w:val="23"/>
        </w:rPr>
        <w:t>Distritación Electoral</w:t>
      </w:r>
    </w:p>
    <w:p w14:paraId="6EA7F82F" w14:textId="3D474ED6" w:rsidR="00A6133A" w:rsidRDefault="00A6133A" w:rsidP="00A6133A">
      <w:r w:rsidRPr="00235489">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73A8312B" w14:textId="77777777" w:rsidR="00235489" w:rsidRPr="00235489" w:rsidRDefault="00235489" w:rsidP="00A6133A"/>
    <w:p w14:paraId="3CE90DB3" w14:textId="77777777" w:rsidR="00A6133A" w:rsidRPr="00235489" w:rsidRDefault="00A6133A" w:rsidP="00225A82">
      <w:pPr>
        <w:pStyle w:val="Ttulo2"/>
        <w:rPr>
          <w:rFonts w:ascii="Arial" w:hAnsi="Arial"/>
          <w:sz w:val="23"/>
        </w:rPr>
      </w:pPr>
      <w:r w:rsidRPr="00235489">
        <w:rPr>
          <w:rFonts w:ascii="Arial" w:hAnsi="Arial"/>
          <w:sz w:val="23"/>
        </w:rPr>
        <w:lastRenderedPageBreak/>
        <w:t>Homologación de plazos y fechas en los procesos electorales locales concurrentes</w:t>
      </w:r>
    </w:p>
    <w:p w14:paraId="53BF51C9" w14:textId="77777777" w:rsidR="00A6133A" w:rsidRPr="00235489" w:rsidRDefault="00A6133A" w:rsidP="00A6133A">
      <w:r w:rsidRPr="00235489">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DB169FA" w14:textId="77777777" w:rsidR="00A6133A" w:rsidRPr="00235489" w:rsidRDefault="00A6133A" w:rsidP="00225A82">
      <w:pPr>
        <w:pStyle w:val="Ttulo2"/>
        <w:rPr>
          <w:rFonts w:ascii="Arial" w:hAnsi="Arial"/>
          <w:sz w:val="23"/>
        </w:rPr>
      </w:pPr>
      <w:r w:rsidRPr="00235489">
        <w:rPr>
          <w:rFonts w:ascii="Arial" w:hAnsi="Arial"/>
          <w:sz w:val="23"/>
        </w:rPr>
        <w:t xml:space="preserve">Plan integral y calendario de coordinación </w:t>
      </w:r>
    </w:p>
    <w:p w14:paraId="4A3B937B" w14:textId="77777777" w:rsidR="00A6133A" w:rsidRPr="00235489" w:rsidRDefault="00A6133A" w:rsidP="00A6133A">
      <w:r w:rsidRPr="00235489">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A95B2AB" w14:textId="77777777" w:rsidR="00A6133A" w:rsidRPr="00235489" w:rsidRDefault="00A6133A" w:rsidP="00225A82">
      <w:pPr>
        <w:pStyle w:val="Ttulo2"/>
        <w:rPr>
          <w:rFonts w:ascii="Arial" w:hAnsi="Arial"/>
          <w:sz w:val="23"/>
        </w:rPr>
      </w:pPr>
      <w:r w:rsidRPr="00235489">
        <w:rPr>
          <w:rFonts w:ascii="Arial" w:hAnsi="Arial"/>
          <w:sz w:val="23"/>
        </w:rPr>
        <w:t>Calendario electoral</w:t>
      </w:r>
    </w:p>
    <w:p w14:paraId="0BF433EC" w14:textId="77777777" w:rsidR="00A6133A" w:rsidRPr="00235489" w:rsidRDefault="00A6133A" w:rsidP="00A6133A">
      <w:r w:rsidRPr="00235489">
        <w:t>El 29 de septiembre de 2023, el Consejo Estatal aprobó el acuerdo CE/2023/021 relativo al calendario electoral para el Proceso Electoral.</w:t>
      </w:r>
    </w:p>
    <w:p w14:paraId="3278AA7E" w14:textId="77777777" w:rsidR="00A6133A" w:rsidRPr="00235489" w:rsidRDefault="00A6133A" w:rsidP="00225A82">
      <w:pPr>
        <w:pStyle w:val="Ttulo2"/>
        <w:rPr>
          <w:rFonts w:ascii="Arial" w:hAnsi="Arial"/>
          <w:sz w:val="23"/>
        </w:rPr>
      </w:pPr>
      <w:r w:rsidRPr="00235489">
        <w:rPr>
          <w:rFonts w:ascii="Arial" w:hAnsi="Arial"/>
          <w:sz w:val="23"/>
        </w:rPr>
        <w:t>Inicio del Proceso Electoral</w:t>
      </w:r>
    </w:p>
    <w:p w14:paraId="5A3181BB" w14:textId="74DE05CC" w:rsidR="00A6133A" w:rsidRDefault="00A6133A" w:rsidP="00A6133A">
      <w:r w:rsidRPr="00235489">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384ADA98" w14:textId="77777777" w:rsidR="00A6133A" w:rsidRPr="00235489" w:rsidRDefault="00A6133A" w:rsidP="00225A82">
      <w:pPr>
        <w:pStyle w:val="Ttulo2"/>
        <w:rPr>
          <w:rFonts w:ascii="Arial" w:hAnsi="Arial"/>
          <w:sz w:val="23"/>
        </w:rPr>
      </w:pPr>
      <w:r w:rsidRPr="00235489">
        <w:rPr>
          <w:rFonts w:ascii="Arial" w:hAnsi="Arial"/>
          <w:sz w:val="23"/>
        </w:rPr>
        <w:t>Convocatoria para la renovación del Poder Ejecutivo, Legislativo y los Ayuntamientos</w:t>
      </w:r>
    </w:p>
    <w:p w14:paraId="2AB0D622" w14:textId="77777777" w:rsidR="00A6133A" w:rsidRPr="00235489" w:rsidRDefault="00A6133A" w:rsidP="00A6133A">
      <w:r w:rsidRPr="00235489">
        <w:t>El 20 de octubre de 2023, mediante acuerdo CE/2023/035, el Consejo Estatal expidió la convocatoria para renovar a las y los integrantes de los Poderes Ejecutivo, Legislativo y los Ayuntamientos del Estado, con motivo del Proceso Electoral.</w:t>
      </w:r>
    </w:p>
    <w:p w14:paraId="5D1392D1" w14:textId="77777777" w:rsidR="00A352A8" w:rsidRPr="00235489" w:rsidRDefault="00A352A8" w:rsidP="00225A82">
      <w:pPr>
        <w:pStyle w:val="Ttulo2"/>
        <w:rPr>
          <w:rFonts w:ascii="Arial" w:hAnsi="Arial"/>
          <w:sz w:val="23"/>
        </w:rPr>
      </w:pPr>
      <w:r w:rsidRPr="00235489">
        <w:rPr>
          <w:rFonts w:ascii="Arial" w:hAnsi="Arial"/>
          <w:sz w:val="23"/>
        </w:rPr>
        <w:lastRenderedPageBreak/>
        <w:t>Cabeceras de municipio</w:t>
      </w:r>
    </w:p>
    <w:p w14:paraId="52F44C2B" w14:textId="77777777" w:rsidR="00A352A8" w:rsidRPr="00235489" w:rsidRDefault="00A352A8" w:rsidP="00A6133A">
      <w:r w:rsidRPr="00235489">
        <w:t>El 30 de octubre de 2023, mediante acuerdo CE/2023/040, el Consejo Estatal determinó los Consejos Distritales que fungirán como cabeceras de municipio, responsables de los cómputos finales que correspondan a la demarcación territorial del municipio para las elecciones de Presidencias Municipales y Regidurías por el principio de mayoría relativa con motivo del Proceso Electoral.</w:t>
      </w:r>
    </w:p>
    <w:p w14:paraId="4DD5EE12" w14:textId="0A5BD3D6" w:rsidR="00CB2F96" w:rsidRPr="00235489" w:rsidRDefault="00CB2F96" w:rsidP="00CB2F96">
      <w:pPr>
        <w:pStyle w:val="Ttulo2"/>
        <w:rPr>
          <w:rFonts w:ascii="Arial" w:hAnsi="Arial"/>
          <w:sz w:val="23"/>
        </w:rPr>
      </w:pPr>
      <w:r w:rsidRPr="00235489">
        <w:rPr>
          <w:rFonts w:ascii="Arial" w:hAnsi="Arial"/>
          <w:sz w:val="23"/>
        </w:rPr>
        <w:t xml:space="preserve">Presentación de la propuesta </w:t>
      </w:r>
    </w:p>
    <w:p w14:paraId="4DE47B32" w14:textId="78A3A6E0" w:rsidR="00CB2F96" w:rsidRPr="00235489" w:rsidRDefault="00CB2F96" w:rsidP="00CB2F96">
      <w:r w:rsidRPr="00235489">
        <w:t>El 24 de febrero de 2024, la Secretaria Técnica de la Comisión, mediante oficio COEYEC/ST/05/2024, remitió a la Presidencia del Consejo la propuesta relativa a los Lineamientos para el desarrollo de las sesiones de cómputo en los Consejos Electorales Distritales y el cuadernillo de consulta sobre votos válidos y votos nulos para el desarrollo de la sesión especial de cómputos distritales y municipales con motivo del Proceso Electoral Local, para la deliberación por parte de este Consejo Estatal.</w:t>
      </w:r>
    </w:p>
    <w:p w14:paraId="011AEB36" w14:textId="77777777" w:rsidR="00A6133A" w:rsidRPr="00235489" w:rsidRDefault="00A6133A" w:rsidP="00225A82">
      <w:pPr>
        <w:pStyle w:val="Ttulo2"/>
        <w:rPr>
          <w:rFonts w:ascii="Arial" w:hAnsi="Arial"/>
          <w:sz w:val="23"/>
        </w:rPr>
      </w:pPr>
      <w:r w:rsidRPr="00235489">
        <w:rPr>
          <w:rFonts w:ascii="Arial" w:hAnsi="Arial"/>
          <w:sz w:val="23"/>
        </w:rPr>
        <w:t>Periodo de campaña</w:t>
      </w:r>
    </w:p>
    <w:p w14:paraId="00BE2514" w14:textId="7D7947D8" w:rsidR="00225A82" w:rsidRDefault="00225A82" w:rsidP="00225A82">
      <w:pPr>
        <w:rPr>
          <w:b/>
          <w:lang w:val="es-MX"/>
        </w:rPr>
      </w:pPr>
      <w:r w:rsidRPr="00235489">
        <w:rPr>
          <w:lang w:val="es-MX"/>
        </w:rPr>
        <w:t>Por su parte, el artículo 202, nume</w:t>
      </w:r>
      <w:r w:rsidR="001E280B" w:rsidRPr="00235489">
        <w:rPr>
          <w:lang w:val="es-MX"/>
        </w:rPr>
        <w:t>rales 1 y 3 de la Ley Electoral dispone que</w:t>
      </w:r>
      <w:r w:rsidRPr="00235489">
        <w:rPr>
          <w:lang w:val="es-MX"/>
        </w:rPr>
        <w:t xml:space="preserve"> las campañas electorales para la Gubernatura, Diputaciones y Regidurías,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inicia el </w:t>
      </w:r>
      <w:r w:rsidRPr="00235489">
        <w:rPr>
          <w:b/>
          <w:lang w:val="es-MX"/>
        </w:rPr>
        <w:t>16 de marzo y concluye el 29 de mayo de 2024.</w:t>
      </w:r>
    </w:p>
    <w:p w14:paraId="19A1150F" w14:textId="77777777" w:rsidR="00A6133A" w:rsidRPr="00235489" w:rsidRDefault="00A6133A" w:rsidP="00225A82">
      <w:pPr>
        <w:pStyle w:val="Ttulo2"/>
        <w:rPr>
          <w:rFonts w:ascii="Arial" w:hAnsi="Arial"/>
          <w:sz w:val="23"/>
        </w:rPr>
      </w:pPr>
      <w:r w:rsidRPr="00235489">
        <w:rPr>
          <w:rFonts w:ascii="Arial" w:hAnsi="Arial"/>
          <w:sz w:val="23"/>
        </w:rPr>
        <w:t>Jornada electoral</w:t>
      </w:r>
    </w:p>
    <w:p w14:paraId="53B1A68B" w14:textId="393DAE61" w:rsidR="00A6133A" w:rsidRDefault="00A6133A" w:rsidP="00A6133A">
      <w:pPr>
        <w:rPr>
          <w:b/>
        </w:rPr>
      </w:pPr>
      <w:r w:rsidRPr="00235489">
        <w:t xml:space="preserve">En términos del artículo 27 numeral 1 de la Ley Electoral las elecciones ordinarias deberán celebrarse el primer domingo del mes de junio del año que corresponda. Por lo que, en el caso del Proceso Electoral la jornada electoral se realizará el </w:t>
      </w:r>
      <w:r w:rsidRPr="00235489">
        <w:rPr>
          <w:b/>
        </w:rPr>
        <w:t>2 de junio de 2024.</w:t>
      </w:r>
    </w:p>
    <w:p w14:paraId="0E579A0E" w14:textId="77777777" w:rsidR="00235489" w:rsidRPr="00235489" w:rsidRDefault="00235489" w:rsidP="00A6133A">
      <w:pPr>
        <w:rPr>
          <w:b/>
        </w:rPr>
      </w:pPr>
    </w:p>
    <w:p w14:paraId="614EF5A1" w14:textId="77777777" w:rsidR="00A6133A" w:rsidRPr="00235489" w:rsidRDefault="00A6133A" w:rsidP="00225A82">
      <w:pPr>
        <w:pStyle w:val="Ttulo1"/>
        <w:rPr>
          <w:rFonts w:ascii="Arial" w:hAnsi="Arial"/>
          <w:sz w:val="24"/>
          <w:szCs w:val="24"/>
        </w:rPr>
      </w:pPr>
      <w:r w:rsidRPr="00235489">
        <w:rPr>
          <w:rFonts w:ascii="Arial" w:hAnsi="Arial"/>
          <w:sz w:val="24"/>
          <w:szCs w:val="24"/>
        </w:rPr>
        <w:lastRenderedPageBreak/>
        <w:t>Considerando</w:t>
      </w:r>
    </w:p>
    <w:p w14:paraId="2D31FC74" w14:textId="77777777" w:rsidR="00A6133A" w:rsidRPr="00235489" w:rsidRDefault="00A6133A" w:rsidP="00225A82">
      <w:pPr>
        <w:pStyle w:val="Ttulo2"/>
        <w:rPr>
          <w:rFonts w:ascii="Arial" w:hAnsi="Arial"/>
          <w:sz w:val="23"/>
        </w:rPr>
      </w:pPr>
      <w:r w:rsidRPr="00235489">
        <w:rPr>
          <w:rFonts w:ascii="Arial" w:hAnsi="Arial"/>
          <w:sz w:val="23"/>
        </w:rPr>
        <w:t xml:space="preserve">Fines del Instituto </w:t>
      </w:r>
    </w:p>
    <w:p w14:paraId="71AEB53F" w14:textId="77777777" w:rsidR="00A6133A" w:rsidRPr="00235489" w:rsidRDefault="00A6133A" w:rsidP="00A6133A">
      <w:r w:rsidRPr="00235489">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66C1A30" w14:textId="606C6BC5" w:rsidR="00A6133A" w:rsidRDefault="00A6133A" w:rsidP="00A6133A">
      <w:r w:rsidRPr="00235489">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C357749" w14:textId="77777777" w:rsidR="00A6133A" w:rsidRPr="00235489" w:rsidRDefault="00A6133A" w:rsidP="00225A82">
      <w:pPr>
        <w:pStyle w:val="Ttulo2"/>
        <w:rPr>
          <w:rFonts w:ascii="Arial" w:hAnsi="Arial"/>
          <w:sz w:val="23"/>
        </w:rPr>
      </w:pPr>
      <w:r w:rsidRPr="00235489">
        <w:rPr>
          <w:rFonts w:ascii="Arial" w:hAnsi="Arial"/>
          <w:sz w:val="23"/>
        </w:rPr>
        <w:t xml:space="preserve">Órgano Superior de Dirección del Instituto </w:t>
      </w:r>
    </w:p>
    <w:p w14:paraId="7A2DE8CF" w14:textId="274C7ADD" w:rsidR="00A6133A" w:rsidRDefault="00A6133A" w:rsidP="00A6133A">
      <w:r w:rsidRPr="00235489">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3C123A17" w14:textId="77777777" w:rsidR="00235489" w:rsidRPr="00235489" w:rsidRDefault="00235489" w:rsidP="00A6133A"/>
    <w:p w14:paraId="4E493D5E" w14:textId="77777777" w:rsidR="00A6133A" w:rsidRPr="00235489" w:rsidRDefault="00A6133A" w:rsidP="00225A82">
      <w:pPr>
        <w:pStyle w:val="Ttulo2"/>
        <w:rPr>
          <w:rFonts w:ascii="Arial" w:hAnsi="Arial"/>
          <w:sz w:val="23"/>
        </w:rPr>
      </w:pPr>
      <w:r w:rsidRPr="00235489">
        <w:rPr>
          <w:rFonts w:ascii="Arial" w:hAnsi="Arial"/>
          <w:sz w:val="23"/>
        </w:rPr>
        <w:lastRenderedPageBreak/>
        <w:t>Integración del Órgano de Dirección Superior</w:t>
      </w:r>
    </w:p>
    <w:p w14:paraId="6AC415D7" w14:textId="77777777" w:rsidR="00A6133A" w:rsidRPr="00235489" w:rsidRDefault="00A6133A" w:rsidP="00A6133A">
      <w:r w:rsidRPr="00235489">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441682F" w14:textId="4D044FB5" w:rsidR="00841095" w:rsidRPr="00235489" w:rsidRDefault="00841095" w:rsidP="00841095">
      <w:pPr>
        <w:pStyle w:val="Ttulo2"/>
        <w:rPr>
          <w:rFonts w:ascii="Arial" w:hAnsi="Arial"/>
          <w:sz w:val="23"/>
        </w:rPr>
      </w:pPr>
      <w:r w:rsidRPr="00235489">
        <w:rPr>
          <w:rFonts w:ascii="Arial" w:hAnsi="Arial"/>
          <w:sz w:val="23"/>
        </w:rPr>
        <w:t xml:space="preserve">Órganos distritales del Instituto </w:t>
      </w:r>
    </w:p>
    <w:p w14:paraId="0C46C4AB" w14:textId="77777777" w:rsidR="00841095" w:rsidRPr="00235489" w:rsidRDefault="00841095" w:rsidP="00841095">
      <w:r w:rsidRPr="00235489">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7F86B903" w14:textId="77777777" w:rsidR="00A6133A" w:rsidRPr="00235489" w:rsidRDefault="00A6133A" w:rsidP="00225A82">
      <w:pPr>
        <w:pStyle w:val="Ttulo2"/>
        <w:rPr>
          <w:rFonts w:ascii="Arial" w:hAnsi="Arial"/>
          <w:sz w:val="23"/>
        </w:rPr>
      </w:pPr>
      <w:r w:rsidRPr="00235489">
        <w:rPr>
          <w:rFonts w:ascii="Arial" w:hAnsi="Arial"/>
          <w:sz w:val="23"/>
        </w:rPr>
        <w:t xml:space="preserve">Competencia del Consejo Estatal </w:t>
      </w:r>
    </w:p>
    <w:p w14:paraId="738A7B66" w14:textId="48E02A79" w:rsidR="00634ABD" w:rsidRPr="00235489" w:rsidRDefault="00634ABD" w:rsidP="00634ABD">
      <w:pPr>
        <w:widowControl w:val="0"/>
      </w:pPr>
      <w:r w:rsidRPr="00235489">
        <w:t>Que, de conformidad con el artículo 115 numeral 1, fracciones I y XV de la Ley Electoral, corresponde al Consejo Estatal aplicar las disposiciones generales, reglas, lineamientos, criterios y formatos que, en ejercicio de las facultades que le confieren la Constitución Federal y la Ley General, establezca el INE; y llevar a cabo las actividades necesarias para la preparación de la jornada electoral.</w:t>
      </w:r>
    </w:p>
    <w:p w14:paraId="0989381B" w14:textId="79B6A5EF" w:rsidR="00307EBD" w:rsidRPr="00235489" w:rsidRDefault="00307EBD" w:rsidP="00307EBD">
      <w:r w:rsidRPr="00235489">
        <w:t>Asimismo, en términos del artículo 429, numeral 1 del Reglamento de Elecciones, los organismos electorales deberán emitir lineamientos para llevar a cabo la sesión especial de cómputo, prevista en términos de los artículos 257 y 258 de la Ley Electoral; para lo cual deberán ajustarse a las reglas previstas en el citado Reglamento, así como a lo establecido en las bases generales y lineamientos que para tal efecto sean aprobados por el INE.</w:t>
      </w:r>
    </w:p>
    <w:p w14:paraId="703A0AB2" w14:textId="78759507" w:rsidR="00A6133A" w:rsidRPr="00235489" w:rsidRDefault="00A6133A" w:rsidP="00A6133A">
      <w:r w:rsidRPr="00235489">
        <w:t xml:space="preserve">Acorde a lo anterior, el numeral 2 del artículo </w:t>
      </w:r>
      <w:r w:rsidR="00634ABD" w:rsidRPr="00235489">
        <w:t>115 de la Ley Electoral</w:t>
      </w:r>
      <w:r w:rsidRPr="00235489">
        <w:t xml:space="preserve">,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w:t>
      </w:r>
      <w:r w:rsidRPr="00235489">
        <w:lastRenderedPageBreak/>
        <w:t>corresponda, siempre en apego a sus facultades y a los principios rectores de la función electoral.</w:t>
      </w:r>
    </w:p>
    <w:p w14:paraId="7DB932EA" w14:textId="77777777" w:rsidR="00D74FAB" w:rsidRPr="00235489" w:rsidRDefault="00D74FAB" w:rsidP="00225A82">
      <w:pPr>
        <w:pStyle w:val="Ttulo2"/>
        <w:rPr>
          <w:rFonts w:ascii="Arial" w:hAnsi="Arial"/>
          <w:sz w:val="23"/>
        </w:rPr>
      </w:pPr>
      <w:r w:rsidRPr="00235489">
        <w:rPr>
          <w:rFonts w:ascii="Arial" w:hAnsi="Arial"/>
          <w:sz w:val="23"/>
        </w:rPr>
        <w:t>Integración de los Consejos Distritales</w:t>
      </w:r>
    </w:p>
    <w:p w14:paraId="44E33CB5" w14:textId="77777777" w:rsidR="00D74FAB" w:rsidRPr="00235489" w:rsidRDefault="00D74FAB" w:rsidP="00D74FAB">
      <w:r w:rsidRPr="00235489">
        <w:t>Que en términos del artículo 127 numeral 1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Las o los Vocales Secretario, y de Organización Electoral y Educación Cívica concurrirán a sus sesiones con voz, pero sin voto.</w:t>
      </w:r>
    </w:p>
    <w:p w14:paraId="5C9CD5C7" w14:textId="77777777" w:rsidR="00D74FAB" w:rsidRPr="00235489" w:rsidRDefault="00D74FAB" w:rsidP="00D74FAB">
      <w:r w:rsidRPr="00235489">
        <w:t>Asimismo, de conformidad con los artículos 6, fracción XIII, 9, fracción XIV del Reglamento de Sesiones, las consejerías electorales y las representaciones de partido, tienen entre sus atribuciones, la de formar parte de los grupos de trabajo, de los puntos de recuento o de las mesas auxiliares, conforme a los reglas o criterios que determine la normatividad electoral.</w:t>
      </w:r>
    </w:p>
    <w:p w14:paraId="07C20DF6" w14:textId="77777777" w:rsidR="00DC5AA8" w:rsidRPr="00235489" w:rsidRDefault="00DC5AA8" w:rsidP="00225A82">
      <w:pPr>
        <w:pStyle w:val="Ttulo2"/>
        <w:rPr>
          <w:rFonts w:ascii="Arial" w:hAnsi="Arial"/>
          <w:sz w:val="23"/>
        </w:rPr>
      </w:pPr>
      <w:r w:rsidRPr="00235489">
        <w:rPr>
          <w:rFonts w:ascii="Arial" w:hAnsi="Arial"/>
          <w:sz w:val="23"/>
        </w:rPr>
        <w:t>Facultades de los Consejos Distritales</w:t>
      </w:r>
    </w:p>
    <w:p w14:paraId="3A9E419A" w14:textId="7C524C53" w:rsidR="00DC5AA8" w:rsidRPr="00235489" w:rsidRDefault="00DC5AA8" w:rsidP="00DC5AA8">
      <w:r w:rsidRPr="00235489">
        <w:t xml:space="preserve">Que, el artículo 130 numeral 1 fracciones </w:t>
      </w:r>
      <w:r w:rsidR="000167EC" w:rsidRPr="00235489">
        <w:t xml:space="preserve">IV, V, </w:t>
      </w:r>
      <w:r w:rsidRPr="00235489">
        <w:t>V</w:t>
      </w:r>
      <w:r w:rsidR="000167EC" w:rsidRPr="00235489">
        <w:t>I y VII</w:t>
      </w:r>
      <w:r w:rsidRPr="00235489">
        <w:t xml:space="preserve"> de la Ley Electoral, establece entre otras, que corresponde a los Consejos Distritales, en el ámbito de su competencia: a) realizar los cómputos distritales, así como emitir la declaración de la validez y expedir la constancia de la elección de diputaciones de mayoría relativa; b) efectuar los cómputos distritales de la elección de diputaciones de representación proporcional; c) realizar los cómputos municipales y la declaración de validez de la elección de Presidencias Municipales y Regidurías de mayoría relativa; y, d) realizar los cómputos municipales de la elección de Regidurías por el principio de representación proporcional.</w:t>
      </w:r>
    </w:p>
    <w:p w14:paraId="6447835D" w14:textId="77777777" w:rsidR="00DC5AA8" w:rsidRPr="00235489" w:rsidRDefault="00DC5AA8" w:rsidP="00225A82">
      <w:pPr>
        <w:pStyle w:val="Ttulo2"/>
        <w:rPr>
          <w:rFonts w:ascii="Arial" w:hAnsi="Arial"/>
          <w:sz w:val="23"/>
        </w:rPr>
      </w:pPr>
      <w:r w:rsidRPr="00235489">
        <w:rPr>
          <w:rFonts w:ascii="Arial" w:hAnsi="Arial"/>
          <w:sz w:val="23"/>
        </w:rPr>
        <w:t>Atribuciones de las Presidencias de los Consejos Distritales</w:t>
      </w:r>
    </w:p>
    <w:p w14:paraId="26877F7F" w14:textId="77777777" w:rsidR="00DC5AA8" w:rsidRPr="00235489" w:rsidRDefault="00DC5AA8" w:rsidP="00DC5AA8">
      <w:r w:rsidRPr="00235489">
        <w:t xml:space="preserve">Que, de conformidad con el artículo 131 numeral 1 fracción X de la Ley Electoral, corresponde a la Presidencia del Consejo Electoral Distrital, entre otras, turnar de forma inmediata el original del acta y los informes de los cómputos correspondientes a la </w:t>
      </w:r>
      <w:r w:rsidRPr="00235489">
        <w:lastRenderedPageBreak/>
        <w:t>elección de las Presidencias Municipales y Regidurías, a la Presidencia del Consejo Electoral que funja como cabecera de municipio respectivo.</w:t>
      </w:r>
    </w:p>
    <w:p w14:paraId="3732F684" w14:textId="77777777" w:rsidR="00DC5AA8" w:rsidRPr="00235489" w:rsidRDefault="00DC5AA8" w:rsidP="00225A82">
      <w:pPr>
        <w:pStyle w:val="Ttulo2"/>
        <w:rPr>
          <w:rFonts w:ascii="Arial" w:hAnsi="Arial"/>
          <w:sz w:val="23"/>
        </w:rPr>
      </w:pPr>
      <w:r w:rsidRPr="00235489">
        <w:rPr>
          <w:rFonts w:ascii="Arial" w:hAnsi="Arial"/>
          <w:sz w:val="23"/>
        </w:rPr>
        <w:t>Etapas del Proceso Electoral</w:t>
      </w:r>
    </w:p>
    <w:p w14:paraId="3927F574" w14:textId="77777777" w:rsidR="00DC5AA8" w:rsidRPr="00235489" w:rsidRDefault="00DC5AA8" w:rsidP="00DC5AA8">
      <w:r w:rsidRPr="00235489">
        <w:t>Que, de acuerdo con los artículos 164 y 165 numeral 2 fracciones I, II y III de la Ley Electoral, el proceso electoral es el conjunto de actos previstos por la Constitución Local, la Ley General y la propia Ley, ejecutados por las autoridades electorales nacionales y estatales, los partidos políticos, las candidaturas y la ciudadanía, que tiene por objeto la renovación periódica de los integrantes de los poderes Legislativo y Ejecutivo del estado, así como de los ayuntamientos; que comprende las etapas de: a) preparación de la elección; b) de la jornada electoral; y, c) resultados y declaración de validez de las elecciones.</w:t>
      </w:r>
    </w:p>
    <w:p w14:paraId="4D003244" w14:textId="41C3C93D" w:rsidR="00DC5AA8" w:rsidRDefault="00DC5AA8" w:rsidP="00DC5AA8">
      <w:r w:rsidRPr="00235489">
        <w:t>En ese contexto, como lo disponen los numerales 3, 4, y 5 del artículo 165 de la Ley Electoral, la preparación de la elección inicia con la primera sesión que el Consejo Estatal celebre para el Proceso Electoral respectivo y concluye al iniciarse la jornada electoral; por su parte, la jornada electoral inicia a las ocho horas del primer domingo del mes de junio y concluye con la clausura de casillas; y finalmente, la etapa de resultados y declaración de validez, inicia con la remisión de la documentación y expedientes electorales a los Consejos Distritales, concluyendo con los cómputos y las declaraciones que realicen los mismos o las resoluciones que, en su caso, pronuncien en última instancia los órganos jurisdiccionales correspondientes.</w:t>
      </w:r>
    </w:p>
    <w:p w14:paraId="1B952D5A" w14:textId="77777777" w:rsidR="00DC5AA8" w:rsidRPr="00235489" w:rsidRDefault="00DC5AA8" w:rsidP="00225A82">
      <w:pPr>
        <w:pStyle w:val="Ttulo2"/>
        <w:rPr>
          <w:rFonts w:ascii="Arial" w:hAnsi="Arial"/>
          <w:sz w:val="23"/>
        </w:rPr>
      </w:pPr>
      <w:r w:rsidRPr="00235489">
        <w:rPr>
          <w:rFonts w:ascii="Arial" w:hAnsi="Arial"/>
          <w:sz w:val="23"/>
        </w:rPr>
        <w:t>Concepto de cómputos distrital, municipal y parcial municipal</w:t>
      </w:r>
    </w:p>
    <w:p w14:paraId="44F99695" w14:textId="77777777" w:rsidR="00DC5AA8" w:rsidRPr="00235489" w:rsidRDefault="00DC5AA8" w:rsidP="00DC5AA8">
      <w:r w:rsidRPr="00235489">
        <w:t>Que, el artículo 257 numeral 1</w:t>
      </w:r>
      <w:r w:rsidR="00A352A8" w:rsidRPr="00235489">
        <w:t xml:space="preserve"> de la Ley Electoral</w:t>
      </w:r>
      <w:r w:rsidRPr="00235489">
        <w:t xml:space="preserve"> señala que, el cómputo </w:t>
      </w:r>
      <w:r w:rsidR="00A352A8" w:rsidRPr="00235489">
        <w:t xml:space="preserve">distrital </w:t>
      </w:r>
      <w:r w:rsidRPr="00235489">
        <w:t xml:space="preserve">de una elección es la suma que realiza el Consejo </w:t>
      </w:r>
      <w:r w:rsidR="00A352A8" w:rsidRPr="00235489">
        <w:t>Distrital</w:t>
      </w:r>
      <w:r w:rsidRPr="00235489">
        <w:t xml:space="preserve"> de los resultados anotados en las actas de escrutinio y cómputo de las casillas en un </w:t>
      </w:r>
      <w:r w:rsidR="00A352A8" w:rsidRPr="00235489">
        <w:t>distrito electoral</w:t>
      </w:r>
      <w:r w:rsidRPr="00235489">
        <w:t>.</w:t>
      </w:r>
    </w:p>
    <w:p w14:paraId="3612B782" w14:textId="77777777" w:rsidR="00DC5AA8" w:rsidRPr="00235489" w:rsidRDefault="00DC5AA8" w:rsidP="00DC5AA8">
      <w:r w:rsidRPr="00235489">
        <w:t xml:space="preserve">Respecto al cómputo </w:t>
      </w:r>
      <w:r w:rsidR="00A352A8" w:rsidRPr="00235489">
        <w:t>municipal</w:t>
      </w:r>
      <w:r w:rsidRPr="00235489">
        <w:t xml:space="preserve">, el artículo 259 numeral 1 de la Ley en cita refiere que, es la suma que realiza el Consejo Distrital de los resultados anotados en las actas de escrutinio y cómputo de las casillas en un municipio. </w:t>
      </w:r>
    </w:p>
    <w:p w14:paraId="0716C6DA" w14:textId="77777777" w:rsidR="00DC5AA8" w:rsidRPr="00235489" w:rsidRDefault="00A352A8" w:rsidP="00A352A8">
      <w:r w:rsidRPr="00235489">
        <w:t xml:space="preserve">Asimismo, en términos del numeral 2 del artículo en cita, en aquellos municipios que se integren por dos o más distritos, el Consejo Estatal podrá designar de entre estos, al </w:t>
      </w:r>
      <w:r w:rsidRPr="00235489">
        <w:lastRenderedPageBreak/>
        <w:t>Consejo Distrital que fungirá como cabecera de municipio, el cual será el responsable del cómputo final que corresponda a la demarcación territorial del municipio.</w:t>
      </w:r>
    </w:p>
    <w:p w14:paraId="0FD75DC2" w14:textId="77777777" w:rsidR="00DC5AA8" w:rsidRPr="00235489" w:rsidRDefault="00DC5AA8" w:rsidP="00DC5AA8">
      <w:r w:rsidRPr="00235489">
        <w:t xml:space="preserve">De la misma forma, el cómputo parcial </w:t>
      </w:r>
      <w:r w:rsidR="00307EBD" w:rsidRPr="00235489">
        <w:t>municipal</w:t>
      </w:r>
      <w:r w:rsidRPr="00235489">
        <w:t xml:space="preserve"> es el cómputo obtenido de la elección de Presidencias Municipales y Regidurías por </w:t>
      </w:r>
      <w:r w:rsidR="00307EBD" w:rsidRPr="00235489">
        <w:t>mayoría relativa</w:t>
      </w:r>
      <w:r w:rsidRPr="00235489">
        <w:t>, de una parte, de las secciones electorales y casillas, correspondientes a un municipio, realizado por los Consejos Electorales Distritales.</w:t>
      </w:r>
    </w:p>
    <w:p w14:paraId="543496AB" w14:textId="77777777" w:rsidR="00DC5AA8" w:rsidRPr="00235489" w:rsidRDefault="00DC5AA8" w:rsidP="00DC5AA8">
      <w:r w:rsidRPr="00235489">
        <w:t xml:space="preserve">En lo que respecta a los Consejos Distritales que realicen el cómputo de una parte de las secciones electorales y casillas correspondientes a un municipio, emitirán un acta de cómputo parcial </w:t>
      </w:r>
      <w:r w:rsidR="00307EBD" w:rsidRPr="00235489">
        <w:t>m</w:t>
      </w:r>
      <w:r w:rsidRPr="00235489">
        <w:t>unicipal, entregarán copia certificada de la misma a las representaciones de partidos políticos y a la de la candidatura independiente, y enviarán el original de dicha acta al Consejo Distrital cabecera de municipio que corresponda, conservando una copia certificada de la misma, la que será resguardada por la Presidencia del Consejo Distrital.</w:t>
      </w:r>
    </w:p>
    <w:p w14:paraId="00850AFF" w14:textId="0FF8F0D7" w:rsidR="00DC5AA8" w:rsidRPr="00235489" w:rsidRDefault="00DC5AA8" w:rsidP="00DC5AA8">
      <w:r w:rsidRPr="00235489">
        <w:t xml:space="preserve">El acta de cómputo parcial </w:t>
      </w:r>
      <w:r w:rsidR="00307EBD" w:rsidRPr="00235489">
        <w:t xml:space="preserve">municipal </w:t>
      </w:r>
      <w:r w:rsidRPr="00235489">
        <w:t xml:space="preserve">deberá ser escaneada y subida al </w:t>
      </w:r>
      <w:r w:rsidR="00841095" w:rsidRPr="00235489">
        <w:t>Sistema de Información Estatal Electoral (SIEE)</w:t>
      </w:r>
      <w:r w:rsidRPr="00235489">
        <w:t xml:space="preserve">, a efectos de que pueda ser visualizada por el Consejo Distrital cabecera de </w:t>
      </w:r>
      <w:r w:rsidR="00307EBD" w:rsidRPr="00235489">
        <w:t>municipio</w:t>
      </w:r>
      <w:r w:rsidRPr="00235489">
        <w:t>.</w:t>
      </w:r>
    </w:p>
    <w:p w14:paraId="0B038932" w14:textId="77777777" w:rsidR="00307EBD" w:rsidRPr="00235489" w:rsidRDefault="00307EBD" w:rsidP="00225A82">
      <w:pPr>
        <w:pStyle w:val="Ttulo2"/>
        <w:rPr>
          <w:rFonts w:ascii="Arial" w:hAnsi="Arial"/>
          <w:sz w:val="23"/>
        </w:rPr>
      </w:pPr>
      <w:r w:rsidRPr="00235489">
        <w:rPr>
          <w:rFonts w:ascii="Arial" w:hAnsi="Arial"/>
          <w:sz w:val="23"/>
        </w:rPr>
        <w:t>Consejos Distritales cabeceras de municipio</w:t>
      </w:r>
    </w:p>
    <w:p w14:paraId="21B2EB41" w14:textId="77777777" w:rsidR="00307EBD" w:rsidRPr="00235489" w:rsidRDefault="00307EBD" w:rsidP="00DC5AA8">
      <w:r w:rsidRPr="00235489">
        <w:t>Que, conforme al acuerdo CE/2023/040 aprobado por este Consejo Estatal, en términos del artículo 259 numeral 2 de la Ley Electoral, designó a los siguientes Consejos Distritales cabeceras de municipio:</w:t>
      </w:r>
    </w:p>
    <w:tbl>
      <w:tblPr>
        <w:tblStyle w:val="Tablaconcuadrcula"/>
        <w:tblW w:w="0" w:type="auto"/>
        <w:jc w:val="center"/>
        <w:tblLook w:val="04A0" w:firstRow="1" w:lastRow="0" w:firstColumn="1" w:lastColumn="0" w:noHBand="0" w:noVBand="1"/>
      </w:tblPr>
      <w:tblGrid>
        <w:gridCol w:w="2718"/>
        <w:gridCol w:w="3236"/>
      </w:tblGrid>
      <w:tr w:rsidR="00307EBD" w:rsidRPr="00482C23" w14:paraId="72710C3C" w14:textId="77777777" w:rsidTr="00E04162">
        <w:trPr>
          <w:jc w:val="center"/>
        </w:trPr>
        <w:tc>
          <w:tcPr>
            <w:tcW w:w="2718" w:type="dxa"/>
            <w:shd w:val="clear" w:color="auto" w:fill="D9D9D9" w:themeFill="background1" w:themeFillShade="D9"/>
          </w:tcPr>
          <w:p w14:paraId="67F7E268" w14:textId="77777777" w:rsidR="00307EBD" w:rsidRPr="00482C23" w:rsidRDefault="00307EBD" w:rsidP="00E04162">
            <w:pPr>
              <w:spacing w:before="40" w:after="40"/>
              <w:jc w:val="center"/>
              <w:rPr>
                <w:b/>
                <w:bCs/>
              </w:rPr>
            </w:pPr>
            <w:r w:rsidRPr="00482C23">
              <w:rPr>
                <w:b/>
                <w:bCs/>
              </w:rPr>
              <w:t>Municipio</w:t>
            </w:r>
          </w:p>
        </w:tc>
        <w:tc>
          <w:tcPr>
            <w:tcW w:w="3236" w:type="dxa"/>
            <w:shd w:val="clear" w:color="auto" w:fill="D9D9D9" w:themeFill="background1" w:themeFillShade="D9"/>
          </w:tcPr>
          <w:p w14:paraId="2BB5A469" w14:textId="77777777" w:rsidR="00307EBD" w:rsidRPr="00482C23" w:rsidRDefault="00307EBD" w:rsidP="00E04162">
            <w:pPr>
              <w:spacing w:before="40" w:after="40"/>
              <w:jc w:val="center"/>
              <w:rPr>
                <w:b/>
                <w:bCs/>
              </w:rPr>
            </w:pPr>
            <w:r w:rsidRPr="00482C23">
              <w:rPr>
                <w:b/>
                <w:bCs/>
              </w:rPr>
              <w:t>Cabecera de municipio</w:t>
            </w:r>
          </w:p>
        </w:tc>
      </w:tr>
      <w:tr w:rsidR="00307EBD" w:rsidRPr="00482C23" w14:paraId="488E6CF8" w14:textId="77777777" w:rsidTr="00E04162">
        <w:trPr>
          <w:jc w:val="center"/>
        </w:trPr>
        <w:tc>
          <w:tcPr>
            <w:tcW w:w="2718" w:type="dxa"/>
          </w:tcPr>
          <w:p w14:paraId="75EF4D8F" w14:textId="77777777" w:rsidR="00307EBD" w:rsidRPr="00482C23" w:rsidRDefault="00307EBD" w:rsidP="00E04162">
            <w:pPr>
              <w:spacing w:before="40" w:after="40"/>
            </w:pPr>
            <w:r w:rsidRPr="00482C23">
              <w:t xml:space="preserve">Cárdenas </w:t>
            </w:r>
          </w:p>
        </w:tc>
        <w:tc>
          <w:tcPr>
            <w:tcW w:w="3236" w:type="dxa"/>
          </w:tcPr>
          <w:p w14:paraId="787F5936" w14:textId="77777777" w:rsidR="00307EBD" w:rsidRPr="00482C23" w:rsidRDefault="00307EBD" w:rsidP="00E04162">
            <w:pPr>
              <w:spacing w:before="40" w:after="40"/>
            </w:pPr>
            <w:r w:rsidRPr="00482C23">
              <w:t>Distrito 02 Cárdenas;</w:t>
            </w:r>
          </w:p>
        </w:tc>
      </w:tr>
      <w:tr w:rsidR="00307EBD" w:rsidRPr="00482C23" w14:paraId="03EE7600" w14:textId="77777777" w:rsidTr="00E04162">
        <w:trPr>
          <w:jc w:val="center"/>
        </w:trPr>
        <w:tc>
          <w:tcPr>
            <w:tcW w:w="2718" w:type="dxa"/>
          </w:tcPr>
          <w:p w14:paraId="1AF745C8" w14:textId="77777777" w:rsidR="00307EBD" w:rsidRPr="00482C23" w:rsidRDefault="00307EBD" w:rsidP="00E04162">
            <w:pPr>
              <w:spacing w:before="40" w:after="40"/>
            </w:pPr>
            <w:r w:rsidRPr="00482C23">
              <w:t>Centro</w:t>
            </w:r>
          </w:p>
        </w:tc>
        <w:tc>
          <w:tcPr>
            <w:tcW w:w="3236" w:type="dxa"/>
          </w:tcPr>
          <w:p w14:paraId="1B3CBB69" w14:textId="77777777" w:rsidR="00307EBD" w:rsidRPr="00482C23" w:rsidRDefault="00307EBD" w:rsidP="00E04162">
            <w:pPr>
              <w:spacing w:before="40" w:after="40"/>
            </w:pPr>
            <w:r w:rsidRPr="00482C23">
              <w:t>Distrito 07 Centro;</w:t>
            </w:r>
          </w:p>
        </w:tc>
      </w:tr>
      <w:tr w:rsidR="00307EBD" w:rsidRPr="00482C23" w14:paraId="19D00C0C" w14:textId="77777777" w:rsidTr="00E04162">
        <w:trPr>
          <w:jc w:val="center"/>
        </w:trPr>
        <w:tc>
          <w:tcPr>
            <w:tcW w:w="2718" w:type="dxa"/>
          </w:tcPr>
          <w:p w14:paraId="6E31A315" w14:textId="77777777" w:rsidR="00307EBD" w:rsidRPr="00482C23" w:rsidRDefault="00307EBD" w:rsidP="00E04162">
            <w:pPr>
              <w:spacing w:before="40" w:after="40"/>
            </w:pPr>
            <w:r w:rsidRPr="00482C23">
              <w:t xml:space="preserve">Comalcalco </w:t>
            </w:r>
          </w:p>
        </w:tc>
        <w:tc>
          <w:tcPr>
            <w:tcW w:w="3236" w:type="dxa"/>
          </w:tcPr>
          <w:p w14:paraId="014A489B" w14:textId="77777777" w:rsidR="00307EBD" w:rsidRPr="00482C23" w:rsidRDefault="00307EBD" w:rsidP="00E04162">
            <w:pPr>
              <w:spacing w:before="40" w:after="40"/>
            </w:pPr>
            <w:r w:rsidRPr="00482C23">
              <w:t>Distrito 12 Comalcalco</w:t>
            </w:r>
          </w:p>
        </w:tc>
      </w:tr>
      <w:tr w:rsidR="00307EBD" w:rsidRPr="00482C23" w14:paraId="1DE6325B" w14:textId="77777777" w:rsidTr="00E04162">
        <w:trPr>
          <w:jc w:val="center"/>
        </w:trPr>
        <w:tc>
          <w:tcPr>
            <w:tcW w:w="2718" w:type="dxa"/>
          </w:tcPr>
          <w:p w14:paraId="5D6AE281" w14:textId="77777777" w:rsidR="00307EBD" w:rsidRPr="00482C23" w:rsidRDefault="00307EBD" w:rsidP="00E04162">
            <w:pPr>
              <w:spacing w:before="40" w:after="40"/>
            </w:pPr>
            <w:r w:rsidRPr="00482C23">
              <w:t>Cunduacán</w:t>
            </w:r>
          </w:p>
        </w:tc>
        <w:tc>
          <w:tcPr>
            <w:tcW w:w="3236" w:type="dxa"/>
          </w:tcPr>
          <w:p w14:paraId="68805267" w14:textId="77777777" w:rsidR="00307EBD" w:rsidRPr="00482C23" w:rsidRDefault="00307EBD" w:rsidP="00E04162">
            <w:pPr>
              <w:spacing w:before="40" w:after="40"/>
            </w:pPr>
            <w:r w:rsidRPr="00482C23">
              <w:t>Distrito 13 Cunduacán</w:t>
            </w:r>
          </w:p>
        </w:tc>
      </w:tr>
      <w:tr w:rsidR="00307EBD" w:rsidRPr="00482C23" w14:paraId="7AD33009" w14:textId="77777777" w:rsidTr="00E04162">
        <w:trPr>
          <w:jc w:val="center"/>
        </w:trPr>
        <w:tc>
          <w:tcPr>
            <w:tcW w:w="2718" w:type="dxa"/>
          </w:tcPr>
          <w:p w14:paraId="232686FB" w14:textId="77777777" w:rsidR="00307EBD" w:rsidRPr="00482C23" w:rsidRDefault="00307EBD" w:rsidP="00E04162">
            <w:pPr>
              <w:spacing w:before="40" w:after="40"/>
            </w:pPr>
            <w:r w:rsidRPr="00482C23">
              <w:t>Huimanguillo</w:t>
            </w:r>
          </w:p>
        </w:tc>
        <w:tc>
          <w:tcPr>
            <w:tcW w:w="3236" w:type="dxa"/>
          </w:tcPr>
          <w:p w14:paraId="18150E52" w14:textId="77777777" w:rsidR="00307EBD" w:rsidRPr="00482C23" w:rsidRDefault="00307EBD" w:rsidP="00E04162">
            <w:pPr>
              <w:spacing w:before="40" w:after="40"/>
            </w:pPr>
            <w:r w:rsidRPr="00482C23">
              <w:t>Distrito 15 Huimanguillo</w:t>
            </w:r>
          </w:p>
        </w:tc>
      </w:tr>
      <w:tr w:rsidR="00307EBD" w:rsidRPr="00482C23" w14:paraId="26E3C989" w14:textId="77777777" w:rsidTr="00E04162">
        <w:trPr>
          <w:jc w:val="center"/>
        </w:trPr>
        <w:tc>
          <w:tcPr>
            <w:tcW w:w="2718" w:type="dxa"/>
          </w:tcPr>
          <w:p w14:paraId="12E6B7B8" w14:textId="77777777" w:rsidR="00307EBD" w:rsidRPr="00482C23" w:rsidRDefault="00307EBD" w:rsidP="00E04162">
            <w:pPr>
              <w:spacing w:before="40" w:after="40"/>
            </w:pPr>
            <w:r w:rsidRPr="00482C23">
              <w:t>Macuspana</w:t>
            </w:r>
          </w:p>
        </w:tc>
        <w:tc>
          <w:tcPr>
            <w:tcW w:w="3236" w:type="dxa"/>
          </w:tcPr>
          <w:p w14:paraId="3822B76E" w14:textId="77777777" w:rsidR="00307EBD" w:rsidRPr="00482C23" w:rsidRDefault="00307EBD" w:rsidP="00E04162">
            <w:pPr>
              <w:spacing w:before="40" w:after="40"/>
            </w:pPr>
            <w:r w:rsidRPr="00482C23">
              <w:t>Distrito 16 Macuspana</w:t>
            </w:r>
          </w:p>
        </w:tc>
      </w:tr>
      <w:tr w:rsidR="00307EBD" w:rsidRPr="00482C23" w14:paraId="08CD13F0" w14:textId="77777777" w:rsidTr="00E04162">
        <w:trPr>
          <w:jc w:val="center"/>
        </w:trPr>
        <w:tc>
          <w:tcPr>
            <w:tcW w:w="2718" w:type="dxa"/>
          </w:tcPr>
          <w:p w14:paraId="0BB746B1" w14:textId="77777777" w:rsidR="00307EBD" w:rsidRPr="00482C23" w:rsidRDefault="00307EBD" w:rsidP="00E04162">
            <w:pPr>
              <w:spacing w:before="40" w:after="40"/>
            </w:pPr>
            <w:r w:rsidRPr="00482C23">
              <w:t>Nacajuca</w:t>
            </w:r>
          </w:p>
        </w:tc>
        <w:tc>
          <w:tcPr>
            <w:tcW w:w="3236" w:type="dxa"/>
          </w:tcPr>
          <w:p w14:paraId="111FB771" w14:textId="77777777" w:rsidR="00307EBD" w:rsidRPr="00482C23" w:rsidRDefault="00307EBD" w:rsidP="00E04162">
            <w:pPr>
              <w:spacing w:before="40" w:after="40"/>
            </w:pPr>
            <w:r w:rsidRPr="00482C23">
              <w:t>Distrito 18 Nacajuca</w:t>
            </w:r>
          </w:p>
        </w:tc>
      </w:tr>
    </w:tbl>
    <w:p w14:paraId="3E82A645" w14:textId="77777777" w:rsidR="00307EBD" w:rsidRPr="00235489" w:rsidRDefault="00307EBD" w:rsidP="00225A82">
      <w:pPr>
        <w:pStyle w:val="Ttulo2"/>
        <w:rPr>
          <w:rFonts w:ascii="Arial" w:hAnsi="Arial"/>
          <w:sz w:val="23"/>
        </w:rPr>
      </w:pPr>
      <w:r w:rsidRPr="00235489">
        <w:rPr>
          <w:rFonts w:ascii="Arial" w:hAnsi="Arial"/>
          <w:sz w:val="23"/>
        </w:rPr>
        <w:lastRenderedPageBreak/>
        <w:t>Inicio de la etapa de resultados</w:t>
      </w:r>
    </w:p>
    <w:p w14:paraId="353174DE" w14:textId="77777777" w:rsidR="00307EBD" w:rsidRPr="00235489" w:rsidRDefault="00307EBD" w:rsidP="00307EBD">
      <w:r w:rsidRPr="00235489">
        <w:t>Que, el artículo 249 numerales 1 y 2 de la Ley Electoral establece que, una vez clausuradas las casillas, las presidencias de las mismas, bajo su responsabilidad, harán llegar al Consejo Distrital que corresponda, los paquetes y los expedientes dentro de los plazos siguientes, contados a partir de la hora de clausura: I). Inmediatamente después de la clausura, cuando se trate de casillas ubicadas en cabecera municipal; y, II). Hasta 12 horas cuando se trate de casillas ubicadas fuera de la cabecera municipal. Estos plazos podrán ampliarse por los Consejos Distritales, previamente al día de la elección, para aquellas casillas que lo justifiquen.</w:t>
      </w:r>
    </w:p>
    <w:p w14:paraId="455D2D48" w14:textId="77777777" w:rsidR="00307EBD" w:rsidRPr="00235489" w:rsidRDefault="00307EBD" w:rsidP="00307EBD">
      <w:r w:rsidRPr="00235489">
        <w:t>Por su parte, los artículos 258 numerales 1 y 2 de la Ley Electoral y 15 numeral 3 del Reglamento de Sesiones, prevén que los Consejos Distritales celebrarán sesión a partir de las 8:00 horas del miércoles siguiente al día de la jornada electoral, para hacer el cómputo de cada una de las elecciones en el orden siguiente: I). El de la votación de la gubernatura; II). El de la votación de diputaciones; y, III). El de la votación de presidencias municipales y regidurías.</w:t>
      </w:r>
    </w:p>
    <w:p w14:paraId="229F0BAF" w14:textId="4AE049DA" w:rsidR="00307EBD" w:rsidRDefault="00307EBD" w:rsidP="00307EBD">
      <w:r w:rsidRPr="00235489">
        <w:t xml:space="preserve">Cada uno de los cómputos referidos, se realizará sucesiva e ininterrumpidamente hasta su conclusión. </w:t>
      </w:r>
    </w:p>
    <w:p w14:paraId="4A8FFAF6" w14:textId="77777777" w:rsidR="00307EBD" w:rsidRPr="00235489" w:rsidRDefault="00307EBD" w:rsidP="00225A82">
      <w:pPr>
        <w:pStyle w:val="Ttulo2"/>
        <w:rPr>
          <w:rFonts w:ascii="Arial" w:hAnsi="Arial"/>
          <w:sz w:val="23"/>
        </w:rPr>
      </w:pPr>
      <w:r w:rsidRPr="00235489">
        <w:rPr>
          <w:rFonts w:ascii="Arial" w:hAnsi="Arial"/>
          <w:sz w:val="23"/>
        </w:rPr>
        <w:t>Reunión de trabajo previa a las sesiones permanentes de cómputos</w:t>
      </w:r>
    </w:p>
    <w:p w14:paraId="109B86A9" w14:textId="134B878A" w:rsidR="00307EBD" w:rsidRPr="00235489" w:rsidRDefault="00307EBD" w:rsidP="00307EBD">
      <w:r w:rsidRPr="00235489">
        <w:t xml:space="preserve">Que, los artículos 387 y 388 del Reglamento de Elecciones </w:t>
      </w:r>
      <w:r w:rsidR="00A20F57" w:rsidRPr="00235489">
        <w:t xml:space="preserve">establecen </w:t>
      </w:r>
      <w:r w:rsidRPr="00235489">
        <w:t>una reunión de trabajo que se realizará el día previo a la sesión de cómputo distrital, para abordar, entre otros asuntos, lo relativo a la presentación de un informe que contenga un análisis preliminar sobre la clasificación de los paquetes electorales con y sin muestras de alteración. Inmediatamente después de la reunión de trabajo se llevará a cabo una sesión extraordinaria del consejo distrital, para abordar lo relativo a las casillas cuya votación será objeto de recuento entre otros asuntos.</w:t>
      </w:r>
    </w:p>
    <w:p w14:paraId="3989CC53" w14:textId="2E4C5234" w:rsidR="00307EBD" w:rsidRPr="00235489" w:rsidRDefault="00307EBD" w:rsidP="00841095">
      <w:pPr>
        <w:pStyle w:val="Ttulo2"/>
        <w:rPr>
          <w:rFonts w:ascii="Arial" w:hAnsi="Arial"/>
          <w:sz w:val="23"/>
        </w:rPr>
      </w:pPr>
      <w:r w:rsidRPr="00235489">
        <w:rPr>
          <w:rFonts w:ascii="Arial" w:hAnsi="Arial"/>
          <w:sz w:val="23"/>
        </w:rPr>
        <w:t>Sustituciones</w:t>
      </w:r>
      <w:r w:rsidR="00841095" w:rsidRPr="00235489">
        <w:rPr>
          <w:rFonts w:ascii="Arial" w:hAnsi="Arial"/>
          <w:sz w:val="23"/>
        </w:rPr>
        <w:t xml:space="preserve"> y alternancia</w:t>
      </w:r>
      <w:r w:rsidRPr="00235489">
        <w:rPr>
          <w:rFonts w:ascii="Arial" w:hAnsi="Arial"/>
          <w:sz w:val="23"/>
        </w:rPr>
        <w:t xml:space="preserve"> durante la sesión permanente</w:t>
      </w:r>
    </w:p>
    <w:p w14:paraId="76705834" w14:textId="77777777" w:rsidR="00307EBD" w:rsidRPr="00235489" w:rsidRDefault="00307EBD" w:rsidP="00307EBD">
      <w:r w:rsidRPr="00235489">
        <w:t xml:space="preserve">Que, el artículo 258 numerales 3 y 4 de la Ley Electoral refieren que, los Consejos Distritales en sesión previa a la jornada electoral, podrán acordar que la Presidencia y Secretaría del Consejo puedan ser sustituidas en sus funciones, por quien ocupe la </w:t>
      </w:r>
      <w:r w:rsidRPr="00235489">
        <w:lastRenderedPageBreak/>
        <w:t xml:space="preserve">Vocalía de Organización Electoral y Educación Cívica; y que las Consejerías Electorales y Representaciones de los partidos políticos y candidaturas independientes acrediten en sus ausencias, a sus suplencias para que participen; de forma que se pueda sesionar permanentemente. </w:t>
      </w:r>
    </w:p>
    <w:p w14:paraId="34866CBC" w14:textId="15101D7B" w:rsidR="00841095" w:rsidRPr="00235489" w:rsidRDefault="00841095" w:rsidP="00307EBD">
      <w:r w:rsidRPr="00235489">
        <w:t>Lo anterior es acorde y guarda relación con el numeral 3.7.2 Alternancia y sustitución de quienes integran el Pleno del Consejo Distrital, de los Grupos de Trabajo y, en su caso, Puntos de Recuento, de los Lineamientos.</w:t>
      </w:r>
    </w:p>
    <w:p w14:paraId="4EF4AABE" w14:textId="77777777" w:rsidR="00307EBD" w:rsidRPr="00235489" w:rsidRDefault="00307EBD" w:rsidP="00225A82">
      <w:pPr>
        <w:pStyle w:val="Ttulo2"/>
        <w:rPr>
          <w:rFonts w:ascii="Arial" w:hAnsi="Arial"/>
          <w:sz w:val="23"/>
        </w:rPr>
      </w:pPr>
      <w:r w:rsidRPr="00235489">
        <w:rPr>
          <w:rFonts w:ascii="Arial" w:hAnsi="Arial"/>
          <w:sz w:val="23"/>
        </w:rPr>
        <w:t>Mesas auxiliares</w:t>
      </w:r>
    </w:p>
    <w:p w14:paraId="1B470B93" w14:textId="77777777" w:rsidR="00307EBD" w:rsidRPr="00235489" w:rsidRDefault="00307EBD" w:rsidP="00307EBD">
      <w:r w:rsidRPr="00235489">
        <w:t>Que, el artículo 258 numerales 5, 6, y 7 de la Ley Electoral dispone que, las mesas auxiliares son órganos temporales para el desarrollo de los cómputos de las elecciones a la Gubernatura, Diputaciones, Presidencias Municipales y Regidurías. Asimismo, los Consejos Distritales podrán instalar mesas auxiliares para los cómputos de las elecciones de Diputaciones y Regidurías. El procedimiento de conformación de las mesas auxiliares será determinado conforme a los lineamientos que para tal efecto emita el Consejo Estatal.</w:t>
      </w:r>
    </w:p>
    <w:p w14:paraId="6B7B8EAC" w14:textId="77777777" w:rsidR="00307EBD" w:rsidRPr="00235489" w:rsidRDefault="00307EBD" w:rsidP="00225A82">
      <w:pPr>
        <w:pStyle w:val="Ttulo2"/>
        <w:rPr>
          <w:rFonts w:ascii="Arial" w:hAnsi="Arial"/>
          <w:sz w:val="23"/>
        </w:rPr>
      </w:pPr>
      <w:r w:rsidRPr="00235489">
        <w:rPr>
          <w:rFonts w:ascii="Arial" w:hAnsi="Arial"/>
          <w:sz w:val="23"/>
        </w:rPr>
        <w:t>Cuadernillo de consulta sobre votos válidos y votos nulos para el desarrollo de la sesión especial de cómputos distritales y municipales</w:t>
      </w:r>
    </w:p>
    <w:p w14:paraId="4E7B80AA" w14:textId="205223BA" w:rsidR="00841095" w:rsidRPr="00235489" w:rsidRDefault="00841095" w:rsidP="00841095">
      <w:r w:rsidRPr="00235489">
        <w:t>Que, los artículos 288 y 291 de la Ley General, 403 y 406, numerales 4 y 5 del Reglamento de Elecciones, establecen que la propuesta de cuadernillo de apoyo será un instrumento de consulta para el pleno del Consejo Distrital en el Proceso de la deliberación de votos, validos, nulos y en su caso reservados, contemplados para el desarrollo de la sesión de cómputo en Proceso Electoral.</w:t>
      </w:r>
    </w:p>
    <w:p w14:paraId="7303E461" w14:textId="77777777" w:rsidR="00841095" w:rsidRPr="00235489" w:rsidRDefault="00841095" w:rsidP="00841095">
      <w:r w:rsidRPr="00235489">
        <w:t>Dicho documento contiene la descripción didáctica e ilustrada de los casos en que los votos deben considerarse válidos, así como los casos en que deban ser calificados como nulos, con base en el contenido de las disposiciones legales y en ciertos precedentes dictados por la Sala Superior, con la finalidad de coadyuvar en determinar cuándo una “marca” en la boleta electoral pueda ser considerada voto válido o voto nulo.</w:t>
      </w:r>
    </w:p>
    <w:p w14:paraId="775D4948" w14:textId="56E5255D" w:rsidR="00841095" w:rsidRPr="00235489" w:rsidRDefault="00841095" w:rsidP="00841095">
      <w:r w:rsidRPr="00235489">
        <w:t xml:space="preserve">Además de lo anterior, contiene los criterios generales que pueden aplicarse en los Consejos Distritales con la finalidad de coadyuvar en determinar cuándo una “marca” en </w:t>
      </w:r>
      <w:r w:rsidRPr="00235489">
        <w:lastRenderedPageBreak/>
        <w:t>la boleta electoral pueda ser considerada voto válido o voto nulo, es decir, el sentido del voto, debiéndose en todo momento observar las disposiciones que al respecto establecen las leyes electorales, así como aquellas emitidas por el Tribunal Electoral del Poder Judicial de la Federación.</w:t>
      </w:r>
    </w:p>
    <w:p w14:paraId="2280CDDE" w14:textId="50D14CA9" w:rsidR="00841095" w:rsidRPr="00235489" w:rsidRDefault="00841095" w:rsidP="00841095">
      <w:r w:rsidRPr="00235489">
        <w:t>El objetivo de este documento es que en la sesión de cómputos distritales en la que se realicen los cómputos o recuentos se facilite la interpretación del sentido del voto reservado, buscando atender siempre a la intencionalidad de la voluntad del electorado en el momento del sufragio, sin perder de vista que el voto emitido puede contener diversos signos, leyendas, marcas, etcétera, mismos que permiten advertir la voluntad del ciudadano que acudió a emitir su voto.</w:t>
      </w:r>
    </w:p>
    <w:p w14:paraId="650FC0A8" w14:textId="77777777" w:rsidR="00777458" w:rsidRPr="00235489" w:rsidRDefault="00777458" w:rsidP="00777458">
      <w:pPr>
        <w:pStyle w:val="Ttulo2"/>
        <w:rPr>
          <w:rFonts w:ascii="Arial" w:hAnsi="Arial"/>
          <w:sz w:val="23"/>
        </w:rPr>
      </w:pPr>
      <w:r w:rsidRPr="00235489">
        <w:rPr>
          <w:rFonts w:ascii="Arial" w:hAnsi="Arial"/>
          <w:sz w:val="23"/>
        </w:rPr>
        <w:t>Lineamientos para el desarrollo de las sesiones de cómputo en los Consejos Electorales Distritales</w:t>
      </w:r>
    </w:p>
    <w:p w14:paraId="285ED0C3" w14:textId="77777777" w:rsidR="00777458" w:rsidRPr="00235489" w:rsidRDefault="00777458" w:rsidP="00777458">
      <w:r w:rsidRPr="00235489">
        <w:t>Que, con apego a las actividades y plazos establecidos en las Bases Generales para regular el desarrollo de las sesiones de los cómputos en las elecciones locales emitidos por el INE, la Dirección Ejecutiva de Organización Electoral del INE, mediante oficio INE/DEOE/0318/2024 de fecha 15 de febrero de 2024, revisó y validó la propuesta de Lineamientos para el Desarrollo de las Sesiones de Cómputo en los Consejos Electorales Distritales y el Cuadernillo de Consulta sobre Votos Válidos y Votos Nulos para el Desarrollo de la Sesión Especial de Cómputo Distritales y Municipales con motivo del Proceso Electoral.</w:t>
      </w:r>
    </w:p>
    <w:p w14:paraId="587B999D" w14:textId="77777777" w:rsidR="00777458" w:rsidRPr="00235489" w:rsidRDefault="00777458" w:rsidP="00777458">
      <w:r w:rsidRPr="00235489">
        <w:t>Asimismo, la propuesta fue motivo de análisis previo, en virtud de que la Comisión, el 24 de febrero de la presente anualidad y previo a su sesión extraordinaria, celebró reunión de trabajo en la que presentó a los partidos políticos integrantes de la Comisión los referidos lineamientos, siendo motivo de análisis y aprobación preliminar.</w:t>
      </w:r>
    </w:p>
    <w:p w14:paraId="18C0EE89" w14:textId="77777777" w:rsidR="00777458" w:rsidRPr="00235489" w:rsidRDefault="00777458" w:rsidP="00777458">
      <w:r w:rsidRPr="00235489">
        <w:t xml:space="preserve">Es así que, la Comisión con el propósito de proporcionar a los Consejos Distritales, partidos políticos, coaliciones, en su caso, candidaturas independientes y candidaturas comunes, los elementos e información necesaria que les permita llevar a cabo la etapa de cómputos de una manera ágil, eficiente y sin contratiempo alguno, propone a este Consejo Estatal los Lineamientos para el Desarrollo de las Sesiones de Cómputo en los Consejos Electorales Distritales y el Cuadernillo de Consulta sobre Votos Válidos y Votos </w:t>
      </w:r>
      <w:r w:rsidRPr="00235489">
        <w:lastRenderedPageBreak/>
        <w:t>Nulos para el Desarrollo de la Sesión Especial de Cómputo Distritales y Municipales, con motivo del Proceso Electoral Local Ordinario 2023-2024.</w:t>
      </w:r>
    </w:p>
    <w:p w14:paraId="3C8BB0B9" w14:textId="77777777" w:rsidR="00777458" w:rsidRPr="00235489" w:rsidRDefault="00777458" w:rsidP="00777458">
      <w:r w:rsidRPr="00235489">
        <w:t xml:space="preserve">De acuerdo con la Comisión, los lineamientos se sustentan en las disposiciones normativas, bases generales y criterios aplicables para el desarrollo de la reunión de trabajo, de la sesión especial y permanente de cómputo vigentes; todo con el objetivo de dar certeza a los resultados electorales. </w:t>
      </w:r>
    </w:p>
    <w:p w14:paraId="56077076" w14:textId="1B37B86A" w:rsidR="00777458" w:rsidRPr="00235489" w:rsidRDefault="00777458" w:rsidP="00777458">
      <w:r w:rsidRPr="00235489">
        <w:t>El documento consta de seis apartados, en los que se encuentran la estructura de estos para el desarrollo de las sesiones de cómputo; las acciones de previsión y planeación; la regulación en lo concerniente al desarrollo de las sesiones de cómputo; el desarrollo de la herramienta informática que se utilizará para los cómputos distritales y municipales; lo referente al programa de capacitación para los cómputos y la presentación de informes por parte de la Presidencia del Consejo Estatal.</w:t>
      </w:r>
    </w:p>
    <w:p w14:paraId="7B72D3C6" w14:textId="77777777" w:rsidR="00777458" w:rsidRPr="00235489" w:rsidRDefault="00777458" w:rsidP="00777458">
      <w:r w:rsidRPr="00235489">
        <w:t>Sobre la base de las consideraciones señaladas, este Consejo Estatal emite el siguiente:</w:t>
      </w:r>
    </w:p>
    <w:p w14:paraId="5B9845E7" w14:textId="77777777" w:rsidR="002C15AC" w:rsidRPr="00235489" w:rsidRDefault="002C15AC" w:rsidP="002C15AC">
      <w:pPr>
        <w:pStyle w:val="Ttulo1"/>
        <w:rPr>
          <w:rFonts w:ascii="Arial" w:hAnsi="Arial"/>
          <w:sz w:val="24"/>
          <w:szCs w:val="24"/>
        </w:rPr>
      </w:pPr>
      <w:r w:rsidRPr="00235489">
        <w:rPr>
          <w:rFonts w:ascii="Arial" w:hAnsi="Arial"/>
          <w:sz w:val="24"/>
          <w:szCs w:val="24"/>
        </w:rPr>
        <w:t>Acuerdo</w:t>
      </w:r>
    </w:p>
    <w:p w14:paraId="7BBE9B09" w14:textId="1FF80A1F" w:rsidR="002C15AC" w:rsidRPr="00482C23" w:rsidRDefault="002C15AC" w:rsidP="002C15AC">
      <w:r w:rsidRPr="00482C23">
        <w:rPr>
          <w:b/>
        </w:rPr>
        <w:t>Primero.</w:t>
      </w:r>
      <w:r w:rsidRPr="00482C23">
        <w:t xml:space="preserve"> Se aprueban </w:t>
      </w:r>
      <w:r w:rsidR="00777458" w:rsidRPr="00482C23">
        <w:t xml:space="preserve">los Lineamientos para el desarrollo de las sesiones de cómputo en los Consejos Electorales Distritales y el cuadernillo de consulta sobre votos válidos y votos nulos para el desarrollo de la sesión especial de cómputos distritales y municipales con motivo del Proceso Electoral Local Ordinario 2023 – 2024 </w:t>
      </w:r>
      <w:r w:rsidRPr="00482C23">
        <w:t>anexos al presente acuerdo.</w:t>
      </w:r>
    </w:p>
    <w:p w14:paraId="795E5AFF" w14:textId="33D5E64B" w:rsidR="00CB2F96" w:rsidRPr="00482C23" w:rsidRDefault="002C15AC" w:rsidP="002C15AC">
      <w:r w:rsidRPr="00482C23">
        <w:rPr>
          <w:b/>
        </w:rPr>
        <w:t>Segundo.</w:t>
      </w:r>
      <w:r w:rsidRPr="00482C23">
        <w:t xml:space="preserve"> Se instruye a la Dirección de Organización Electoral y Educación Cívica </w:t>
      </w:r>
      <w:r w:rsidR="00CB2F96" w:rsidRPr="00482C23">
        <w:t>de</w:t>
      </w:r>
      <w:r w:rsidRPr="00482C23">
        <w:t xml:space="preserve"> difusión de los Lineamientos aprobados entre los Consejos Distritales</w:t>
      </w:r>
      <w:r w:rsidR="00CB2F96" w:rsidRPr="00482C23">
        <w:t>; asimismo, para que, en su caso, realice las capacitaciones correspondientes a las áreas que guarden relación con la aprobación del presente proyecto de acuerdo, para su cabal cumplimiento.</w:t>
      </w:r>
    </w:p>
    <w:p w14:paraId="174014AB" w14:textId="77777777" w:rsidR="002C15AC" w:rsidRPr="00482C23" w:rsidRDefault="002C15AC" w:rsidP="002C15AC">
      <w:r w:rsidRPr="00482C23">
        <w:rPr>
          <w:b/>
        </w:rPr>
        <w:t xml:space="preserve">Tercero. </w:t>
      </w:r>
      <w:r w:rsidRPr="00482C23">
        <w:t>Asimismo, se instruye a la Dirección de Organización Electoral y Educación Cívica requiera a las Juntas Electorales Distritales inicien con el proceso de planeación e integración de las propuestas de espacios para el desarrollo de los cómputos distritales y municipales.</w:t>
      </w:r>
    </w:p>
    <w:p w14:paraId="1065A89C" w14:textId="77777777" w:rsidR="002C15AC" w:rsidRPr="00482C23" w:rsidRDefault="002C15AC" w:rsidP="002C15AC">
      <w:r w:rsidRPr="00482C23">
        <w:rPr>
          <w:b/>
        </w:rPr>
        <w:t>Cuarto.</w:t>
      </w:r>
      <w:r w:rsidRPr="00482C23">
        <w:t xml:space="preserve"> Se instruye a la Secretaría Ejecutiva de este Instituto para que, por conducto de la Coordinación de Vinculación con el Instituto Nacional Electoral, notifique el presente </w:t>
      </w:r>
      <w:r w:rsidRPr="00482C23">
        <w:lastRenderedPageBreak/>
        <w:t>acuerdo al citado organismo nacional, a través de su Unidad Técnica de Vinculación con los Organismos Públicos Locales, para los efectos correspondientes.</w:t>
      </w:r>
    </w:p>
    <w:p w14:paraId="27021CE6" w14:textId="77777777" w:rsidR="002C15AC" w:rsidRPr="00482C23" w:rsidRDefault="002C15AC" w:rsidP="002C15AC">
      <w:r w:rsidRPr="00482C23">
        <w:rPr>
          <w:b/>
        </w:rPr>
        <w:t>Quinto.</w:t>
      </w:r>
      <w:r w:rsidRPr="00482C23">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71B6E30" w14:textId="7443F414" w:rsidR="002C15AC" w:rsidRPr="00482C23" w:rsidRDefault="002C15AC" w:rsidP="002C15AC">
      <w:r w:rsidRPr="00482C23">
        <w:t xml:space="preserve">El presente acuerdo fue </w:t>
      </w:r>
      <w:r w:rsidR="00235489">
        <w:t>aprobado</w:t>
      </w:r>
      <w:r w:rsidRPr="00482C23">
        <w:t xml:space="preserve"> en sesión</w:t>
      </w:r>
      <w:r w:rsidR="00235489">
        <w:t xml:space="preserve"> ordinaria</w:t>
      </w:r>
      <w:r w:rsidRPr="00482C23">
        <w:t xml:space="preserve"> efectuada el </w:t>
      </w:r>
      <w:r w:rsidR="00235489">
        <w:t>28</w:t>
      </w:r>
      <w:r w:rsidRPr="00482C23">
        <w:t xml:space="preserve"> de </w:t>
      </w:r>
      <w:r w:rsidR="00235489">
        <w:t>febrero</w:t>
      </w:r>
      <w:r w:rsidRPr="00482C23">
        <w:t xml:space="preserve"> del año dos mil veinti</w:t>
      </w:r>
      <w:r w:rsidR="00395CD5">
        <w:t>cuatro</w:t>
      </w:r>
      <w:r w:rsidRPr="00482C23">
        <w:t>, por votación</w:t>
      </w:r>
      <w:r w:rsidR="00235489">
        <w:t xml:space="preserve"> unánime</w:t>
      </w:r>
      <w:r w:rsidRPr="00482C23">
        <w:t xml:space="preserve"> de las y los Consejeros Electorales del Consejo Estatal del Instituto Electoral y de Participación Ciudadana de Tabasco: Dra. </w:t>
      </w:r>
      <w:proofErr w:type="spellStart"/>
      <w:r w:rsidRPr="00482C23">
        <w:t>Rosselvy</w:t>
      </w:r>
      <w:proofErr w:type="spellEnd"/>
      <w:r w:rsidRPr="00482C23">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125ED79F" w14:textId="315CC6DF" w:rsidR="002C15AC" w:rsidRDefault="002C15AC" w:rsidP="002C15AC"/>
    <w:p w14:paraId="4F4632DA" w14:textId="77777777" w:rsidR="00382FF2" w:rsidRPr="00482C23" w:rsidRDefault="00382FF2" w:rsidP="002C15AC"/>
    <w:p w14:paraId="0E30524E" w14:textId="77777777" w:rsidR="00253D9C" w:rsidRPr="00482C23" w:rsidRDefault="00253D9C" w:rsidP="002C15AC"/>
    <w:tbl>
      <w:tblPr>
        <w:tblStyle w:val="Tablaconcuadrcula"/>
        <w:tblW w:w="9562"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306"/>
        <w:gridCol w:w="4654"/>
      </w:tblGrid>
      <w:tr w:rsidR="003544A4" w:rsidRPr="00482C23" w14:paraId="29949FFC" w14:textId="77777777" w:rsidTr="00235489">
        <w:trPr>
          <w:trHeight w:val="1219"/>
        </w:trPr>
        <w:tc>
          <w:tcPr>
            <w:tcW w:w="4602" w:type="dxa"/>
          </w:tcPr>
          <w:p w14:paraId="3C68FD69" w14:textId="2C36C904" w:rsidR="003544A4" w:rsidRPr="00482C23" w:rsidRDefault="003544A4" w:rsidP="003544A4">
            <w:pPr>
              <w:spacing w:before="0" w:after="0"/>
              <w:jc w:val="center"/>
              <w:rPr>
                <w:b/>
              </w:rPr>
            </w:pPr>
            <w:r w:rsidRPr="00482C23">
              <w:rPr>
                <w:b/>
              </w:rPr>
              <w:t xml:space="preserve">MTRA. ELIZABETH NAVA </w:t>
            </w:r>
            <w:r w:rsidR="00235489">
              <w:rPr>
                <w:b/>
              </w:rPr>
              <w:t>G</w:t>
            </w:r>
            <w:r w:rsidRPr="00482C23">
              <w:rPr>
                <w:b/>
              </w:rPr>
              <w:t>UTIÉRREZ</w:t>
            </w:r>
          </w:p>
          <w:p w14:paraId="22CE8940" w14:textId="77777777" w:rsidR="003544A4" w:rsidRPr="00482C23" w:rsidRDefault="003544A4" w:rsidP="003544A4">
            <w:pPr>
              <w:spacing w:before="0" w:after="0"/>
              <w:jc w:val="center"/>
              <w:rPr>
                <w:b/>
              </w:rPr>
            </w:pPr>
            <w:r w:rsidRPr="00482C23">
              <w:rPr>
                <w:b/>
              </w:rPr>
              <w:t>CONSEJERA PRESIDENTA</w:t>
            </w:r>
          </w:p>
        </w:tc>
        <w:tc>
          <w:tcPr>
            <w:tcW w:w="306" w:type="dxa"/>
          </w:tcPr>
          <w:p w14:paraId="68742980" w14:textId="77777777" w:rsidR="003544A4" w:rsidRPr="00482C23" w:rsidRDefault="003544A4" w:rsidP="003544A4">
            <w:pPr>
              <w:spacing w:before="0" w:after="0"/>
              <w:jc w:val="center"/>
              <w:rPr>
                <w:b/>
              </w:rPr>
            </w:pPr>
          </w:p>
        </w:tc>
        <w:tc>
          <w:tcPr>
            <w:tcW w:w="4654" w:type="dxa"/>
          </w:tcPr>
          <w:p w14:paraId="4B68F7C1" w14:textId="77777777" w:rsidR="003544A4" w:rsidRPr="00482C23" w:rsidRDefault="003544A4" w:rsidP="003544A4">
            <w:pPr>
              <w:spacing w:before="0" w:after="0"/>
              <w:jc w:val="center"/>
              <w:rPr>
                <w:b/>
              </w:rPr>
            </w:pPr>
            <w:r w:rsidRPr="00482C23">
              <w:rPr>
                <w:b/>
              </w:rPr>
              <w:t>LIC. JORGE ALBERTO ZAVALA FRÍAS</w:t>
            </w:r>
          </w:p>
          <w:p w14:paraId="14F5824E" w14:textId="77777777" w:rsidR="003544A4" w:rsidRPr="00482C23" w:rsidRDefault="003544A4" w:rsidP="003544A4">
            <w:pPr>
              <w:spacing w:before="0" w:after="0"/>
              <w:jc w:val="center"/>
              <w:rPr>
                <w:b/>
              </w:rPr>
            </w:pPr>
            <w:r w:rsidRPr="00482C23">
              <w:rPr>
                <w:b/>
              </w:rPr>
              <w:t>SECRETARIO DEL CONSEJO</w:t>
            </w:r>
          </w:p>
        </w:tc>
      </w:tr>
    </w:tbl>
    <w:p w14:paraId="40603B37" w14:textId="77777777" w:rsidR="002C15AC" w:rsidRPr="00482C23" w:rsidRDefault="002C15AC" w:rsidP="00235489"/>
    <w:sectPr w:rsidR="002C15AC" w:rsidRPr="00482C23" w:rsidSect="00235489">
      <w:headerReference w:type="default" r:id="rId7"/>
      <w:footerReference w:type="default" r:id="rId8"/>
      <w:pgSz w:w="12240" w:h="15840" w:code="1"/>
      <w:pgMar w:top="2836" w:right="1467"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CC22F" w14:textId="77777777" w:rsidR="00F82CCF" w:rsidRDefault="00F82CCF" w:rsidP="00C118E4">
      <w:pPr>
        <w:spacing w:before="0" w:after="0" w:line="240" w:lineRule="auto"/>
      </w:pPr>
      <w:r>
        <w:separator/>
      </w:r>
    </w:p>
  </w:endnote>
  <w:endnote w:type="continuationSeparator" w:id="0">
    <w:p w14:paraId="3257F20C" w14:textId="77777777" w:rsidR="00F82CCF" w:rsidRDefault="00F82CCF" w:rsidP="00C118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xo" w:hAnsi="Exo"/>
        <w:color w:val="993366"/>
        <w:sz w:val="20"/>
        <w:szCs w:val="20"/>
      </w:rPr>
      <w:id w:val="-1016539372"/>
      <w:docPartObj>
        <w:docPartGallery w:val="Page Numbers (Top of Page)"/>
        <w:docPartUnique/>
      </w:docPartObj>
    </w:sdtPr>
    <w:sdtEndPr/>
    <w:sdtContent>
      <w:p w14:paraId="3BED1432" w14:textId="1A2015DB" w:rsidR="001235C8" w:rsidRPr="001235C8" w:rsidRDefault="001235C8" w:rsidP="001235C8">
        <w:pPr>
          <w:pStyle w:val="Piedepgina"/>
          <w:jc w:val="right"/>
          <w:rPr>
            <w:rFonts w:ascii="Exo" w:hAnsi="Exo"/>
            <w:color w:val="993366"/>
            <w:sz w:val="20"/>
            <w:szCs w:val="20"/>
          </w:rPr>
        </w:pPr>
        <w:r w:rsidRPr="001235C8">
          <w:rPr>
            <w:rFonts w:ascii="Exo" w:hAnsi="Exo"/>
            <w:b/>
            <w:bCs/>
            <w:color w:val="993366"/>
          </w:rPr>
          <w:t xml:space="preserve">Página </w:t>
        </w:r>
        <w:r w:rsidRPr="001235C8">
          <w:rPr>
            <w:rFonts w:ascii="Exo" w:hAnsi="Exo"/>
            <w:b/>
            <w:bCs/>
            <w:color w:val="993366"/>
          </w:rPr>
          <w:fldChar w:fldCharType="begin"/>
        </w:r>
        <w:r w:rsidRPr="001235C8">
          <w:rPr>
            <w:rFonts w:ascii="Exo" w:hAnsi="Exo"/>
            <w:b/>
            <w:bCs/>
            <w:color w:val="993366"/>
          </w:rPr>
          <w:instrText>PAGE</w:instrText>
        </w:r>
        <w:r w:rsidRPr="001235C8">
          <w:rPr>
            <w:rFonts w:ascii="Exo" w:hAnsi="Exo"/>
            <w:b/>
            <w:bCs/>
            <w:color w:val="993366"/>
          </w:rPr>
          <w:fldChar w:fldCharType="separate"/>
        </w:r>
        <w:r w:rsidR="00623731">
          <w:rPr>
            <w:rFonts w:ascii="Exo" w:hAnsi="Exo"/>
            <w:b/>
            <w:bCs/>
            <w:noProof/>
            <w:color w:val="993366"/>
          </w:rPr>
          <w:t>14</w:t>
        </w:r>
        <w:r w:rsidRPr="001235C8">
          <w:rPr>
            <w:rFonts w:ascii="Exo" w:hAnsi="Exo"/>
            <w:b/>
            <w:bCs/>
            <w:color w:val="993366"/>
          </w:rPr>
          <w:fldChar w:fldCharType="end"/>
        </w:r>
        <w:r w:rsidRPr="001235C8">
          <w:rPr>
            <w:rFonts w:ascii="Exo" w:hAnsi="Exo"/>
            <w:b/>
            <w:bCs/>
            <w:color w:val="993366"/>
          </w:rPr>
          <w:t xml:space="preserve"> | </w:t>
        </w:r>
        <w:r w:rsidRPr="001235C8">
          <w:rPr>
            <w:rFonts w:ascii="Exo" w:hAnsi="Exo"/>
            <w:b/>
            <w:bCs/>
            <w:color w:val="993366"/>
          </w:rPr>
          <w:fldChar w:fldCharType="begin"/>
        </w:r>
        <w:r w:rsidRPr="001235C8">
          <w:rPr>
            <w:rFonts w:ascii="Exo" w:hAnsi="Exo"/>
            <w:b/>
            <w:bCs/>
            <w:color w:val="993366"/>
          </w:rPr>
          <w:instrText>NUMPAGES</w:instrText>
        </w:r>
        <w:r w:rsidRPr="001235C8">
          <w:rPr>
            <w:rFonts w:ascii="Exo" w:hAnsi="Exo"/>
            <w:b/>
            <w:bCs/>
            <w:color w:val="993366"/>
          </w:rPr>
          <w:fldChar w:fldCharType="separate"/>
        </w:r>
        <w:r w:rsidR="00623731">
          <w:rPr>
            <w:rFonts w:ascii="Exo" w:hAnsi="Exo"/>
            <w:b/>
            <w:bCs/>
            <w:noProof/>
            <w:color w:val="993366"/>
          </w:rPr>
          <w:t>14</w:t>
        </w:r>
        <w:r w:rsidRPr="001235C8">
          <w:rPr>
            <w:rFonts w:ascii="Exo" w:hAnsi="Exo"/>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E9097" w14:textId="77777777" w:rsidR="00F82CCF" w:rsidRDefault="00F82CCF" w:rsidP="00C118E4">
      <w:pPr>
        <w:spacing w:before="0" w:after="0" w:line="240" w:lineRule="auto"/>
      </w:pPr>
      <w:r>
        <w:separator/>
      </w:r>
    </w:p>
  </w:footnote>
  <w:footnote w:type="continuationSeparator" w:id="0">
    <w:p w14:paraId="063A3559" w14:textId="77777777" w:rsidR="00F82CCF" w:rsidRDefault="00F82CCF" w:rsidP="00C118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118E4" w:rsidRPr="00063338" w14:paraId="78ACC976" w14:textId="77777777" w:rsidTr="006016E5">
      <w:tc>
        <w:tcPr>
          <w:tcW w:w="1418" w:type="dxa"/>
        </w:tcPr>
        <w:p w14:paraId="0348D04D" w14:textId="77777777" w:rsidR="00C118E4" w:rsidRPr="00063338" w:rsidRDefault="00C118E4" w:rsidP="00C118E4">
          <w:pPr>
            <w:pStyle w:val="Encabezado"/>
            <w:ind w:left="-170"/>
          </w:pPr>
          <w:r>
            <w:rPr>
              <w:b/>
              <w:noProof/>
              <w:sz w:val="32"/>
              <w:lang w:val="es-MX" w:eastAsia="es-MX"/>
            </w:rPr>
            <w:drawing>
              <wp:inline distT="0" distB="0" distL="0" distR="0" wp14:anchorId="7FB80A2E" wp14:editId="526B92E7">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B6BCB5A" w14:textId="77777777" w:rsidR="00C118E4" w:rsidRPr="00FA6047" w:rsidRDefault="00C118E4" w:rsidP="00C118E4">
          <w:pPr>
            <w:pStyle w:val="Encabezado"/>
            <w:spacing w:before="720"/>
            <w:jc w:val="center"/>
            <w:rPr>
              <w:b/>
              <w:bCs/>
              <w:sz w:val="25"/>
              <w:szCs w:val="25"/>
            </w:rPr>
          </w:pPr>
          <w:r w:rsidRPr="00FA6047">
            <w:rPr>
              <w:b/>
              <w:bCs/>
              <w:sz w:val="25"/>
              <w:szCs w:val="25"/>
            </w:rPr>
            <w:t>INSTITUTO ELECTORAL Y DE PARTICIPACIÓN CIUDADANA DE TABASCO</w:t>
          </w:r>
        </w:p>
        <w:p w14:paraId="11650A13" w14:textId="77777777" w:rsidR="00C118E4" w:rsidRPr="00063338" w:rsidRDefault="00C118E4" w:rsidP="00C118E4">
          <w:pPr>
            <w:pStyle w:val="Encabezado"/>
            <w:jc w:val="center"/>
          </w:pPr>
          <w:r w:rsidRPr="00FA6047">
            <w:rPr>
              <w:sz w:val="26"/>
              <w:szCs w:val="26"/>
            </w:rPr>
            <w:t>CONSEJO ESTATAL</w:t>
          </w:r>
        </w:p>
      </w:tc>
      <w:tc>
        <w:tcPr>
          <w:tcW w:w="1701" w:type="dxa"/>
        </w:tcPr>
        <w:p w14:paraId="6C40453B" w14:textId="77777777" w:rsidR="00C118E4" w:rsidRPr="00063338" w:rsidRDefault="00C118E4" w:rsidP="00C118E4">
          <w:pPr>
            <w:pStyle w:val="Encabezado"/>
            <w:spacing w:before="480"/>
          </w:pPr>
          <w:r>
            <w:rPr>
              <w:noProof/>
              <w:lang w:val="es-MX" w:eastAsia="es-MX"/>
            </w:rPr>
            <w:drawing>
              <wp:inline distT="0" distB="0" distL="0" distR="0" wp14:anchorId="03EF7C11" wp14:editId="15774AFB">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7B9BCC4" w14:textId="293B1EC1" w:rsidR="00C118E4" w:rsidRPr="00235489" w:rsidRDefault="00235489" w:rsidP="00235489">
    <w:pPr>
      <w:pStyle w:val="Encabezado"/>
      <w:jc w:val="right"/>
      <w:rPr>
        <w:b/>
        <w:sz w:val="24"/>
        <w:szCs w:val="24"/>
      </w:rPr>
    </w:pPr>
    <w:r w:rsidRPr="00235489">
      <w:rPr>
        <w:b/>
        <w:sz w:val="24"/>
        <w:szCs w:val="24"/>
      </w:rPr>
      <w:t>CE/2024/020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42917"/>
    <w:multiLevelType w:val="multilevel"/>
    <w:tmpl w:val="2EF6FB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E2A6E0A"/>
    <w:multiLevelType w:val="multilevel"/>
    <w:tmpl w:val="9E42E4F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3A"/>
    <w:rsid w:val="000167EC"/>
    <w:rsid w:val="0008023B"/>
    <w:rsid w:val="001235C8"/>
    <w:rsid w:val="001E280B"/>
    <w:rsid w:val="00200177"/>
    <w:rsid w:val="00225A82"/>
    <w:rsid w:val="00235489"/>
    <w:rsid w:val="002424BB"/>
    <w:rsid w:val="00253D9C"/>
    <w:rsid w:val="002C15AC"/>
    <w:rsid w:val="002C1750"/>
    <w:rsid w:val="00307EBD"/>
    <w:rsid w:val="003544A4"/>
    <w:rsid w:val="00382FF2"/>
    <w:rsid w:val="00395CD5"/>
    <w:rsid w:val="00482C23"/>
    <w:rsid w:val="004E65C1"/>
    <w:rsid w:val="00623731"/>
    <w:rsid w:val="00634ABD"/>
    <w:rsid w:val="006A7D65"/>
    <w:rsid w:val="006E2FB6"/>
    <w:rsid w:val="00702C44"/>
    <w:rsid w:val="00744277"/>
    <w:rsid w:val="00777458"/>
    <w:rsid w:val="007D77E6"/>
    <w:rsid w:val="007F7776"/>
    <w:rsid w:val="00841095"/>
    <w:rsid w:val="00934C55"/>
    <w:rsid w:val="009F0723"/>
    <w:rsid w:val="009F5E98"/>
    <w:rsid w:val="00A20F57"/>
    <w:rsid w:val="00A352A8"/>
    <w:rsid w:val="00A6133A"/>
    <w:rsid w:val="00A909C1"/>
    <w:rsid w:val="00AE61C3"/>
    <w:rsid w:val="00AE720B"/>
    <w:rsid w:val="00B06EF5"/>
    <w:rsid w:val="00C118E4"/>
    <w:rsid w:val="00C51D61"/>
    <w:rsid w:val="00C728F0"/>
    <w:rsid w:val="00CB2F96"/>
    <w:rsid w:val="00D74FAB"/>
    <w:rsid w:val="00D93AB3"/>
    <w:rsid w:val="00DC5AA8"/>
    <w:rsid w:val="00E53B8C"/>
    <w:rsid w:val="00E74E9A"/>
    <w:rsid w:val="00E7576F"/>
    <w:rsid w:val="00EB633F"/>
    <w:rsid w:val="00F82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84FB"/>
  <w15:chartTrackingRefBased/>
  <w15:docId w15:val="{5C3A4D57-49A4-4834-85BA-E9E7929A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33A"/>
    <w:pPr>
      <w:spacing w:before="240" w:after="240" w:line="288" w:lineRule="auto"/>
      <w:jc w:val="both"/>
    </w:pPr>
    <w:rPr>
      <w:rFonts w:ascii="Arial" w:hAnsi="Arial" w:cs="Arial"/>
      <w:sz w:val="23"/>
      <w:szCs w:val="23"/>
      <w:lang w:val="es-ES"/>
    </w:rPr>
  </w:style>
  <w:style w:type="paragraph" w:styleId="Ttulo1">
    <w:name w:val="heading 1"/>
    <w:basedOn w:val="Ttulo2"/>
    <w:next w:val="Normal"/>
    <w:link w:val="Ttulo1Car"/>
    <w:uiPriority w:val="9"/>
    <w:qFormat/>
    <w:rsid w:val="00225A82"/>
    <w:pPr>
      <w:numPr>
        <w:ilvl w:val="0"/>
      </w:numPr>
      <w:spacing w:before="600" w:after="480"/>
      <w:jc w:val="center"/>
      <w:outlineLvl w:val="0"/>
    </w:pPr>
    <w:rPr>
      <w:sz w:val="28"/>
    </w:rPr>
  </w:style>
  <w:style w:type="paragraph" w:styleId="Ttulo2">
    <w:name w:val="heading 2"/>
    <w:basedOn w:val="Normal"/>
    <w:next w:val="Normal"/>
    <w:link w:val="Ttulo2Car"/>
    <w:uiPriority w:val="9"/>
    <w:unhideWhenUsed/>
    <w:qFormat/>
    <w:rsid w:val="00225A82"/>
    <w:pPr>
      <w:numPr>
        <w:ilvl w:val="1"/>
        <w:numId w:val="1"/>
      </w:numPr>
      <w:spacing w:before="480"/>
      <w:outlineLvl w:val="1"/>
    </w:pPr>
    <w:rPr>
      <w:rFonts w:ascii="Exo" w:hAnsi="Exo"/>
      <w:b/>
      <w:sz w:val="24"/>
      <w:lang w:val="es-MX"/>
    </w:rPr>
  </w:style>
  <w:style w:type="paragraph" w:styleId="Ttulo3">
    <w:name w:val="heading 3"/>
    <w:basedOn w:val="Normal"/>
    <w:next w:val="Normal"/>
    <w:link w:val="Ttulo3Car"/>
    <w:uiPriority w:val="9"/>
    <w:semiHidden/>
    <w:unhideWhenUsed/>
    <w:qFormat/>
    <w:rsid w:val="00A6133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lang w:val="es-MX"/>
    </w:rPr>
  </w:style>
  <w:style w:type="paragraph" w:styleId="Ttulo4">
    <w:name w:val="heading 4"/>
    <w:basedOn w:val="Normal"/>
    <w:next w:val="Normal"/>
    <w:link w:val="Ttulo4Car"/>
    <w:uiPriority w:val="9"/>
    <w:semiHidden/>
    <w:unhideWhenUsed/>
    <w:qFormat/>
    <w:rsid w:val="00A6133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val="es-MX"/>
    </w:rPr>
  </w:style>
  <w:style w:type="paragraph" w:styleId="Ttulo5">
    <w:name w:val="heading 5"/>
    <w:basedOn w:val="Normal"/>
    <w:next w:val="Normal"/>
    <w:link w:val="Ttulo5Car"/>
    <w:uiPriority w:val="9"/>
    <w:semiHidden/>
    <w:unhideWhenUsed/>
    <w:qFormat/>
    <w:rsid w:val="00A6133A"/>
    <w:pPr>
      <w:keepNext/>
      <w:keepLines/>
      <w:numPr>
        <w:ilvl w:val="4"/>
        <w:numId w:val="1"/>
      </w:numPr>
      <w:spacing w:before="40" w:after="0"/>
      <w:outlineLvl w:val="4"/>
    </w:pPr>
    <w:rPr>
      <w:rFonts w:asciiTheme="majorHAnsi" w:eastAsiaTheme="majorEastAsia" w:hAnsiTheme="majorHAnsi" w:cstheme="majorBidi"/>
      <w:color w:val="2E74B5" w:themeColor="accent1" w:themeShade="BF"/>
      <w:lang w:val="es-MX"/>
    </w:rPr>
  </w:style>
  <w:style w:type="paragraph" w:styleId="Ttulo6">
    <w:name w:val="heading 6"/>
    <w:basedOn w:val="Normal"/>
    <w:next w:val="Normal"/>
    <w:link w:val="Ttulo6Car"/>
    <w:uiPriority w:val="9"/>
    <w:semiHidden/>
    <w:unhideWhenUsed/>
    <w:qFormat/>
    <w:rsid w:val="00A6133A"/>
    <w:pPr>
      <w:keepNext/>
      <w:keepLines/>
      <w:numPr>
        <w:ilvl w:val="5"/>
        <w:numId w:val="1"/>
      </w:numPr>
      <w:spacing w:before="40" w:after="0"/>
      <w:outlineLvl w:val="5"/>
    </w:pPr>
    <w:rPr>
      <w:rFonts w:asciiTheme="majorHAnsi" w:eastAsiaTheme="majorEastAsia" w:hAnsiTheme="majorHAnsi" w:cstheme="majorBidi"/>
      <w:color w:val="1F4D78" w:themeColor="accent1" w:themeShade="7F"/>
      <w:lang w:val="es-MX"/>
    </w:rPr>
  </w:style>
  <w:style w:type="paragraph" w:styleId="Ttulo7">
    <w:name w:val="heading 7"/>
    <w:basedOn w:val="Normal"/>
    <w:next w:val="Normal"/>
    <w:link w:val="Ttulo7Car"/>
    <w:uiPriority w:val="9"/>
    <w:semiHidden/>
    <w:unhideWhenUsed/>
    <w:qFormat/>
    <w:rsid w:val="00A6133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lang w:val="es-MX"/>
    </w:rPr>
  </w:style>
  <w:style w:type="paragraph" w:styleId="Ttulo8">
    <w:name w:val="heading 8"/>
    <w:basedOn w:val="Normal"/>
    <w:next w:val="Normal"/>
    <w:link w:val="Ttulo8Car"/>
    <w:uiPriority w:val="9"/>
    <w:semiHidden/>
    <w:unhideWhenUsed/>
    <w:qFormat/>
    <w:rsid w:val="00A613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val="es-MX"/>
    </w:rPr>
  </w:style>
  <w:style w:type="paragraph" w:styleId="Ttulo9">
    <w:name w:val="heading 9"/>
    <w:basedOn w:val="Normal"/>
    <w:next w:val="Normal"/>
    <w:link w:val="Ttulo9Car"/>
    <w:uiPriority w:val="9"/>
    <w:semiHidden/>
    <w:unhideWhenUsed/>
    <w:qFormat/>
    <w:rsid w:val="00A613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A82"/>
    <w:rPr>
      <w:rFonts w:ascii="Exo" w:hAnsi="Exo" w:cs="Arial"/>
      <w:b/>
      <w:sz w:val="28"/>
      <w:szCs w:val="23"/>
    </w:rPr>
  </w:style>
  <w:style w:type="character" w:customStyle="1" w:styleId="Ttulo2Car">
    <w:name w:val="Título 2 Car"/>
    <w:basedOn w:val="Fuentedeprrafopredeter"/>
    <w:link w:val="Ttulo2"/>
    <w:uiPriority w:val="9"/>
    <w:rsid w:val="00225A82"/>
    <w:rPr>
      <w:rFonts w:ascii="Exo" w:hAnsi="Exo" w:cs="Arial"/>
      <w:b/>
      <w:sz w:val="24"/>
      <w:szCs w:val="23"/>
    </w:rPr>
  </w:style>
  <w:style w:type="character" w:customStyle="1" w:styleId="Ttulo3Car">
    <w:name w:val="Título 3 Car"/>
    <w:basedOn w:val="Fuentedeprrafopredeter"/>
    <w:link w:val="Ttulo3"/>
    <w:uiPriority w:val="9"/>
    <w:semiHidden/>
    <w:rsid w:val="00A6133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6133A"/>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A6133A"/>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A6133A"/>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A6133A"/>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A6133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6133A"/>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30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18E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118E4"/>
    <w:rPr>
      <w:rFonts w:ascii="Arial" w:hAnsi="Arial" w:cs="Arial"/>
      <w:sz w:val="23"/>
      <w:szCs w:val="23"/>
      <w:lang w:val="es-ES"/>
    </w:rPr>
  </w:style>
  <w:style w:type="paragraph" w:styleId="Piedepgina">
    <w:name w:val="footer"/>
    <w:basedOn w:val="Normal"/>
    <w:link w:val="PiedepginaCar"/>
    <w:uiPriority w:val="99"/>
    <w:unhideWhenUsed/>
    <w:rsid w:val="00C118E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118E4"/>
    <w:rPr>
      <w:rFonts w:ascii="Arial" w:hAnsi="Arial" w:cs="Arial"/>
      <w:sz w:val="23"/>
      <w:szCs w:val="23"/>
      <w:lang w:val="es-ES"/>
    </w:rPr>
  </w:style>
  <w:style w:type="paragraph" w:styleId="Textodeglobo">
    <w:name w:val="Balloon Text"/>
    <w:basedOn w:val="Normal"/>
    <w:link w:val="TextodegloboCar"/>
    <w:uiPriority w:val="99"/>
    <w:semiHidden/>
    <w:unhideWhenUsed/>
    <w:rsid w:val="00382FF2"/>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FF2"/>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14</Pages>
  <Words>4105</Words>
  <Characters>22578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42</cp:revision>
  <cp:lastPrinted>2024-02-29T00:44:00Z</cp:lastPrinted>
  <dcterms:created xsi:type="dcterms:W3CDTF">2024-01-30T18:35:00Z</dcterms:created>
  <dcterms:modified xsi:type="dcterms:W3CDTF">2024-02-29T00:44:00Z</dcterms:modified>
</cp:coreProperties>
</file>