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DDDA" w14:textId="77777777" w:rsidR="00857341" w:rsidRPr="00857341" w:rsidRDefault="00857341" w:rsidP="00857341">
      <w:pPr>
        <w:spacing w:before="0" w:after="0"/>
        <w:jc w:val="center"/>
        <w:rPr>
          <w:b/>
          <w:sz w:val="32"/>
        </w:rPr>
      </w:pPr>
      <w:r w:rsidRPr="00857341">
        <w:rPr>
          <w:b/>
          <w:sz w:val="32"/>
        </w:rPr>
        <w:t>SESIÓN ORDINARIA</w:t>
      </w:r>
    </w:p>
    <w:p w14:paraId="3872E20A" w14:textId="4AE9FD1A" w:rsidR="00857341" w:rsidRDefault="00821441" w:rsidP="00857341">
      <w:pPr>
        <w:spacing w:before="0" w:after="0"/>
        <w:jc w:val="center"/>
      </w:pPr>
      <w:r>
        <w:t>JUEVES</w:t>
      </w:r>
      <w:r w:rsidR="00857341">
        <w:t xml:space="preserve">, </w:t>
      </w:r>
      <w:r w:rsidR="00392D29">
        <w:t>28</w:t>
      </w:r>
      <w:r w:rsidR="00770D2E">
        <w:t xml:space="preserve"> </w:t>
      </w:r>
      <w:r w:rsidR="00857341">
        <w:t xml:space="preserve">DE </w:t>
      </w:r>
      <w:r w:rsidR="00392D29">
        <w:t>DICIEMBRE</w:t>
      </w:r>
      <w:r>
        <w:t xml:space="preserve"> </w:t>
      </w:r>
      <w:r w:rsidR="00857341">
        <w:t>DE 2023</w:t>
      </w:r>
    </w:p>
    <w:p w14:paraId="2A567E90" w14:textId="77777777" w:rsidR="00857341" w:rsidRPr="00A24D8F" w:rsidRDefault="00857341" w:rsidP="00857341">
      <w:pPr>
        <w:spacing w:before="0" w:after="0"/>
        <w:jc w:val="center"/>
        <w:rPr>
          <w:b/>
        </w:rPr>
      </w:pPr>
      <w:r w:rsidRPr="00A24D8F">
        <w:rPr>
          <w:b/>
        </w:rPr>
        <w:t>11:00 HORAS</w:t>
      </w:r>
    </w:p>
    <w:p w14:paraId="2BF1C3B3" w14:textId="77777777" w:rsidR="00857341" w:rsidRPr="00857341" w:rsidRDefault="00857341" w:rsidP="00857341">
      <w:pPr>
        <w:spacing w:before="0" w:after="0"/>
        <w:jc w:val="center"/>
        <w:rPr>
          <w:b/>
        </w:rPr>
      </w:pPr>
      <w:r w:rsidRPr="00857341">
        <w:rPr>
          <w:b/>
        </w:rPr>
        <w:t>ORDEN DEL DÍA</w:t>
      </w:r>
    </w:p>
    <w:p w14:paraId="74ED62F8" w14:textId="77777777" w:rsidR="00857341" w:rsidRPr="00E2395A" w:rsidRDefault="00857341" w:rsidP="00857341">
      <w:pPr>
        <w:pStyle w:val="Prrafodelista"/>
        <w:numPr>
          <w:ilvl w:val="0"/>
          <w:numId w:val="1"/>
        </w:numPr>
        <w:ind w:left="510" w:hanging="510"/>
        <w:contextualSpacing w:val="0"/>
        <w:rPr>
          <w:sz w:val="22"/>
        </w:rPr>
      </w:pPr>
      <w:r w:rsidRPr="00E2395A">
        <w:rPr>
          <w:sz w:val="22"/>
        </w:rPr>
        <w:t xml:space="preserve">Lista de asistencia; </w:t>
      </w:r>
    </w:p>
    <w:p w14:paraId="51FAC618" w14:textId="77777777" w:rsidR="00857341" w:rsidRPr="00E2395A" w:rsidRDefault="00857341" w:rsidP="00857341">
      <w:pPr>
        <w:pStyle w:val="Prrafodelista"/>
        <w:numPr>
          <w:ilvl w:val="0"/>
          <w:numId w:val="1"/>
        </w:numPr>
        <w:ind w:left="510" w:hanging="510"/>
        <w:contextualSpacing w:val="0"/>
        <w:rPr>
          <w:sz w:val="22"/>
        </w:rPr>
      </w:pPr>
      <w:r w:rsidRPr="00E2395A">
        <w:rPr>
          <w:sz w:val="22"/>
        </w:rPr>
        <w:t xml:space="preserve">Declaración de quórum; </w:t>
      </w:r>
    </w:p>
    <w:p w14:paraId="1C8E6641" w14:textId="77777777" w:rsidR="00857341" w:rsidRPr="00E2395A" w:rsidRDefault="00857341" w:rsidP="00857341">
      <w:pPr>
        <w:pStyle w:val="Prrafodelista"/>
        <w:numPr>
          <w:ilvl w:val="0"/>
          <w:numId w:val="1"/>
        </w:numPr>
        <w:ind w:left="510" w:hanging="510"/>
        <w:contextualSpacing w:val="0"/>
        <w:rPr>
          <w:sz w:val="22"/>
        </w:rPr>
      </w:pPr>
      <w:r w:rsidRPr="00E2395A">
        <w:rPr>
          <w:sz w:val="22"/>
        </w:rPr>
        <w:t>Aprobación del orden del día;</w:t>
      </w:r>
    </w:p>
    <w:p w14:paraId="0CF1D967" w14:textId="0A321956" w:rsidR="00392D29" w:rsidRDefault="00857341" w:rsidP="002553B3">
      <w:pPr>
        <w:pStyle w:val="Prrafodelista"/>
        <w:numPr>
          <w:ilvl w:val="0"/>
          <w:numId w:val="1"/>
        </w:numPr>
        <w:ind w:left="567" w:hanging="567"/>
        <w:contextualSpacing w:val="0"/>
        <w:rPr>
          <w:sz w:val="22"/>
        </w:rPr>
      </w:pPr>
      <w:r w:rsidRPr="00392D29">
        <w:rPr>
          <w:sz w:val="22"/>
        </w:rPr>
        <w:t>Presentación y aprobación en su caso, de</w:t>
      </w:r>
      <w:r w:rsidR="00E2395A" w:rsidRPr="00392D29">
        <w:rPr>
          <w:sz w:val="22"/>
        </w:rPr>
        <w:t xml:space="preserve"> </w:t>
      </w:r>
      <w:r w:rsidRPr="00392D29">
        <w:rPr>
          <w:sz w:val="22"/>
        </w:rPr>
        <w:t>l</w:t>
      </w:r>
      <w:r w:rsidR="00E2395A" w:rsidRPr="00392D29">
        <w:rPr>
          <w:sz w:val="22"/>
        </w:rPr>
        <w:t>os</w:t>
      </w:r>
      <w:r w:rsidRPr="00392D29">
        <w:rPr>
          <w:sz w:val="22"/>
        </w:rPr>
        <w:t xml:space="preserve"> proyecto</w:t>
      </w:r>
      <w:r w:rsidR="00E2395A" w:rsidRPr="00392D29">
        <w:rPr>
          <w:sz w:val="22"/>
        </w:rPr>
        <w:t>s</w:t>
      </w:r>
      <w:r w:rsidRPr="00392D29">
        <w:rPr>
          <w:sz w:val="22"/>
        </w:rPr>
        <w:t xml:space="preserve"> de acta</w:t>
      </w:r>
      <w:r w:rsidR="00E2395A" w:rsidRPr="00392D29">
        <w:rPr>
          <w:sz w:val="22"/>
        </w:rPr>
        <w:t>s correspondiente a las sesiones</w:t>
      </w:r>
      <w:r w:rsidR="00E2395A" w:rsidRPr="00A24D8F">
        <w:rPr>
          <w:sz w:val="22"/>
        </w:rPr>
        <w:t xml:space="preserve">: </w:t>
      </w:r>
      <w:r w:rsidR="00A24D8F" w:rsidRPr="00A24D8F">
        <w:rPr>
          <w:sz w:val="22"/>
        </w:rPr>
        <w:t>a</w:t>
      </w:r>
      <w:r w:rsidR="00E2395A" w:rsidRPr="00A24D8F">
        <w:rPr>
          <w:sz w:val="22"/>
        </w:rPr>
        <w:t xml:space="preserve">) </w:t>
      </w:r>
      <w:r w:rsidR="00A24D8F" w:rsidRPr="00A24D8F">
        <w:rPr>
          <w:sz w:val="22"/>
        </w:rPr>
        <w:t xml:space="preserve">Ordinaria del 30 de noviembre de 2023; y b) </w:t>
      </w:r>
      <w:r w:rsidR="00A24D8F">
        <w:rPr>
          <w:sz w:val="22"/>
        </w:rPr>
        <w:t>E</w:t>
      </w:r>
      <w:r w:rsidR="00A24D8F" w:rsidRPr="00A24D8F">
        <w:rPr>
          <w:sz w:val="22"/>
        </w:rPr>
        <w:t xml:space="preserve">xtraordinarias </w:t>
      </w:r>
      <w:r w:rsidR="00A24D8F">
        <w:rPr>
          <w:sz w:val="22"/>
        </w:rPr>
        <w:t xml:space="preserve">de </w:t>
      </w:r>
      <w:r w:rsidR="00A24D8F" w:rsidRPr="00A24D8F">
        <w:rPr>
          <w:sz w:val="22"/>
        </w:rPr>
        <w:t xml:space="preserve">24 y 27 de noviembre, 6 y 9 de diciembre </w:t>
      </w:r>
      <w:r w:rsidR="00E2395A" w:rsidRPr="00A24D8F">
        <w:rPr>
          <w:sz w:val="22"/>
        </w:rPr>
        <w:t>todas</w:t>
      </w:r>
      <w:r w:rsidR="00E2395A" w:rsidRPr="00392D29">
        <w:rPr>
          <w:sz w:val="22"/>
        </w:rPr>
        <w:t xml:space="preserve"> del presente año;</w:t>
      </w:r>
    </w:p>
    <w:p w14:paraId="502DE23F" w14:textId="77777777" w:rsidR="00392D29" w:rsidRDefault="00392D29" w:rsidP="00FC6619">
      <w:pPr>
        <w:pStyle w:val="Prrafodelista"/>
        <w:numPr>
          <w:ilvl w:val="0"/>
          <w:numId w:val="1"/>
        </w:numPr>
        <w:ind w:left="567" w:hanging="567"/>
        <w:contextualSpacing w:val="0"/>
        <w:rPr>
          <w:sz w:val="22"/>
        </w:rPr>
      </w:pPr>
      <w:r w:rsidRPr="00392D29">
        <w:rPr>
          <w:sz w:val="22"/>
        </w:rPr>
        <w:t>Presentación y aprobación en su caso, del proyecto de acuerdo que emite el Consejo Estatal del Instituto Electoral y de Participación Ciudadana de Tabasco, mediante el cual aprueba el Programa Anual de Trabajo 2024 propuesto por la Contraloría General del propio Instituto;</w:t>
      </w:r>
    </w:p>
    <w:p w14:paraId="7C4A2B6B" w14:textId="77777777" w:rsidR="00392D29" w:rsidRDefault="00392D29" w:rsidP="00AE7E0C">
      <w:pPr>
        <w:pStyle w:val="Prrafodelista"/>
        <w:numPr>
          <w:ilvl w:val="0"/>
          <w:numId w:val="1"/>
        </w:numPr>
        <w:ind w:left="567" w:hanging="567"/>
        <w:contextualSpacing w:val="0"/>
        <w:rPr>
          <w:sz w:val="22"/>
        </w:rPr>
      </w:pPr>
      <w:r w:rsidRPr="00392D29">
        <w:rPr>
          <w:sz w:val="22"/>
        </w:rPr>
        <w:t>Presentación y aprobación en su caso, del proyecto de acuerdo que emite el Consejo Estatal del Instituto Electoral y de Participación Ciudadana de Tabasco, mediante el cual determina el procedimiento para la distribución de los lugares de uso común susceptibles de ser utilizados para la colocación y fijación de la propaganda electoral que utilizarán los partidos políticos y las candidaturas independientes con motivo del Proceso Electoral Local Ordinario 2023 – 2024;</w:t>
      </w:r>
    </w:p>
    <w:p w14:paraId="3415343E" w14:textId="77777777" w:rsidR="00392D29" w:rsidRDefault="00392D29" w:rsidP="00D2267D">
      <w:pPr>
        <w:pStyle w:val="Prrafodelista"/>
        <w:numPr>
          <w:ilvl w:val="0"/>
          <w:numId w:val="1"/>
        </w:numPr>
        <w:ind w:left="567" w:hanging="567"/>
        <w:contextualSpacing w:val="0"/>
        <w:rPr>
          <w:sz w:val="22"/>
        </w:rPr>
      </w:pPr>
      <w:r w:rsidRPr="00392D29">
        <w:rPr>
          <w:sz w:val="22"/>
        </w:rPr>
        <w:t>Presentación y aprobación en su caso, del proyecto de acuerdo que, a propuesta de la Comisión Temporal de Debates, emite el Consejo Estatal del Instituto Electoral y de Participación Ciudadana de Tabasco mediante el cual emite las reglas básicas para la organización, realización y difusión de debates entre las candidaturas para las elecciones de Gubernatura, Presidencias Municipales y Diputaciones del Estado de Tabasco con motivo del Proceso Electoral Local Ordinario 2023-2024;</w:t>
      </w:r>
    </w:p>
    <w:p w14:paraId="5AD9E88C" w14:textId="77777777" w:rsidR="00392D29" w:rsidRDefault="00392D29" w:rsidP="00BC72C4">
      <w:pPr>
        <w:pStyle w:val="Prrafodelista"/>
        <w:numPr>
          <w:ilvl w:val="0"/>
          <w:numId w:val="1"/>
        </w:numPr>
        <w:ind w:left="567" w:hanging="567"/>
        <w:contextualSpacing w:val="0"/>
        <w:rPr>
          <w:sz w:val="22"/>
        </w:rPr>
      </w:pPr>
      <w:r w:rsidRPr="00392D29">
        <w:rPr>
          <w:sz w:val="22"/>
        </w:rPr>
        <w:t xml:space="preserve">Presentación y aprobación en su caso, del proyecto de acuerdo que, a propuesta de la Comisión Permanente de Seguimiento al Servicio Profesional Electoral Nacional con carácter administrativa, emite el Consejo Estatal del Instituto Electoral y de Participación Ciudadana, mediante el cual aprueba el dictamen para el otorgamiento </w:t>
      </w:r>
      <w:r w:rsidRPr="00392D29">
        <w:rPr>
          <w:sz w:val="22"/>
        </w:rPr>
        <w:lastRenderedPageBreak/>
        <w:t>de incentivo por excelencia en el desempeño 2023, correspondiente al ejercicio valorado 2022, a miembros del Servicio Profesional Electoral Nacional del propio Instituto;</w:t>
      </w:r>
    </w:p>
    <w:p w14:paraId="70528D95" w14:textId="77777777" w:rsidR="00392D29" w:rsidRDefault="00392D29" w:rsidP="00335093">
      <w:pPr>
        <w:pStyle w:val="Prrafodelista"/>
        <w:numPr>
          <w:ilvl w:val="0"/>
          <w:numId w:val="1"/>
        </w:numPr>
        <w:ind w:left="567" w:hanging="567"/>
        <w:contextualSpacing w:val="0"/>
        <w:rPr>
          <w:sz w:val="22"/>
        </w:rPr>
      </w:pPr>
      <w:r w:rsidRPr="00392D29">
        <w:rPr>
          <w:sz w:val="22"/>
        </w:rPr>
        <w:t>Presentación y aprobación en su caso, del proyecto de acuerdo que emite el Consejo Estatal del Instituto Electoral y de Participación Ciudadana de Tabasco, mediante el cual aprueba el cambio de denominación de la Coalición denominada “Juntos Hacemos Historia en Tabasco” conformada por los partidos políticos Verde Ecologista de México, del Trabajo y Morena con motivo del Proceso Electoral Local Ordinario 2023 – 2024;</w:t>
      </w:r>
    </w:p>
    <w:p w14:paraId="50519217" w14:textId="77777777" w:rsidR="00392D29" w:rsidRDefault="00392D29" w:rsidP="00D04034">
      <w:pPr>
        <w:pStyle w:val="Prrafodelista"/>
        <w:numPr>
          <w:ilvl w:val="0"/>
          <w:numId w:val="1"/>
        </w:numPr>
        <w:ind w:left="567" w:hanging="567"/>
        <w:contextualSpacing w:val="0"/>
        <w:rPr>
          <w:sz w:val="22"/>
        </w:rPr>
      </w:pPr>
      <w:r w:rsidRPr="00392D29">
        <w:rPr>
          <w:sz w:val="22"/>
        </w:rPr>
        <w:t>Presentación y aprobación en su caso, del proyecto de acuerdo que emite el Consejo Estatal del Instituto Electoral y de Participación Ciudadana de Tabasco, mediante el cual aprueba el Protocolo para adoptar medidas tendientes que garanticen a las personas pertenecientes a grupos en situación de vulnerabilidad el ejercicio de sus funciones, en igualdad de condiciones y sin discriminación, en el propio Instituto, propuesto por la Comisión Permanente de Organización Electoral y Educación Cívica;</w:t>
      </w:r>
    </w:p>
    <w:p w14:paraId="7E5FB4EF" w14:textId="4CAE3BCC" w:rsidR="000B5761" w:rsidRDefault="00392D29" w:rsidP="004C3F4C">
      <w:pPr>
        <w:pStyle w:val="Prrafodelista"/>
        <w:numPr>
          <w:ilvl w:val="0"/>
          <w:numId w:val="1"/>
        </w:numPr>
        <w:ind w:left="567" w:hanging="567"/>
        <w:contextualSpacing w:val="0"/>
        <w:rPr>
          <w:sz w:val="22"/>
        </w:rPr>
      </w:pPr>
      <w:r w:rsidRPr="00915B6E">
        <w:rPr>
          <w:sz w:val="22"/>
        </w:rPr>
        <w:t xml:space="preserve">Presentación </w:t>
      </w:r>
      <w:r w:rsidR="00915B6E" w:rsidRPr="00915B6E">
        <w:rPr>
          <w:sz w:val="22"/>
        </w:rPr>
        <w:t>y aprobación en su caso, del proyecto de acuerdo que emite el Consejo Estatal del Instituto Electoral y de Participación Ciudadana de Tabasco, mediante el cual aprueba el Protocolo para adoptar medidas tendientes que garanticen a las personas pertenecientes a grupos en situación de vulnerabilidad el ejercicio de sus funciones, en igualdad de condiciones y sin discriminación, en el propio Instituto, propuesto por la Comisión Permanente de Organización Electoral y Educación Cívica</w:t>
      </w:r>
    </w:p>
    <w:p w14:paraId="4FB1CB34" w14:textId="727E9D26" w:rsidR="00392D29" w:rsidRPr="00915B6E" w:rsidRDefault="00392D29" w:rsidP="004C3F4C">
      <w:pPr>
        <w:pStyle w:val="Prrafodelista"/>
        <w:numPr>
          <w:ilvl w:val="0"/>
          <w:numId w:val="1"/>
        </w:numPr>
        <w:ind w:left="567" w:hanging="567"/>
        <w:contextualSpacing w:val="0"/>
        <w:rPr>
          <w:sz w:val="22"/>
        </w:rPr>
      </w:pPr>
      <w:r w:rsidRPr="00915B6E">
        <w:rPr>
          <w:sz w:val="22"/>
        </w:rPr>
        <w:t xml:space="preserve">Presentación y aprobación en su caso, del proyecto de resolución que, a propuesta de la Secretaría Ejecutiva, emite el Consejo Estatal del Instituto Electoral y de Participación Ciudadana de Tabasco, por la que se declara la inexistencia de actos de precampañas prohibidos a las precandidaturas únicas y actos anticipados campaña atribuidos a Javier </w:t>
      </w:r>
      <w:proofErr w:type="spellStart"/>
      <w:r w:rsidRPr="00915B6E">
        <w:rPr>
          <w:sz w:val="22"/>
        </w:rPr>
        <w:t>May</w:t>
      </w:r>
      <w:proofErr w:type="spellEnd"/>
      <w:r w:rsidRPr="00915B6E">
        <w:rPr>
          <w:sz w:val="22"/>
        </w:rPr>
        <w:t xml:space="preserve"> Rodríguez y la omisión en el deber de cuidado al Partido Morena, con motivo del Procedimiento Especial Sancionador PES/025/2023;</w:t>
      </w:r>
    </w:p>
    <w:p w14:paraId="07144A68" w14:textId="77777777" w:rsidR="00392D29" w:rsidRPr="006C1849" w:rsidRDefault="00392D29" w:rsidP="00A32E2C">
      <w:pPr>
        <w:pStyle w:val="Prrafodelista"/>
        <w:numPr>
          <w:ilvl w:val="0"/>
          <w:numId w:val="1"/>
        </w:numPr>
        <w:ind w:left="567" w:hanging="567"/>
        <w:contextualSpacing w:val="0"/>
        <w:rPr>
          <w:sz w:val="22"/>
        </w:rPr>
      </w:pPr>
      <w:r w:rsidRPr="006C1849">
        <w:rPr>
          <w:sz w:val="22"/>
        </w:rPr>
        <w:t>Informe anual de actividades que rinde la Comisión Permanente de Igualdad de Género y No Discriminación del Instituto Electoral y de Participación Ciudadana de Tabasco;</w:t>
      </w:r>
    </w:p>
    <w:p w14:paraId="67BCFACF" w14:textId="77777777" w:rsidR="00392D29" w:rsidRPr="006C1849" w:rsidRDefault="00392D29" w:rsidP="00157B33">
      <w:pPr>
        <w:pStyle w:val="Prrafodelista"/>
        <w:numPr>
          <w:ilvl w:val="0"/>
          <w:numId w:val="1"/>
        </w:numPr>
        <w:ind w:left="567" w:hanging="567"/>
        <w:contextualSpacing w:val="0"/>
        <w:rPr>
          <w:sz w:val="22"/>
        </w:rPr>
      </w:pPr>
      <w:r w:rsidRPr="006C1849">
        <w:rPr>
          <w:sz w:val="22"/>
        </w:rPr>
        <w:t>Informe anual de actividades que rinde la Comisión Permanente de Organización Electoral y Educación Cívica del Instituto Electoral y de Participación Ciudadana de Tabasco;</w:t>
      </w:r>
    </w:p>
    <w:p w14:paraId="236C13CB" w14:textId="77777777" w:rsidR="00392D29" w:rsidRPr="006C1849" w:rsidRDefault="00392D29" w:rsidP="00550A53">
      <w:pPr>
        <w:pStyle w:val="Prrafodelista"/>
        <w:numPr>
          <w:ilvl w:val="0"/>
          <w:numId w:val="1"/>
        </w:numPr>
        <w:ind w:left="567" w:hanging="567"/>
        <w:contextualSpacing w:val="0"/>
        <w:rPr>
          <w:sz w:val="22"/>
        </w:rPr>
      </w:pPr>
      <w:r w:rsidRPr="006C1849">
        <w:rPr>
          <w:sz w:val="22"/>
        </w:rPr>
        <w:lastRenderedPageBreak/>
        <w:t>Informe que rinde la Presidencia, respecto de los trabajos realizados por la Junta Estatal Ejecutiva, correspondiente al trimestre de octubre a diciembre de 2023;</w:t>
      </w:r>
    </w:p>
    <w:p w14:paraId="7C05A894" w14:textId="77777777" w:rsidR="00392D29" w:rsidRDefault="00392D29" w:rsidP="00C64FA2">
      <w:pPr>
        <w:pStyle w:val="Prrafodelista"/>
        <w:numPr>
          <w:ilvl w:val="0"/>
          <w:numId w:val="1"/>
        </w:numPr>
        <w:ind w:left="567" w:hanging="567"/>
        <w:contextualSpacing w:val="0"/>
        <w:rPr>
          <w:sz w:val="22"/>
        </w:rPr>
      </w:pPr>
      <w:r w:rsidRPr="00392D29">
        <w:rPr>
          <w:sz w:val="22"/>
        </w:rPr>
        <w:t>Informe que rinde el Secretario Ejecutivo, respecto de la recepción y trámite de los medios de impugnación presentados en el mes de</w:t>
      </w:r>
      <w:bookmarkStart w:id="0" w:name="_GoBack"/>
      <w:bookmarkEnd w:id="0"/>
      <w:r w:rsidRPr="00392D29">
        <w:rPr>
          <w:sz w:val="22"/>
        </w:rPr>
        <w:t xml:space="preserve"> diciembre de 2023 en contra de los actos, omisiones o resoluciones de los órganos centrales del Instituto Electoral y de Participación Ciudadana de Tabasco, así como de las resoluciones dictadas por los órganos jurisdiccionales;</w:t>
      </w:r>
    </w:p>
    <w:p w14:paraId="637F8D36" w14:textId="4CA5499B" w:rsidR="00821441" w:rsidRPr="00392D29" w:rsidRDefault="00392D29" w:rsidP="00C64FA2">
      <w:pPr>
        <w:pStyle w:val="Prrafodelista"/>
        <w:numPr>
          <w:ilvl w:val="0"/>
          <w:numId w:val="1"/>
        </w:numPr>
        <w:ind w:left="567" w:hanging="567"/>
        <w:contextualSpacing w:val="0"/>
        <w:rPr>
          <w:sz w:val="22"/>
        </w:rPr>
      </w:pPr>
      <w:r w:rsidRPr="00392D29">
        <w:rPr>
          <w:sz w:val="22"/>
        </w:rPr>
        <w:t>Informe que rinde la Secretaría Ejecutiva del Instituto Electoral y de Participación Ciudadana de Tabasco en materia de encuestas electorales y sondeos de opinión con motivo del Proceso Electoral Local Ordinario 2023 – 2024 correspondiente al mes de diciembre de 2023;</w:t>
      </w:r>
    </w:p>
    <w:p w14:paraId="7C0680C7" w14:textId="77777777" w:rsidR="00821441" w:rsidRPr="00E2395A" w:rsidRDefault="00857341" w:rsidP="00821441">
      <w:pPr>
        <w:pStyle w:val="Prrafodelista"/>
        <w:numPr>
          <w:ilvl w:val="0"/>
          <w:numId w:val="1"/>
        </w:numPr>
        <w:ind w:left="510" w:hanging="510"/>
        <w:contextualSpacing w:val="0"/>
        <w:rPr>
          <w:sz w:val="22"/>
        </w:rPr>
      </w:pPr>
      <w:r w:rsidRPr="00E2395A">
        <w:rPr>
          <w:sz w:val="22"/>
        </w:rPr>
        <w:t>Asuntos generales; y</w:t>
      </w:r>
    </w:p>
    <w:p w14:paraId="1CD9F645" w14:textId="3A08BB4E" w:rsidR="00857341" w:rsidRPr="00E2395A" w:rsidRDefault="00857341" w:rsidP="00821441">
      <w:pPr>
        <w:pStyle w:val="Prrafodelista"/>
        <w:numPr>
          <w:ilvl w:val="0"/>
          <w:numId w:val="1"/>
        </w:numPr>
        <w:ind w:left="510" w:hanging="510"/>
        <w:contextualSpacing w:val="0"/>
        <w:rPr>
          <w:sz w:val="22"/>
        </w:rPr>
      </w:pPr>
      <w:r w:rsidRPr="00E2395A">
        <w:rPr>
          <w:sz w:val="22"/>
        </w:rPr>
        <w:t>Clausura.</w:t>
      </w:r>
    </w:p>
    <w:sectPr w:rsidR="00857341" w:rsidRPr="00E2395A" w:rsidSect="00857341">
      <w:headerReference w:type="default" r:id="rId7"/>
      <w:pgSz w:w="12240" w:h="15840" w:code="1"/>
      <w:pgMar w:top="1418" w:right="1418" w:bottom="1418" w:left="1985"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AAA37" w14:textId="77777777" w:rsidR="004F0D8F" w:rsidRDefault="004F0D8F" w:rsidP="00857341">
      <w:pPr>
        <w:spacing w:before="0" w:after="0" w:line="240" w:lineRule="auto"/>
      </w:pPr>
      <w:r>
        <w:separator/>
      </w:r>
    </w:p>
  </w:endnote>
  <w:endnote w:type="continuationSeparator" w:id="0">
    <w:p w14:paraId="794B9521" w14:textId="77777777" w:rsidR="004F0D8F" w:rsidRDefault="004F0D8F" w:rsidP="008573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C7927" w14:textId="77777777" w:rsidR="004F0D8F" w:rsidRDefault="004F0D8F" w:rsidP="00857341">
      <w:pPr>
        <w:spacing w:before="0" w:after="0" w:line="240" w:lineRule="auto"/>
      </w:pPr>
      <w:r>
        <w:separator/>
      </w:r>
    </w:p>
  </w:footnote>
  <w:footnote w:type="continuationSeparator" w:id="0">
    <w:p w14:paraId="4A9AB7CF" w14:textId="77777777" w:rsidR="004F0D8F" w:rsidRDefault="004F0D8F" w:rsidP="008573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857341" w:rsidRPr="007958A0" w14:paraId="7C8807A2" w14:textId="77777777" w:rsidTr="00CD1DFC">
      <w:tc>
        <w:tcPr>
          <w:tcW w:w="1418" w:type="dxa"/>
        </w:tcPr>
        <w:p w14:paraId="36C6FF67" w14:textId="77777777" w:rsidR="00857341" w:rsidRPr="007958A0" w:rsidRDefault="00857341" w:rsidP="00857341">
          <w:pPr>
            <w:pStyle w:val="Encabezado"/>
            <w:ind w:left="-170"/>
            <w:jc w:val="left"/>
            <w:rPr>
              <w:rFonts w:ascii="Calisto MT" w:hAnsi="Calisto MT"/>
            </w:rPr>
          </w:pPr>
          <w:r>
            <w:rPr>
              <w:b/>
              <w:noProof/>
              <w:sz w:val="32"/>
              <w:lang w:eastAsia="es-MX"/>
            </w:rPr>
            <w:drawing>
              <wp:inline distT="0" distB="0" distL="0" distR="0" wp14:anchorId="5A678F78" wp14:editId="51F7E309">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B40DFF9" w14:textId="77777777" w:rsidR="00857341" w:rsidRPr="00F43C7F" w:rsidRDefault="00857341" w:rsidP="00857341">
          <w:pPr>
            <w:pStyle w:val="Encabezado"/>
            <w:spacing w:before="720"/>
            <w:jc w:val="center"/>
            <w:rPr>
              <w:b/>
              <w:bCs/>
              <w:sz w:val="25"/>
              <w:szCs w:val="25"/>
            </w:rPr>
          </w:pPr>
          <w:r w:rsidRPr="00F43C7F">
            <w:rPr>
              <w:b/>
              <w:bCs/>
              <w:sz w:val="25"/>
              <w:szCs w:val="25"/>
            </w:rPr>
            <w:t>INSTITUTO ELECTORAL Y DE PARTICIPACIÓN CIUDADANA DE TABASCO</w:t>
          </w:r>
        </w:p>
        <w:p w14:paraId="52DD06DB" w14:textId="77777777" w:rsidR="00857341" w:rsidRPr="00F43C7F" w:rsidRDefault="00857341" w:rsidP="00857341">
          <w:pPr>
            <w:pStyle w:val="Encabezado"/>
            <w:jc w:val="center"/>
          </w:pPr>
          <w:r w:rsidRPr="00F43C7F">
            <w:rPr>
              <w:sz w:val="26"/>
              <w:szCs w:val="26"/>
            </w:rPr>
            <w:t>CONSEJO ESTATAL</w:t>
          </w:r>
        </w:p>
      </w:tc>
      <w:tc>
        <w:tcPr>
          <w:tcW w:w="1701" w:type="dxa"/>
        </w:tcPr>
        <w:p w14:paraId="045CF0A1" w14:textId="77777777" w:rsidR="00857341" w:rsidRPr="007958A0" w:rsidRDefault="00857341" w:rsidP="00857341">
          <w:pPr>
            <w:pStyle w:val="Encabezado"/>
            <w:spacing w:before="480"/>
            <w:rPr>
              <w:rFonts w:ascii="Calisto MT" w:hAnsi="Calisto MT"/>
            </w:rPr>
          </w:pPr>
          <w:r w:rsidRPr="007958A0">
            <w:rPr>
              <w:rFonts w:ascii="Calisto MT" w:hAnsi="Calisto MT"/>
              <w:noProof/>
              <w:lang w:eastAsia="es-MX"/>
            </w:rPr>
            <w:drawing>
              <wp:inline distT="0" distB="0" distL="0" distR="0" wp14:anchorId="2DCDA517" wp14:editId="45432E82">
                <wp:extent cx="921600" cy="756000"/>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999C612" w14:textId="77777777" w:rsidR="00857341" w:rsidRDefault="008573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86AA0"/>
    <w:multiLevelType w:val="hybridMultilevel"/>
    <w:tmpl w:val="D49026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2605BB"/>
    <w:multiLevelType w:val="hybridMultilevel"/>
    <w:tmpl w:val="D49026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FC3F27"/>
    <w:multiLevelType w:val="hybridMultilevel"/>
    <w:tmpl w:val="D49026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41"/>
    <w:rsid w:val="000B5761"/>
    <w:rsid w:val="001761DE"/>
    <w:rsid w:val="00182148"/>
    <w:rsid w:val="001B4221"/>
    <w:rsid w:val="002524D5"/>
    <w:rsid w:val="00257063"/>
    <w:rsid w:val="00285EEE"/>
    <w:rsid w:val="002C47B9"/>
    <w:rsid w:val="0034735F"/>
    <w:rsid w:val="00392D29"/>
    <w:rsid w:val="004118AB"/>
    <w:rsid w:val="00417F37"/>
    <w:rsid w:val="00473AEC"/>
    <w:rsid w:val="004F0D8F"/>
    <w:rsid w:val="00644B1F"/>
    <w:rsid w:val="00673E29"/>
    <w:rsid w:val="006C1849"/>
    <w:rsid w:val="00711053"/>
    <w:rsid w:val="00770D2E"/>
    <w:rsid w:val="00781C8B"/>
    <w:rsid w:val="007B29D3"/>
    <w:rsid w:val="007E32FF"/>
    <w:rsid w:val="00821441"/>
    <w:rsid w:val="00842D40"/>
    <w:rsid w:val="00857341"/>
    <w:rsid w:val="00915B6E"/>
    <w:rsid w:val="009A36A1"/>
    <w:rsid w:val="009B52EF"/>
    <w:rsid w:val="00A02061"/>
    <w:rsid w:val="00A24D8F"/>
    <w:rsid w:val="00A54137"/>
    <w:rsid w:val="00A74457"/>
    <w:rsid w:val="00A83EB1"/>
    <w:rsid w:val="00AE6F88"/>
    <w:rsid w:val="00AF3537"/>
    <w:rsid w:val="00B40545"/>
    <w:rsid w:val="00B42FEA"/>
    <w:rsid w:val="00B56538"/>
    <w:rsid w:val="00B929C0"/>
    <w:rsid w:val="00BA38B8"/>
    <w:rsid w:val="00BB5A9C"/>
    <w:rsid w:val="00BC7D78"/>
    <w:rsid w:val="00CD0782"/>
    <w:rsid w:val="00CD1582"/>
    <w:rsid w:val="00CE08D4"/>
    <w:rsid w:val="00DF4E09"/>
    <w:rsid w:val="00E14895"/>
    <w:rsid w:val="00E2395A"/>
    <w:rsid w:val="00EA143D"/>
    <w:rsid w:val="00EB3A6B"/>
    <w:rsid w:val="00EE500E"/>
    <w:rsid w:val="00F64F1E"/>
    <w:rsid w:val="00F71D9A"/>
    <w:rsid w:val="00F86F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7091"/>
  <w15:chartTrackingRefBased/>
  <w15:docId w15:val="{436196D9-654E-4152-A577-311541E1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857341"/>
    <w:pPr>
      <w:ind w:left="720"/>
      <w:contextualSpacing/>
    </w:pPr>
  </w:style>
  <w:style w:type="paragraph" w:styleId="Encabezado">
    <w:name w:val="header"/>
    <w:basedOn w:val="Normal"/>
    <w:link w:val="EncabezadoCar"/>
    <w:uiPriority w:val="99"/>
    <w:unhideWhenUsed/>
    <w:rsid w:val="0085734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857341"/>
    <w:rPr>
      <w:rFonts w:ascii="Arial" w:hAnsi="Arial" w:cs="Arial"/>
      <w:sz w:val="24"/>
    </w:rPr>
  </w:style>
  <w:style w:type="paragraph" w:styleId="Piedepgina">
    <w:name w:val="footer"/>
    <w:basedOn w:val="Normal"/>
    <w:link w:val="PiedepginaCar"/>
    <w:uiPriority w:val="99"/>
    <w:unhideWhenUsed/>
    <w:rsid w:val="0085734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857341"/>
    <w:rPr>
      <w:rFonts w:ascii="Arial" w:hAnsi="Arial" w:cs="Arial"/>
      <w:sz w:val="24"/>
    </w:rPr>
  </w:style>
  <w:style w:type="table" w:styleId="Tablaconcuadrcula">
    <w:name w:val="Table Grid"/>
    <w:basedOn w:val="Tablanormal"/>
    <w:uiPriority w:val="39"/>
    <w:rsid w:val="0085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C1849"/>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25</cp:revision>
  <cp:lastPrinted>2023-12-27T02:20:00Z</cp:lastPrinted>
  <dcterms:created xsi:type="dcterms:W3CDTF">2023-09-25T16:24:00Z</dcterms:created>
  <dcterms:modified xsi:type="dcterms:W3CDTF">2023-12-27T02:20:00Z</dcterms:modified>
</cp:coreProperties>
</file>