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2B47" w14:textId="66860AFF" w:rsidR="007026DA" w:rsidRDefault="00CB4151" w:rsidP="007026DA">
      <w:pPr>
        <w:rPr>
          <w:rFonts w:ascii="Arial" w:hAnsi="Arial" w:cs="Arial"/>
          <w:b/>
          <w:bCs/>
          <w:sz w:val="24"/>
          <w:szCs w:val="24"/>
        </w:rPr>
      </w:pPr>
      <w:r w:rsidRPr="00A75986">
        <w:rPr>
          <w:rFonts w:ascii="Arial" w:hAnsi="Arial" w:cs="Arial"/>
          <w:b/>
          <w:bCs/>
          <w:sz w:val="24"/>
          <w:szCs w:val="24"/>
        </w:rPr>
        <w:t>ACUERDO QUE, A PROPUESTA DE LA COMISIÓN PERMANENTE DE SEGUIMIENTO AL SERVICIO PROFESIONAL ELECTORAL, CON CARÁCTER ADMINISTRATIVA, DEL INSTITUTO ELECTORAL Y DE PARTICIPACIÓN CIUDADANA DE TABASCO, MEDIANTE EL CUAL APRUEBA EL DICTAMEN GENERAL DE RESULTADOS DE LA EVALUACIÓN DE DESEMPEÑO DE LAS Y LOS MIEMBROS DEL SERVICIO PROFESIONAL ELECTORAL NACIONAL DEL SISTEMA DE LOS ORGANISMOS PÚBLICOS LOCALES ELECTORALES CORRESPONDIENTE AL PERIODO: SEPTIEMBRE DE 2022 A AGOSTO DE 2023</w:t>
      </w:r>
    </w:p>
    <w:p w14:paraId="502570A5" w14:textId="77777777" w:rsidR="00B342FC" w:rsidRPr="008A655D" w:rsidRDefault="00B342FC" w:rsidP="00B342FC">
      <w:pPr>
        <w:rPr>
          <w:rFonts w:ascii="Arial" w:hAnsi="Arial" w:cs="Arial"/>
          <w:bCs/>
        </w:rPr>
      </w:pPr>
      <w:r w:rsidRPr="008A655D">
        <w:rPr>
          <w:rFonts w:ascii="Arial" w:hAnsi="Arial" w:cs="Arial"/>
          <w:bCs/>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FF2241" w:rsidRPr="00A75986" w14:paraId="087DCD7E" w14:textId="77777777" w:rsidTr="00217EAC">
        <w:trPr>
          <w:trHeight w:val="624"/>
          <w:jc w:val="center"/>
        </w:trPr>
        <w:tc>
          <w:tcPr>
            <w:tcW w:w="2042" w:type="pct"/>
            <w:shd w:val="clear" w:color="auto" w:fill="auto"/>
            <w:vAlign w:val="center"/>
          </w:tcPr>
          <w:p w14:paraId="548F55CB"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Comisión de Seguimiento:</w:t>
            </w:r>
          </w:p>
        </w:tc>
        <w:tc>
          <w:tcPr>
            <w:tcW w:w="2958" w:type="pct"/>
            <w:shd w:val="clear" w:color="auto" w:fill="auto"/>
            <w:vAlign w:val="center"/>
          </w:tcPr>
          <w:p w14:paraId="19DB2DEE"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Comisión Permanente de Seguimiento al Servicio Profesional Electoral, con carácter administrativa.</w:t>
            </w:r>
          </w:p>
        </w:tc>
      </w:tr>
      <w:tr w:rsidR="00FF2241" w:rsidRPr="00A75986" w14:paraId="20179B53" w14:textId="77777777" w:rsidTr="00217EAC">
        <w:trPr>
          <w:trHeight w:val="624"/>
          <w:jc w:val="center"/>
        </w:trPr>
        <w:tc>
          <w:tcPr>
            <w:tcW w:w="2042" w:type="pct"/>
            <w:shd w:val="clear" w:color="auto" w:fill="auto"/>
            <w:vAlign w:val="center"/>
          </w:tcPr>
          <w:p w14:paraId="5D411FEE"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Consejo Estatal:</w:t>
            </w:r>
          </w:p>
        </w:tc>
        <w:tc>
          <w:tcPr>
            <w:tcW w:w="2958" w:type="pct"/>
            <w:shd w:val="clear" w:color="auto" w:fill="auto"/>
            <w:vAlign w:val="center"/>
          </w:tcPr>
          <w:p w14:paraId="2672E067"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Consejo Estatal del Instituto Electoral y de Participación Ciudadana de Tabasco.</w:t>
            </w:r>
          </w:p>
        </w:tc>
      </w:tr>
      <w:tr w:rsidR="00FF2241" w:rsidRPr="00A75986" w14:paraId="26D2D42D" w14:textId="77777777" w:rsidTr="00217EAC">
        <w:trPr>
          <w:trHeight w:val="624"/>
          <w:jc w:val="center"/>
        </w:trPr>
        <w:tc>
          <w:tcPr>
            <w:tcW w:w="2042" w:type="pct"/>
            <w:shd w:val="clear" w:color="auto" w:fill="auto"/>
            <w:vAlign w:val="center"/>
          </w:tcPr>
          <w:p w14:paraId="44AE72B4"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Constitución Federal:</w:t>
            </w:r>
          </w:p>
        </w:tc>
        <w:tc>
          <w:tcPr>
            <w:tcW w:w="2958" w:type="pct"/>
            <w:shd w:val="clear" w:color="auto" w:fill="auto"/>
            <w:vAlign w:val="center"/>
          </w:tcPr>
          <w:p w14:paraId="73733C07"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Constitución Política de los Estados Unidos Mexicanos.</w:t>
            </w:r>
          </w:p>
        </w:tc>
      </w:tr>
      <w:tr w:rsidR="00FF2241" w:rsidRPr="00A75986" w14:paraId="7E6B66BE" w14:textId="77777777" w:rsidTr="00217EAC">
        <w:trPr>
          <w:trHeight w:val="624"/>
          <w:jc w:val="center"/>
        </w:trPr>
        <w:tc>
          <w:tcPr>
            <w:tcW w:w="2042" w:type="pct"/>
            <w:shd w:val="clear" w:color="auto" w:fill="auto"/>
            <w:vAlign w:val="center"/>
          </w:tcPr>
          <w:p w14:paraId="0122911A"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Constitución Local:</w:t>
            </w:r>
          </w:p>
        </w:tc>
        <w:tc>
          <w:tcPr>
            <w:tcW w:w="2958" w:type="pct"/>
            <w:shd w:val="clear" w:color="auto" w:fill="auto"/>
            <w:vAlign w:val="center"/>
          </w:tcPr>
          <w:p w14:paraId="26254240"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Constitución Política del Estado Libre y Soberano de Tabasco.</w:t>
            </w:r>
          </w:p>
        </w:tc>
      </w:tr>
      <w:tr w:rsidR="00FF2241" w:rsidRPr="00A75986" w14:paraId="71D50D83" w14:textId="77777777" w:rsidTr="00217EAC">
        <w:trPr>
          <w:trHeight w:val="624"/>
          <w:jc w:val="center"/>
        </w:trPr>
        <w:tc>
          <w:tcPr>
            <w:tcW w:w="2042" w:type="pct"/>
            <w:shd w:val="clear" w:color="auto" w:fill="auto"/>
            <w:vAlign w:val="center"/>
          </w:tcPr>
          <w:p w14:paraId="79517607"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DESPEN:</w:t>
            </w:r>
          </w:p>
        </w:tc>
        <w:tc>
          <w:tcPr>
            <w:tcW w:w="2958" w:type="pct"/>
            <w:shd w:val="clear" w:color="auto" w:fill="auto"/>
            <w:vAlign w:val="center"/>
          </w:tcPr>
          <w:p w14:paraId="4529DB76"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Dirección Ejecutiva del Servicio Profesional Electoral Nacional.</w:t>
            </w:r>
          </w:p>
        </w:tc>
      </w:tr>
      <w:tr w:rsidR="00FF2241" w:rsidRPr="00A75986" w14:paraId="4F863E4D" w14:textId="77777777" w:rsidTr="00217EAC">
        <w:trPr>
          <w:trHeight w:val="624"/>
          <w:jc w:val="center"/>
        </w:trPr>
        <w:tc>
          <w:tcPr>
            <w:tcW w:w="2042" w:type="pct"/>
            <w:shd w:val="clear" w:color="auto" w:fill="auto"/>
            <w:vAlign w:val="center"/>
          </w:tcPr>
          <w:p w14:paraId="15745E04"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Estatuto:</w:t>
            </w:r>
          </w:p>
        </w:tc>
        <w:tc>
          <w:tcPr>
            <w:tcW w:w="2958" w:type="pct"/>
            <w:shd w:val="clear" w:color="auto" w:fill="auto"/>
            <w:vAlign w:val="center"/>
          </w:tcPr>
          <w:p w14:paraId="2C478A02"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Estatuto del Servicio Profesional Electoral Nacional y de la Rama Administrativa del INE.</w:t>
            </w:r>
          </w:p>
        </w:tc>
      </w:tr>
      <w:tr w:rsidR="00FF2241" w:rsidRPr="00A75986" w14:paraId="242A02A8" w14:textId="77777777" w:rsidTr="00217EAC">
        <w:trPr>
          <w:trHeight w:val="624"/>
          <w:jc w:val="center"/>
        </w:trPr>
        <w:tc>
          <w:tcPr>
            <w:tcW w:w="2042" w:type="pct"/>
            <w:shd w:val="clear" w:color="auto" w:fill="auto"/>
            <w:vAlign w:val="center"/>
          </w:tcPr>
          <w:p w14:paraId="6C10E610"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INE:</w:t>
            </w:r>
          </w:p>
        </w:tc>
        <w:tc>
          <w:tcPr>
            <w:tcW w:w="2958" w:type="pct"/>
            <w:shd w:val="clear" w:color="auto" w:fill="auto"/>
            <w:vAlign w:val="center"/>
          </w:tcPr>
          <w:p w14:paraId="5F56E8B3"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Instituto Nacional Electoral.</w:t>
            </w:r>
          </w:p>
        </w:tc>
      </w:tr>
      <w:tr w:rsidR="00FF2241" w:rsidRPr="00A75986" w14:paraId="6C201951" w14:textId="77777777" w:rsidTr="00217EAC">
        <w:trPr>
          <w:trHeight w:val="624"/>
          <w:jc w:val="center"/>
        </w:trPr>
        <w:tc>
          <w:tcPr>
            <w:tcW w:w="2042" w:type="pct"/>
            <w:shd w:val="clear" w:color="auto" w:fill="auto"/>
            <w:vAlign w:val="center"/>
          </w:tcPr>
          <w:p w14:paraId="7AB4A285"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Instituto:</w:t>
            </w:r>
          </w:p>
        </w:tc>
        <w:tc>
          <w:tcPr>
            <w:tcW w:w="2958" w:type="pct"/>
            <w:shd w:val="clear" w:color="auto" w:fill="auto"/>
          </w:tcPr>
          <w:p w14:paraId="7ECBD10F"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Instituto Electoral y de Participación Ciudadana de Tabasco.</w:t>
            </w:r>
          </w:p>
        </w:tc>
      </w:tr>
      <w:tr w:rsidR="00FF2241" w:rsidRPr="00A75986" w14:paraId="52B6084F" w14:textId="77777777" w:rsidTr="00217EAC">
        <w:trPr>
          <w:trHeight w:val="624"/>
          <w:jc w:val="center"/>
        </w:trPr>
        <w:tc>
          <w:tcPr>
            <w:tcW w:w="2042" w:type="pct"/>
            <w:shd w:val="clear" w:color="auto" w:fill="auto"/>
            <w:vAlign w:val="center"/>
          </w:tcPr>
          <w:p w14:paraId="267835C8"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Ley Electoral:</w:t>
            </w:r>
          </w:p>
        </w:tc>
        <w:tc>
          <w:tcPr>
            <w:tcW w:w="2958" w:type="pct"/>
            <w:shd w:val="clear" w:color="auto" w:fill="auto"/>
            <w:vAlign w:val="center"/>
          </w:tcPr>
          <w:p w14:paraId="6CB40F26"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Ley Electoral y de Partidos Políticos del Estado de Tabasco.</w:t>
            </w:r>
          </w:p>
        </w:tc>
      </w:tr>
      <w:tr w:rsidR="00FF2241" w:rsidRPr="00A75986" w14:paraId="6A1F86FA" w14:textId="77777777" w:rsidTr="00217EAC">
        <w:trPr>
          <w:trHeight w:val="624"/>
          <w:jc w:val="center"/>
        </w:trPr>
        <w:tc>
          <w:tcPr>
            <w:tcW w:w="2042" w:type="pct"/>
            <w:shd w:val="clear" w:color="auto" w:fill="auto"/>
            <w:vAlign w:val="center"/>
          </w:tcPr>
          <w:p w14:paraId="2C69A0EF"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Ley General:</w:t>
            </w:r>
          </w:p>
        </w:tc>
        <w:tc>
          <w:tcPr>
            <w:tcW w:w="2958" w:type="pct"/>
            <w:shd w:val="clear" w:color="auto" w:fill="auto"/>
            <w:vAlign w:val="center"/>
          </w:tcPr>
          <w:p w14:paraId="6B4FA951"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Ley General de Instituciones y Procedimientos Electorales.</w:t>
            </w:r>
          </w:p>
        </w:tc>
      </w:tr>
      <w:tr w:rsidR="00FF2241" w:rsidRPr="00A75986" w14:paraId="59F3342C" w14:textId="77777777" w:rsidTr="00217EAC">
        <w:trPr>
          <w:trHeight w:val="624"/>
          <w:jc w:val="center"/>
        </w:trPr>
        <w:tc>
          <w:tcPr>
            <w:tcW w:w="2042" w:type="pct"/>
            <w:shd w:val="clear" w:color="auto" w:fill="auto"/>
            <w:vAlign w:val="center"/>
          </w:tcPr>
          <w:p w14:paraId="568A1D14"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Lineamientos para la evaluación:</w:t>
            </w:r>
          </w:p>
        </w:tc>
        <w:tc>
          <w:tcPr>
            <w:tcW w:w="2958" w:type="pct"/>
            <w:shd w:val="clear" w:color="auto" w:fill="auto"/>
            <w:vAlign w:val="center"/>
          </w:tcPr>
          <w:p w14:paraId="0B8A7690"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Lineamientos para la Evaluación del Desempeño de las y los Miembros del Servicio Profesional Electoral Nacional del Sistema de los Organismos Públicos Locales Electorales.</w:t>
            </w:r>
          </w:p>
        </w:tc>
      </w:tr>
      <w:tr w:rsidR="00FF2241" w:rsidRPr="00A75986" w14:paraId="242CEF7B" w14:textId="77777777" w:rsidTr="00217EAC">
        <w:trPr>
          <w:trHeight w:val="624"/>
          <w:jc w:val="center"/>
        </w:trPr>
        <w:tc>
          <w:tcPr>
            <w:tcW w:w="2042" w:type="pct"/>
            <w:shd w:val="clear" w:color="auto" w:fill="auto"/>
            <w:vAlign w:val="center"/>
          </w:tcPr>
          <w:p w14:paraId="62256F39"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Organismo electoral:</w:t>
            </w:r>
          </w:p>
        </w:tc>
        <w:tc>
          <w:tcPr>
            <w:tcW w:w="2958" w:type="pct"/>
            <w:shd w:val="clear" w:color="auto" w:fill="auto"/>
            <w:vAlign w:val="center"/>
          </w:tcPr>
          <w:p w14:paraId="5128C57B"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 xml:space="preserve">Organismo(s) público(s) local(es) electoral(es). </w:t>
            </w:r>
          </w:p>
        </w:tc>
      </w:tr>
      <w:tr w:rsidR="00FF2241" w:rsidRPr="00A75986" w14:paraId="6CC7F6C6" w14:textId="77777777" w:rsidTr="00217EAC">
        <w:trPr>
          <w:trHeight w:val="624"/>
          <w:jc w:val="center"/>
        </w:trPr>
        <w:tc>
          <w:tcPr>
            <w:tcW w:w="2042" w:type="pct"/>
            <w:shd w:val="clear" w:color="auto" w:fill="auto"/>
            <w:vAlign w:val="center"/>
          </w:tcPr>
          <w:p w14:paraId="6AEBF575"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Proceso Electoral:</w:t>
            </w:r>
          </w:p>
        </w:tc>
        <w:tc>
          <w:tcPr>
            <w:tcW w:w="2958" w:type="pct"/>
            <w:shd w:val="clear" w:color="auto" w:fill="auto"/>
            <w:vAlign w:val="center"/>
          </w:tcPr>
          <w:p w14:paraId="7934770C"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Proceso Electoral Local Ordinario 2023-2024.</w:t>
            </w:r>
          </w:p>
        </w:tc>
      </w:tr>
      <w:tr w:rsidR="00FF2241" w:rsidRPr="00A75986" w14:paraId="4330FDC1" w14:textId="77777777" w:rsidTr="00217EAC">
        <w:trPr>
          <w:trHeight w:val="624"/>
          <w:jc w:val="center"/>
        </w:trPr>
        <w:tc>
          <w:tcPr>
            <w:tcW w:w="2042" w:type="pct"/>
            <w:shd w:val="clear" w:color="auto" w:fill="auto"/>
            <w:vAlign w:val="center"/>
          </w:tcPr>
          <w:p w14:paraId="4E530E07" w14:textId="77777777" w:rsidR="00FF2241" w:rsidRPr="00CB4151" w:rsidRDefault="00FF2241" w:rsidP="00C92083">
            <w:pPr>
              <w:spacing w:before="120" w:after="120" w:line="276" w:lineRule="auto"/>
              <w:ind w:left="57"/>
              <w:jc w:val="right"/>
              <w:rPr>
                <w:rFonts w:ascii="Arial" w:hAnsi="Arial" w:cs="Arial"/>
                <w:b/>
                <w:sz w:val="20"/>
                <w:szCs w:val="20"/>
              </w:rPr>
            </w:pPr>
            <w:r w:rsidRPr="00CB4151">
              <w:rPr>
                <w:rFonts w:ascii="Arial" w:hAnsi="Arial" w:cs="Arial"/>
                <w:b/>
                <w:sz w:val="20"/>
                <w:szCs w:val="20"/>
              </w:rPr>
              <w:t>Secretaría Ejecutiva:</w:t>
            </w:r>
          </w:p>
        </w:tc>
        <w:tc>
          <w:tcPr>
            <w:tcW w:w="2958" w:type="pct"/>
            <w:shd w:val="clear" w:color="auto" w:fill="auto"/>
            <w:vAlign w:val="center"/>
          </w:tcPr>
          <w:p w14:paraId="634E055F" w14:textId="77777777" w:rsidR="00FF2241" w:rsidRPr="00CB4151" w:rsidRDefault="00FF2241" w:rsidP="00C92083">
            <w:pPr>
              <w:spacing w:before="120" w:after="120" w:line="276" w:lineRule="auto"/>
              <w:ind w:left="57"/>
              <w:rPr>
                <w:rFonts w:ascii="Arial" w:hAnsi="Arial" w:cs="Arial"/>
                <w:sz w:val="20"/>
                <w:szCs w:val="20"/>
              </w:rPr>
            </w:pPr>
            <w:r w:rsidRPr="00CB4151">
              <w:rPr>
                <w:rFonts w:ascii="Arial" w:hAnsi="Arial" w:cs="Arial"/>
                <w:sz w:val="20"/>
                <w:szCs w:val="20"/>
              </w:rPr>
              <w:t>Secretaría Ejecutiva del Instituto Electoral y de Participación Ciudadana de Tabasco.</w:t>
            </w:r>
          </w:p>
        </w:tc>
      </w:tr>
    </w:tbl>
    <w:p w14:paraId="70473E83" w14:textId="320DBE02" w:rsidR="007026DA" w:rsidRPr="00CB4151" w:rsidRDefault="007026DA" w:rsidP="00326961">
      <w:pPr>
        <w:pStyle w:val="Ttulo1"/>
        <w:rPr>
          <w:rFonts w:ascii="Arial" w:hAnsi="Arial" w:cs="Arial"/>
          <w:sz w:val="24"/>
          <w:szCs w:val="24"/>
        </w:rPr>
      </w:pPr>
      <w:r w:rsidRPr="00CB4151">
        <w:rPr>
          <w:rFonts w:ascii="Arial" w:hAnsi="Arial" w:cs="Arial"/>
          <w:sz w:val="24"/>
          <w:szCs w:val="24"/>
        </w:rPr>
        <w:t>Antecedentes</w:t>
      </w:r>
    </w:p>
    <w:p w14:paraId="745522CB" w14:textId="2A4F99A3" w:rsidR="007026DA" w:rsidRPr="00CB4151" w:rsidRDefault="007026DA" w:rsidP="007026DA">
      <w:pPr>
        <w:pStyle w:val="Ttulo2"/>
        <w:rPr>
          <w:rFonts w:ascii="Arial" w:hAnsi="Arial" w:cs="Arial"/>
          <w:sz w:val="23"/>
          <w:szCs w:val="23"/>
        </w:rPr>
      </w:pPr>
      <w:r w:rsidRPr="00CB4151">
        <w:rPr>
          <w:rFonts w:ascii="Arial" w:hAnsi="Arial" w:cs="Arial"/>
          <w:sz w:val="23"/>
          <w:szCs w:val="23"/>
        </w:rPr>
        <w:t xml:space="preserve">Lineamientos para la evaluación </w:t>
      </w:r>
    </w:p>
    <w:p w14:paraId="36C39D07" w14:textId="1BD2FACF" w:rsidR="007026DA" w:rsidRPr="00CB4151" w:rsidRDefault="007026DA" w:rsidP="007026DA">
      <w:pPr>
        <w:rPr>
          <w:rFonts w:ascii="Arial" w:hAnsi="Arial" w:cs="Arial"/>
        </w:rPr>
      </w:pPr>
      <w:r w:rsidRPr="00CB4151">
        <w:rPr>
          <w:rFonts w:ascii="Arial" w:hAnsi="Arial" w:cs="Arial"/>
        </w:rPr>
        <w:t>El 24 de agosto de 2020, la Junta General del INE, mediante acuerdo INE/JGE99/2020 aprobó los Lineamientos para la Evaluación del Desempeño de las y los Miembros del Servicio Profesional Electoral Nacional del Sistema de los Organismos Públicos Locales Electorales, los cuales tienen por objeto regular la operación de la evaluación del desempeño de quienes integran el Servicio y del personal que ocupe un cargo o puesto del Servicio, tanto en una perspectiva anual, como de ciclos trianuales.</w:t>
      </w:r>
    </w:p>
    <w:p w14:paraId="619F1B5B" w14:textId="4C7D350D" w:rsidR="007026DA" w:rsidRPr="00CB4151" w:rsidRDefault="007026DA" w:rsidP="007026DA">
      <w:pPr>
        <w:pStyle w:val="Ttulo2"/>
        <w:rPr>
          <w:rFonts w:ascii="Arial" w:hAnsi="Arial" w:cs="Arial"/>
          <w:sz w:val="23"/>
          <w:szCs w:val="23"/>
        </w:rPr>
      </w:pPr>
      <w:r w:rsidRPr="00CB4151">
        <w:rPr>
          <w:rFonts w:ascii="Arial" w:hAnsi="Arial" w:cs="Arial"/>
          <w:sz w:val="23"/>
          <w:szCs w:val="23"/>
        </w:rPr>
        <w:t>Aprobación del bloque de metas</w:t>
      </w:r>
    </w:p>
    <w:p w14:paraId="3CD19DBD" w14:textId="03CC4D0D" w:rsidR="007026DA" w:rsidRPr="00CB4151" w:rsidRDefault="007026DA" w:rsidP="007026DA">
      <w:pPr>
        <w:rPr>
          <w:rFonts w:ascii="Arial" w:hAnsi="Arial" w:cs="Arial"/>
        </w:rPr>
      </w:pPr>
      <w:r w:rsidRPr="00CB4151">
        <w:rPr>
          <w:rFonts w:ascii="Arial" w:hAnsi="Arial" w:cs="Arial"/>
        </w:rPr>
        <w:t xml:space="preserve">El 31 de agosto de 2022, mediante acuerdo INE/JGE178/2022, la Junta General Ejecutiva del INE, aprobó el bloque de metas para la Evaluación del Desempeño de las y los miembros del Servicio Profesional Electoral Nacional del Sistema de los Organismos Públicos Locales Electorales correspondiente al periodo </w:t>
      </w:r>
      <w:r w:rsidR="00F8378A" w:rsidRPr="00CB4151">
        <w:rPr>
          <w:rFonts w:ascii="Arial" w:hAnsi="Arial" w:cs="Arial"/>
        </w:rPr>
        <w:t xml:space="preserve">de </w:t>
      </w:r>
      <w:r w:rsidRPr="00CB4151">
        <w:rPr>
          <w:rFonts w:ascii="Arial" w:hAnsi="Arial" w:cs="Arial"/>
        </w:rPr>
        <w:t xml:space="preserve">septiembre </w:t>
      </w:r>
      <w:r w:rsidR="00F8378A" w:rsidRPr="00CB4151">
        <w:rPr>
          <w:rFonts w:ascii="Arial" w:hAnsi="Arial" w:cs="Arial"/>
        </w:rPr>
        <w:t xml:space="preserve">de </w:t>
      </w:r>
      <w:r w:rsidRPr="00CB4151">
        <w:rPr>
          <w:rFonts w:ascii="Arial" w:hAnsi="Arial" w:cs="Arial"/>
        </w:rPr>
        <w:t xml:space="preserve">2022 a agosto </w:t>
      </w:r>
      <w:r w:rsidR="00F8378A" w:rsidRPr="00CB4151">
        <w:rPr>
          <w:rFonts w:ascii="Arial" w:hAnsi="Arial" w:cs="Arial"/>
        </w:rPr>
        <w:t xml:space="preserve">de </w:t>
      </w:r>
      <w:r w:rsidRPr="00CB4151">
        <w:rPr>
          <w:rFonts w:ascii="Arial" w:hAnsi="Arial" w:cs="Arial"/>
        </w:rPr>
        <w:t>2023. Lo anterior se hizo del conocimiento de este instituto, mediante oficio INE/DESPEN/DPR/1028/2022 suscrito por el titular de la Dirección de Profesionalización de la DESPEN.</w:t>
      </w:r>
    </w:p>
    <w:p w14:paraId="56FB303C" w14:textId="49B861A0" w:rsidR="007026DA" w:rsidRPr="00CB4151" w:rsidRDefault="00F8378A" w:rsidP="00F8378A">
      <w:pPr>
        <w:pStyle w:val="Ttulo2"/>
        <w:rPr>
          <w:rFonts w:ascii="Arial" w:hAnsi="Arial" w:cs="Arial"/>
          <w:sz w:val="23"/>
          <w:szCs w:val="23"/>
        </w:rPr>
      </w:pPr>
      <w:r w:rsidRPr="00CB4151">
        <w:rPr>
          <w:rFonts w:ascii="Arial" w:hAnsi="Arial" w:cs="Arial"/>
          <w:sz w:val="23"/>
          <w:szCs w:val="23"/>
        </w:rPr>
        <w:t>Aprobación de meta adicional</w:t>
      </w:r>
    </w:p>
    <w:p w14:paraId="6AF1B809" w14:textId="33AD79D8" w:rsidR="00F8378A" w:rsidRPr="00CB4151" w:rsidRDefault="00F8378A" w:rsidP="00F8378A">
      <w:pPr>
        <w:rPr>
          <w:rFonts w:ascii="Arial" w:hAnsi="Arial" w:cs="Arial"/>
        </w:rPr>
      </w:pPr>
      <w:r w:rsidRPr="00CB4151">
        <w:rPr>
          <w:rFonts w:ascii="Arial" w:hAnsi="Arial" w:cs="Arial"/>
        </w:rPr>
        <w:t xml:space="preserve">El 29 de septiembre de 2022, la Junta General Ejecutiva del INE, mediante acuerdo </w:t>
      </w:r>
      <w:r w:rsidR="007026DA" w:rsidRPr="00CB4151">
        <w:rPr>
          <w:rFonts w:ascii="Arial" w:hAnsi="Arial" w:cs="Arial"/>
        </w:rPr>
        <w:t>INE/JGE187/2022</w:t>
      </w:r>
      <w:r w:rsidRPr="00CB4151">
        <w:rPr>
          <w:rFonts w:ascii="Arial" w:hAnsi="Arial" w:cs="Arial"/>
        </w:rPr>
        <w:t xml:space="preserve"> aprobó una meta adicional para la Evaluación del Desempeño del personal del Servicio Profesional Electoral Nacional del Sistema de los Organismos Públicos Locales Electorales correspondiente al periodo septiembre de 2022 a agosto de 2023.</w:t>
      </w:r>
    </w:p>
    <w:p w14:paraId="64E79F94" w14:textId="77777777" w:rsidR="00F8378A" w:rsidRPr="00CB4151" w:rsidRDefault="00F8378A" w:rsidP="00F8378A">
      <w:pPr>
        <w:pStyle w:val="Ttulo2"/>
        <w:rPr>
          <w:rFonts w:ascii="Arial" w:hAnsi="Arial" w:cs="Arial"/>
          <w:sz w:val="23"/>
          <w:szCs w:val="23"/>
        </w:rPr>
      </w:pPr>
      <w:r w:rsidRPr="00CB4151">
        <w:rPr>
          <w:rFonts w:ascii="Arial" w:hAnsi="Arial" w:cs="Arial"/>
          <w:sz w:val="23"/>
          <w:szCs w:val="23"/>
        </w:rPr>
        <w:t>Integración de la Comisión de Seguimiento</w:t>
      </w:r>
    </w:p>
    <w:p w14:paraId="24E1E163" w14:textId="77777777" w:rsidR="00F8378A" w:rsidRPr="00CB4151" w:rsidRDefault="00F8378A" w:rsidP="00F8378A">
      <w:pPr>
        <w:rPr>
          <w:rFonts w:ascii="Arial" w:hAnsi="Arial" w:cs="Arial"/>
        </w:rPr>
      </w:pPr>
      <w:r w:rsidRPr="00CB4151">
        <w:rPr>
          <w:rFonts w:ascii="Arial" w:hAnsi="Arial" w:cs="Arial"/>
        </w:rPr>
        <w:t>El 5 de octubre de 2023, mediante acuerdo CE/2023/31, el Consejo Estatal determinó la nueva integración de la Comisión de Seguimiento, responsable de garantizar la correcta implementación y funcionamiento de los mecanismos del Servicio Profesional Electoral Nacional.</w:t>
      </w:r>
    </w:p>
    <w:p w14:paraId="089046AB" w14:textId="77777777" w:rsidR="00F8378A" w:rsidRPr="00CB4151" w:rsidRDefault="00F8378A" w:rsidP="00F8378A">
      <w:pPr>
        <w:rPr>
          <w:rFonts w:ascii="Arial" w:hAnsi="Arial" w:cs="Arial"/>
        </w:rPr>
      </w:pPr>
      <w:r w:rsidRPr="00CB4151">
        <w:rPr>
          <w:rFonts w:ascii="Arial" w:hAnsi="Arial" w:cs="Arial"/>
        </w:rPr>
        <w:t>La Comisión de Seguimiento quedó integrada por la Consejera Electoral, Licda. María Elvia Magaña Sandoval y los Consejeros Electorales, Mtro. Juan Correa López y M.D. Víctor Humberto Mejía Naranjo, éste último en su carácter de Presidente de la Comisión.</w:t>
      </w:r>
    </w:p>
    <w:p w14:paraId="0453142D" w14:textId="77777777" w:rsidR="00F8378A" w:rsidRPr="00CB4151" w:rsidRDefault="00F8378A" w:rsidP="00F8378A">
      <w:pPr>
        <w:pStyle w:val="Ttulo2"/>
        <w:rPr>
          <w:rFonts w:ascii="Arial" w:hAnsi="Arial" w:cs="Arial"/>
          <w:sz w:val="23"/>
          <w:szCs w:val="23"/>
        </w:rPr>
      </w:pPr>
      <w:r w:rsidRPr="00CB4151">
        <w:rPr>
          <w:rFonts w:ascii="Arial" w:hAnsi="Arial" w:cs="Arial"/>
          <w:sz w:val="23"/>
          <w:szCs w:val="23"/>
        </w:rPr>
        <w:t>Remisión del Dictamen General de Resultados de la Evaluación del Desempeño</w:t>
      </w:r>
    </w:p>
    <w:p w14:paraId="1D0ED46B" w14:textId="32DF3D5C" w:rsidR="00F8378A" w:rsidRDefault="00F8378A" w:rsidP="00F8378A">
      <w:pPr>
        <w:rPr>
          <w:rFonts w:ascii="Arial" w:hAnsi="Arial" w:cs="Arial"/>
        </w:rPr>
      </w:pPr>
      <w:r w:rsidRPr="00CB4151">
        <w:rPr>
          <w:rFonts w:ascii="Arial" w:hAnsi="Arial" w:cs="Arial"/>
        </w:rPr>
        <w:t>El 28 de febrero de 2024, mediante oficio INE/DESPEN/DPR/059/2024, la DESPEN remitió a este Instituto, el Dictamen General de Resultados de la Evaluación del Desempeño de las y los miembros del Servicio Profesional Electoral Nacional del Sistema de los Organismos Públicos Locales Electorales correspondiente al periodo del mes de septiembre de 2022 a agosto de 2023, informando la conclusión de los trabajos para su elaboración. Asimismo, informó que el dictamen quedó en posibilidad de someterse a aprobación del Consejo Estatal.</w:t>
      </w:r>
    </w:p>
    <w:p w14:paraId="3941C9AD" w14:textId="637E318E" w:rsidR="00CB4151" w:rsidRDefault="00CB4151" w:rsidP="00F8378A">
      <w:pPr>
        <w:rPr>
          <w:rFonts w:ascii="Arial" w:hAnsi="Arial" w:cs="Arial"/>
        </w:rPr>
      </w:pPr>
    </w:p>
    <w:p w14:paraId="7B400A25" w14:textId="7706D482" w:rsidR="00CB4151" w:rsidRDefault="00CB4151" w:rsidP="00F8378A">
      <w:pPr>
        <w:rPr>
          <w:rFonts w:ascii="Arial" w:hAnsi="Arial" w:cs="Arial"/>
        </w:rPr>
      </w:pPr>
    </w:p>
    <w:p w14:paraId="5C138353" w14:textId="77777777" w:rsidR="00CB4151" w:rsidRDefault="00CB4151" w:rsidP="00F8378A">
      <w:pPr>
        <w:rPr>
          <w:rFonts w:ascii="Arial" w:hAnsi="Arial" w:cs="Arial"/>
        </w:rPr>
      </w:pPr>
    </w:p>
    <w:p w14:paraId="52550065" w14:textId="111A29F8" w:rsidR="00F8378A" w:rsidRPr="00CB4151" w:rsidRDefault="00F8378A" w:rsidP="00F8378A">
      <w:pPr>
        <w:pStyle w:val="Ttulo1"/>
        <w:rPr>
          <w:rFonts w:ascii="Arial" w:hAnsi="Arial" w:cs="Arial"/>
          <w:sz w:val="24"/>
          <w:szCs w:val="24"/>
        </w:rPr>
      </w:pPr>
      <w:r w:rsidRPr="00CB4151">
        <w:rPr>
          <w:rFonts w:ascii="Arial" w:hAnsi="Arial" w:cs="Arial"/>
          <w:sz w:val="24"/>
          <w:szCs w:val="24"/>
        </w:rPr>
        <w:t>Considerando</w:t>
      </w:r>
    </w:p>
    <w:p w14:paraId="21FD0599" w14:textId="54CDDBFE" w:rsidR="00F8378A" w:rsidRPr="00CB4151" w:rsidRDefault="00F8378A" w:rsidP="00F8378A">
      <w:pPr>
        <w:pStyle w:val="Ttulo2"/>
        <w:rPr>
          <w:rFonts w:ascii="Arial" w:hAnsi="Arial" w:cs="Arial"/>
          <w:sz w:val="23"/>
          <w:szCs w:val="23"/>
        </w:rPr>
      </w:pPr>
      <w:r w:rsidRPr="00CB4151">
        <w:rPr>
          <w:rFonts w:ascii="Arial" w:hAnsi="Arial" w:cs="Arial"/>
          <w:sz w:val="23"/>
          <w:szCs w:val="23"/>
        </w:rPr>
        <w:t xml:space="preserve">Fines del Instituto </w:t>
      </w:r>
    </w:p>
    <w:p w14:paraId="02CC8F6F" w14:textId="77777777" w:rsidR="00F8378A" w:rsidRPr="00CB4151" w:rsidRDefault="00F8378A" w:rsidP="00F8378A">
      <w:pPr>
        <w:rPr>
          <w:rFonts w:ascii="Arial" w:hAnsi="Arial" w:cs="Arial"/>
        </w:rPr>
      </w:pPr>
      <w:r w:rsidRPr="00CB4151">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CA7486C" w14:textId="77777777" w:rsidR="00F8378A" w:rsidRPr="00CB4151" w:rsidRDefault="00F8378A" w:rsidP="00F8378A">
      <w:pPr>
        <w:rPr>
          <w:rFonts w:ascii="Arial" w:hAnsi="Arial" w:cs="Arial"/>
        </w:rPr>
      </w:pPr>
      <w:r w:rsidRPr="00CB4151">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89252CB" w14:textId="1DE6539C" w:rsidR="00F8378A" w:rsidRPr="00CB4151" w:rsidRDefault="00F8378A" w:rsidP="00F8378A">
      <w:pPr>
        <w:pStyle w:val="Ttulo2"/>
        <w:rPr>
          <w:rFonts w:ascii="Arial" w:hAnsi="Arial" w:cs="Arial"/>
          <w:sz w:val="23"/>
          <w:szCs w:val="23"/>
        </w:rPr>
      </w:pPr>
      <w:r w:rsidRPr="00CB4151">
        <w:rPr>
          <w:rFonts w:ascii="Arial" w:hAnsi="Arial" w:cs="Arial"/>
          <w:sz w:val="23"/>
          <w:szCs w:val="23"/>
        </w:rPr>
        <w:t xml:space="preserve">Órgano Superior de Dirección del Instituto </w:t>
      </w:r>
    </w:p>
    <w:p w14:paraId="607F1461" w14:textId="77777777" w:rsidR="00F8378A" w:rsidRPr="00CB4151" w:rsidRDefault="00F8378A" w:rsidP="00F8378A">
      <w:pPr>
        <w:rPr>
          <w:rFonts w:ascii="Arial" w:hAnsi="Arial" w:cs="Arial"/>
        </w:rPr>
      </w:pPr>
      <w:r w:rsidRPr="00CB4151">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063DB6E4" w14:textId="282244F7" w:rsidR="00F8378A" w:rsidRPr="00CB4151" w:rsidRDefault="00F8378A" w:rsidP="00F8378A">
      <w:pPr>
        <w:pStyle w:val="Ttulo2"/>
        <w:rPr>
          <w:rFonts w:ascii="Arial" w:hAnsi="Arial" w:cs="Arial"/>
          <w:sz w:val="23"/>
          <w:szCs w:val="23"/>
        </w:rPr>
      </w:pPr>
      <w:r w:rsidRPr="00CB4151">
        <w:rPr>
          <w:rFonts w:ascii="Arial" w:hAnsi="Arial" w:cs="Arial"/>
          <w:sz w:val="23"/>
          <w:szCs w:val="23"/>
        </w:rPr>
        <w:t>Integración del Órgano de Dirección Superior</w:t>
      </w:r>
    </w:p>
    <w:p w14:paraId="089E00A7" w14:textId="77777777" w:rsidR="00F8378A" w:rsidRPr="00CB4151" w:rsidRDefault="00F8378A" w:rsidP="00F8378A">
      <w:pPr>
        <w:rPr>
          <w:rFonts w:ascii="Arial" w:hAnsi="Arial" w:cs="Arial"/>
        </w:rPr>
      </w:pPr>
      <w:r w:rsidRPr="00CB4151">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08BC682" w14:textId="45BC8D09" w:rsidR="00F8378A" w:rsidRPr="00CB4151" w:rsidRDefault="00F8378A" w:rsidP="00F8378A">
      <w:pPr>
        <w:pStyle w:val="Ttulo2"/>
        <w:rPr>
          <w:rFonts w:ascii="Arial" w:hAnsi="Arial" w:cs="Arial"/>
          <w:sz w:val="23"/>
          <w:szCs w:val="23"/>
        </w:rPr>
      </w:pPr>
      <w:r w:rsidRPr="00CB4151">
        <w:rPr>
          <w:rFonts w:ascii="Arial" w:hAnsi="Arial" w:cs="Arial"/>
          <w:sz w:val="23"/>
          <w:szCs w:val="23"/>
        </w:rPr>
        <w:t xml:space="preserve">Competencia del Consejo Estatal </w:t>
      </w:r>
    </w:p>
    <w:p w14:paraId="7D4B39C5" w14:textId="77777777" w:rsidR="00F8378A" w:rsidRPr="00CB4151" w:rsidRDefault="00F8378A" w:rsidP="00F8378A">
      <w:pPr>
        <w:rPr>
          <w:rFonts w:ascii="Arial" w:hAnsi="Arial" w:cs="Arial"/>
        </w:rPr>
      </w:pPr>
      <w:r w:rsidRPr="00CB4151">
        <w:rPr>
          <w:rFonts w:ascii="Arial" w:hAnsi="Arial" w:cs="Arial"/>
        </w:rPr>
        <w:t>Que, de conformidad con el artículo 115 numeral 1 fracción I de la Ley Electoral, el Consejo Estatal es competente para aplicar las disposiciones generales, reglas, lineamientos, criterios y formatos que, en ejercicio de las facultades que le confieren la Constitución Federal y la Ley General, establezca el Instituto Nacional Electoral.</w:t>
      </w:r>
    </w:p>
    <w:p w14:paraId="49F444E2" w14:textId="77777777" w:rsidR="00F8378A" w:rsidRPr="00CB4151" w:rsidRDefault="00F8378A" w:rsidP="00F8378A">
      <w:pPr>
        <w:rPr>
          <w:rFonts w:ascii="Arial" w:hAnsi="Arial" w:cs="Arial"/>
        </w:rPr>
      </w:pPr>
      <w:r w:rsidRPr="00CB4151">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B0377EE" w14:textId="34A59C16" w:rsidR="00F8378A" w:rsidRPr="00CB4151" w:rsidRDefault="00F8378A" w:rsidP="00F8378A">
      <w:pPr>
        <w:pStyle w:val="Ttulo2"/>
        <w:rPr>
          <w:rFonts w:ascii="Arial" w:hAnsi="Arial" w:cs="Arial"/>
          <w:sz w:val="23"/>
          <w:szCs w:val="23"/>
        </w:rPr>
      </w:pPr>
      <w:r w:rsidRPr="00CB4151">
        <w:rPr>
          <w:rFonts w:ascii="Arial" w:hAnsi="Arial" w:cs="Arial"/>
          <w:sz w:val="23"/>
          <w:szCs w:val="23"/>
        </w:rPr>
        <w:t>Atribución del Instituto de aplicar reglas, lineamientos, criterios emitidos por el INE</w:t>
      </w:r>
    </w:p>
    <w:p w14:paraId="0F1CB989" w14:textId="77777777" w:rsidR="00F8378A" w:rsidRPr="00CB4151" w:rsidRDefault="00F8378A" w:rsidP="00F8378A">
      <w:pPr>
        <w:rPr>
          <w:rFonts w:ascii="Arial" w:hAnsi="Arial" w:cs="Arial"/>
        </w:rPr>
      </w:pPr>
      <w:r w:rsidRPr="00CB4151">
        <w:rPr>
          <w:rFonts w:ascii="Arial" w:hAnsi="Arial" w:cs="Arial"/>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5C06689A" w14:textId="4E7CEB5F" w:rsidR="00F8378A" w:rsidRPr="00CB4151" w:rsidRDefault="00F8378A" w:rsidP="00F8378A">
      <w:pPr>
        <w:pStyle w:val="Ttulo2"/>
        <w:rPr>
          <w:rFonts w:ascii="Arial" w:hAnsi="Arial" w:cs="Arial"/>
          <w:sz w:val="23"/>
          <w:szCs w:val="23"/>
        </w:rPr>
      </w:pPr>
      <w:r w:rsidRPr="00CB4151">
        <w:rPr>
          <w:rFonts w:ascii="Arial" w:hAnsi="Arial" w:cs="Arial"/>
          <w:sz w:val="23"/>
          <w:szCs w:val="23"/>
        </w:rPr>
        <w:t>Servicio Profesional Electoral Nacional</w:t>
      </w:r>
    </w:p>
    <w:p w14:paraId="7CE7BFBF" w14:textId="44AFA593" w:rsidR="00F8378A" w:rsidRPr="00CB4151" w:rsidRDefault="00F8378A" w:rsidP="00F8378A">
      <w:pPr>
        <w:rPr>
          <w:rFonts w:ascii="Arial" w:hAnsi="Arial" w:cs="Arial"/>
        </w:rPr>
      </w:pPr>
      <w:r w:rsidRPr="00CB4151">
        <w:rPr>
          <w:rFonts w:ascii="Arial" w:hAnsi="Arial" w:cs="Arial"/>
        </w:rPr>
        <w:t xml:space="preserve">Que, como lo dispone el artículo 41 base V, Apartado D de la Constitución Federal, el Servicio Profesional Electoral Nacional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61B4007D" w14:textId="77777777" w:rsidR="00F8378A" w:rsidRPr="00CB4151" w:rsidRDefault="00F8378A" w:rsidP="00F8378A">
      <w:pPr>
        <w:rPr>
          <w:rFonts w:ascii="Arial" w:hAnsi="Arial" w:cs="Arial"/>
        </w:rPr>
      </w:pPr>
      <w:r w:rsidRPr="00CB4151">
        <w:rPr>
          <w:rFonts w:ascii="Arial" w:hAnsi="Arial" w:cs="Arial"/>
        </w:rP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5183B039" w14:textId="54462781" w:rsidR="00F8378A" w:rsidRPr="00CB4151" w:rsidRDefault="00F8378A" w:rsidP="00F8378A">
      <w:pPr>
        <w:pStyle w:val="Ttulo2"/>
        <w:rPr>
          <w:rFonts w:ascii="Arial" w:hAnsi="Arial" w:cs="Arial"/>
          <w:sz w:val="23"/>
          <w:szCs w:val="23"/>
        </w:rPr>
      </w:pPr>
      <w:r w:rsidRPr="00CB4151">
        <w:rPr>
          <w:rFonts w:ascii="Arial" w:hAnsi="Arial" w:cs="Arial"/>
          <w:sz w:val="23"/>
          <w:szCs w:val="23"/>
        </w:rPr>
        <w:t>Facultad del INE para regular el Servicio Profesional Electoral Nacional</w:t>
      </w:r>
    </w:p>
    <w:p w14:paraId="440C5B5D" w14:textId="77777777" w:rsidR="00F8378A" w:rsidRPr="00CB4151" w:rsidRDefault="00F8378A" w:rsidP="00F8378A">
      <w:pPr>
        <w:rPr>
          <w:rFonts w:ascii="Arial" w:hAnsi="Arial" w:cs="Arial"/>
        </w:rPr>
      </w:pPr>
      <w:r w:rsidRPr="00CB4151">
        <w:rPr>
          <w:rFonts w:ascii="Arial" w:hAnsi="Arial" w:cs="Arial"/>
        </w:rPr>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14:paraId="2919E4C4" w14:textId="10BE0977" w:rsidR="00F8378A" w:rsidRPr="00CB4151" w:rsidRDefault="00F8378A" w:rsidP="00F8378A">
      <w:pPr>
        <w:pStyle w:val="Ttulo2"/>
        <w:rPr>
          <w:rFonts w:ascii="Arial" w:hAnsi="Arial" w:cs="Arial"/>
          <w:sz w:val="23"/>
          <w:szCs w:val="23"/>
        </w:rPr>
      </w:pPr>
      <w:r w:rsidRPr="00CB4151">
        <w:rPr>
          <w:rFonts w:ascii="Arial" w:hAnsi="Arial" w:cs="Arial"/>
          <w:sz w:val="23"/>
          <w:szCs w:val="23"/>
        </w:rPr>
        <w:t>Integración, organización y funcionamiento del Servicio Profesional Electoral Nacional</w:t>
      </w:r>
    </w:p>
    <w:p w14:paraId="6169EED8" w14:textId="0A5D912B" w:rsidR="00F8378A" w:rsidRDefault="00F8378A" w:rsidP="00F8378A">
      <w:pPr>
        <w:rPr>
          <w:rFonts w:ascii="Arial" w:hAnsi="Arial" w:cs="Arial"/>
        </w:rPr>
      </w:pPr>
      <w:r w:rsidRPr="00CB4151">
        <w:rPr>
          <w:rFonts w:ascii="Arial" w:hAnsi="Arial" w:cs="Arial"/>
        </w:rP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aplicará los distintos mecanismos del servicio de conformidad con lo dispuesto en el apartado D, de la Base V, del artículo 41, de la Constitución Federal.</w:t>
      </w:r>
    </w:p>
    <w:p w14:paraId="4296DA30" w14:textId="77777777" w:rsidR="00CB4151" w:rsidRPr="00CB4151" w:rsidRDefault="00CB4151" w:rsidP="00F8378A">
      <w:pPr>
        <w:rPr>
          <w:rFonts w:ascii="Arial" w:hAnsi="Arial" w:cs="Arial"/>
        </w:rPr>
      </w:pPr>
    </w:p>
    <w:p w14:paraId="37FCC4C9" w14:textId="2EB5C71C" w:rsidR="00F8378A" w:rsidRPr="00CB4151" w:rsidRDefault="00F8378A" w:rsidP="00F8378A">
      <w:pPr>
        <w:pStyle w:val="Ttulo2"/>
        <w:rPr>
          <w:rFonts w:ascii="Arial" w:hAnsi="Arial" w:cs="Arial"/>
          <w:sz w:val="23"/>
          <w:szCs w:val="23"/>
        </w:rPr>
      </w:pPr>
      <w:r w:rsidRPr="00CB4151">
        <w:rPr>
          <w:rFonts w:ascii="Arial" w:hAnsi="Arial" w:cs="Arial"/>
          <w:sz w:val="23"/>
          <w:szCs w:val="23"/>
        </w:rPr>
        <w:t xml:space="preserve">Servicio Electoral Profesional del Sistema de Organismos Electorales </w:t>
      </w:r>
    </w:p>
    <w:p w14:paraId="77163792" w14:textId="77777777" w:rsidR="00F8378A" w:rsidRPr="00CB4151" w:rsidRDefault="00F8378A" w:rsidP="00F8378A">
      <w:pPr>
        <w:rPr>
          <w:rFonts w:ascii="Arial" w:hAnsi="Arial" w:cs="Arial"/>
        </w:rPr>
      </w:pPr>
      <w:r w:rsidRPr="00CB4151">
        <w:rPr>
          <w:rFonts w:ascii="Arial" w:hAnsi="Arial" w:cs="Arial"/>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2A5ED31A" w14:textId="1D642ED4" w:rsidR="00F8378A" w:rsidRPr="00CB4151" w:rsidRDefault="00F8378A" w:rsidP="00F8378A">
      <w:pPr>
        <w:pStyle w:val="Ttulo2"/>
        <w:rPr>
          <w:rFonts w:ascii="Arial" w:hAnsi="Arial" w:cs="Arial"/>
          <w:sz w:val="23"/>
          <w:szCs w:val="23"/>
        </w:rPr>
      </w:pPr>
      <w:r w:rsidRPr="00CB4151">
        <w:rPr>
          <w:rFonts w:ascii="Arial" w:hAnsi="Arial" w:cs="Arial"/>
          <w:sz w:val="23"/>
          <w:szCs w:val="23"/>
        </w:rPr>
        <w:t>Órganos auxiliares del Consejo Estatal</w:t>
      </w:r>
    </w:p>
    <w:p w14:paraId="12D5580D" w14:textId="77777777" w:rsidR="00F8378A" w:rsidRPr="00CB4151" w:rsidRDefault="00F8378A" w:rsidP="00F8378A">
      <w:pPr>
        <w:rPr>
          <w:rFonts w:ascii="Arial" w:hAnsi="Arial" w:cs="Arial"/>
        </w:rPr>
      </w:pPr>
      <w:r w:rsidRPr="00CB4151">
        <w:rPr>
          <w:rFonts w:ascii="Arial" w:hAnsi="Arial" w:cs="Arial"/>
        </w:rPr>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4CF8E55B" w14:textId="1D9FA8C4" w:rsidR="00F8378A" w:rsidRPr="00CB4151" w:rsidRDefault="00F8378A" w:rsidP="00F8378A">
      <w:pPr>
        <w:rPr>
          <w:rFonts w:ascii="Arial" w:hAnsi="Arial" w:cs="Arial"/>
        </w:rPr>
      </w:pPr>
      <w:r w:rsidRPr="00CB4151">
        <w:rPr>
          <w:rFonts w:ascii="Arial" w:hAnsi="Arial" w:cs="Arial"/>
        </w:rPr>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14:paraId="78358047" w14:textId="790D7401" w:rsidR="00F8378A" w:rsidRPr="00CB4151" w:rsidRDefault="00F8378A" w:rsidP="00F8378A">
      <w:pPr>
        <w:pStyle w:val="Ttulo2"/>
        <w:rPr>
          <w:rFonts w:ascii="Arial" w:hAnsi="Arial" w:cs="Arial"/>
          <w:sz w:val="23"/>
          <w:szCs w:val="23"/>
        </w:rPr>
      </w:pPr>
      <w:r w:rsidRPr="00CB4151">
        <w:rPr>
          <w:rFonts w:ascii="Arial" w:hAnsi="Arial" w:cs="Arial"/>
          <w:sz w:val="23"/>
          <w:szCs w:val="23"/>
        </w:rPr>
        <w:t>Evaluación de desempeño</w:t>
      </w:r>
    </w:p>
    <w:p w14:paraId="361D0C29" w14:textId="16FB878E" w:rsidR="00F8378A" w:rsidRPr="00CB4151" w:rsidRDefault="00F8378A" w:rsidP="00F8378A">
      <w:pPr>
        <w:rPr>
          <w:rFonts w:ascii="Arial" w:hAnsi="Arial" w:cs="Arial"/>
        </w:rPr>
      </w:pPr>
      <w:r w:rsidRPr="00CB4151">
        <w:rPr>
          <w:rFonts w:ascii="Arial" w:hAnsi="Arial" w:cs="Arial"/>
        </w:rPr>
        <w:t>Que, el artículo 455, del Estatuto establece que la evaluación del desempeño es el instrumento mediante el cual se valora, cualitativa y cuantitativamente, en qué medida las o los miembros del Servicio Profesiona</w:t>
      </w:r>
      <w:r w:rsidR="00B0604D" w:rsidRPr="00CB4151">
        <w:rPr>
          <w:rFonts w:ascii="Arial" w:hAnsi="Arial" w:cs="Arial"/>
        </w:rPr>
        <w:t>l Electoral Naciona</w:t>
      </w:r>
      <w:r w:rsidRPr="00CB4151">
        <w:rPr>
          <w:rFonts w:ascii="Arial" w:hAnsi="Arial" w:cs="Arial"/>
        </w:rPr>
        <w:t xml:space="preserve">l ponen en práctica los conocimientos y competencias inherentes a su cargo o puesto en el cumplimiento de sus funciones. Su propósito es generar elementos objetivos para el rendimiento personal, contribuir a mejorar la definición de estrategias de fortalecimiento del Servicio, así como para nutrir el ejercicio de la planeación institucional. La evaluación del desempeño deberá generar insumos para la profesionalización de las y los miembros del Servicio. </w:t>
      </w:r>
    </w:p>
    <w:p w14:paraId="13684A2D" w14:textId="6BBC05E0" w:rsidR="00F8378A" w:rsidRPr="00CB4151" w:rsidRDefault="00B0604D" w:rsidP="00F8378A">
      <w:pPr>
        <w:rPr>
          <w:rFonts w:ascii="Arial" w:hAnsi="Arial" w:cs="Arial"/>
        </w:rPr>
      </w:pPr>
      <w:r w:rsidRPr="00CB4151">
        <w:rPr>
          <w:rFonts w:ascii="Arial" w:hAnsi="Arial" w:cs="Arial"/>
        </w:rPr>
        <w:t>Asimismo, d</w:t>
      </w:r>
      <w:r w:rsidR="00F8378A" w:rsidRPr="00CB4151">
        <w:rPr>
          <w:rFonts w:ascii="Arial" w:hAnsi="Arial" w:cs="Arial"/>
        </w:rPr>
        <w:t>e acuerdo con el artículo 457</w:t>
      </w:r>
      <w:r w:rsidRPr="00CB4151">
        <w:rPr>
          <w:rFonts w:ascii="Arial" w:hAnsi="Arial" w:cs="Arial"/>
        </w:rPr>
        <w:t xml:space="preserve"> </w:t>
      </w:r>
      <w:r w:rsidR="00F8378A" w:rsidRPr="00CB4151">
        <w:rPr>
          <w:rFonts w:ascii="Arial" w:hAnsi="Arial" w:cs="Arial"/>
        </w:rPr>
        <w:t>del Estatuto, la evaluación del desempeño incluirá la verificación del cumplimiento de metas individuales y en su caso colectiva, con indicadores de actividades y/o resultados, así como la valoración de las competencias inherentes a las funciones del cargo o puesto y de los principios institucionales. La evaluación se aplicará anualmente y se obtendrá una calificación trianual ponderada. Cada trienio se definirá en función de la renovación del congreso local.</w:t>
      </w:r>
    </w:p>
    <w:p w14:paraId="77D190FE" w14:textId="2CD87E90" w:rsidR="00B0604D" w:rsidRPr="00CB4151" w:rsidRDefault="00F8378A" w:rsidP="00B0604D">
      <w:pPr>
        <w:pStyle w:val="Ttulo2"/>
        <w:rPr>
          <w:rFonts w:ascii="Arial" w:hAnsi="Arial" w:cs="Arial"/>
          <w:sz w:val="23"/>
          <w:szCs w:val="23"/>
        </w:rPr>
      </w:pPr>
      <w:r w:rsidRPr="00CB4151">
        <w:rPr>
          <w:rFonts w:ascii="Arial" w:hAnsi="Arial" w:cs="Arial"/>
          <w:sz w:val="23"/>
          <w:szCs w:val="23"/>
        </w:rPr>
        <w:t>Ciclo Trianual</w:t>
      </w:r>
    </w:p>
    <w:p w14:paraId="22F26C8D" w14:textId="4A8BFF65" w:rsidR="00F8378A" w:rsidRPr="00CB4151" w:rsidRDefault="00F8378A" w:rsidP="00F8378A">
      <w:pPr>
        <w:rPr>
          <w:rFonts w:ascii="Arial" w:hAnsi="Arial" w:cs="Arial"/>
        </w:rPr>
      </w:pPr>
      <w:r w:rsidRPr="00CB4151">
        <w:rPr>
          <w:rFonts w:ascii="Arial" w:hAnsi="Arial" w:cs="Arial"/>
        </w:rPr>
        <w:t xml:space="preserve">Que, el artículo segundo transitorio de los Lineamientos establece que el primer ciclo trianual considerará únicamente los resultados de las evaluaciones anuales del desempeño de los periodos septiembre de 2020 a agosto de 2021 y septiembre de 2021 a agosto de 2022. </w:t>
      </w:r>
    </w:p>
    <w:p w14:paraId="1F5CB42E" w14:textId="54B87B73" w:rsidR="00B0604D" w:rsidRPr="00CB4151" w:rsidRDefault="00F8378A" w:rsidP="00B0604D">
      <w:pPr>
        <w:pStyle w:val="Ttulo2"/>
        <w:rPr>
          <w:rFonts w:ascii="Arial" w:hAnsi="Arial" w:cs="Arial"/>
          <w:sz w:val="23"/>
          <w:szCs w:val="23"/>
        </w:rPr>
      </w:pPr>
      <w:r w:rsidRPr="00CB4151">
        <w:rPr>
          <w:rFonts w:ascii="Arial" w:hAnsi="Arial" w:cs="Arial"/>
          <w:sz w:val="23"/>
          <w:szCs w:val="23"/>
        </w:rPr>
        <w:t>Calificación aprobatoria</w:t>
      </w:r>
    </w:p>
    <w:p w14:paraId="493B2CA5" w14:textId="087C307C" w:rsidR="00F8378A" w:rsidRPr="00CB4151" w:rsidRDefault="00F8378A" w:rsidP="00F8378A">
      <w:pPr>
        <w:rPr>
          <w:rFonts w:ascii="Arial" w:hAnsi="Arial" w:cs="Arial"/>
        </w:rPr>
      </w:pPr>
      <w:r w:rsidRPr="00CB4151">
        <w:rPr>
          <w:rFonts w:ascii="Arial" w:hAnsi="Arial" w:cs="Arial"/>
        </w:rPr>
        <w:t>Que, el artículo 458, del Estatuto establece que la calificación mínima aprobatoria para acreditar la evaluación del desempeño anual será de siete en una escala de cero a diez. En caso de obtener una calificación anual reprobatoria, el órgano de enlace determinará las acciones de mejora que tendrán carácter de obligatorias. De no completar satisfactoriamente dichas acciones la o el miembro del Servicio será separado del organismo electoral.</w:t>
      </w:r>
    </w:p>
    <w:p w14:paraId="6B4D36BF" w14:textId="6249FE86" w:rsidR="00B0604D" w:rsidRPr="00CB4151" w:rsidRDefault="00F8378A" w:rsidP="00B0604D">
      <w:pPr>
        <w:pStyle w:val="Ttulo2"/>
        <w:rPr>
          <w:rFonts w:ascii="Arial" w:hAnsi="Arial" w:cs="Arial"/>
          <w:sz w:val="23"/>
          <w:szCs w:val="23"/>
        </w:rPr>
      </w:pPr>
      <w:r w:rsidRPr="00CB4151">
        <w:rPr>
          <w:rFonts w:ascii="Arial" w:hAnsi="Arial" w:cs="Arial"/>
          <w:sz w:val="23"/>
          <w:szCs w:val="23"/>
        </w:rPr>
        <w:t>Sujetos de evaluación</w:t>
      </w:r>
    </w:p>
    <w:p w14:paraId="7E2CA475" w14:textId="32E183E4" w:rsidR="00F8378A" w:rsidRPr="00CB4151" w:rsidRDefault="00F8378A" w:rsidP="00F8378A">
      <w:pPr>
        <w:rPr>
          <w:rFonts w:ascii="Arial" w:hAnsi="Arial" w:cs="Arial"/>
        </w:rPr>
      </w:pPr>
      <w:r w:rsidRPr="00CB4151">
        <w:rPr>
          <w:rFonts w:ascii="Arial" w:hAnsi="Arial" w:cs="Arial"/>
        </w:rPr>
        <w:t>Que, el artículo 54, de los Lineamientos, establece que, para ser sujeto de evaluación, la o él evaluado deberá haberse desempeñado como mínimo seis meses en un cargo o puesto del Servicio Profesional</w:t>
      </w:r>
      <w:r w:rsidR="00B0604D" w:rsidRPr="00CB4151">
        <w:rPr>
          <w:rFonts w:ascii="Arial" w:hAnsi="Arial" w:cs="Arial"/>
        </w:rPr>
        <w:t xml:space="preserve"> Electoral Nacional</w:t>
      </w:r>
      <w:r w:rsidRPr="00CB4151">
        <w:rPr>
          <w:rFonts w:ascii="Arial" w:hAnsi="Arial" w:cs="Arial"/>
        </w:rPr>
        <w:t>, durante el periodo que se evalúa.</w:t>
      </w:r>
    </w:p>
    <w:p w14:paraId="11AE19A3" w14:textId="77777777" w:rsidR="00F8378A" w:rsidRPr="00CB4151" w:rsidRDefault="00F8378A" w:rsidP="00F8378A">
      <w:pPr>
        <w:rPr>
          <w:rFonts w:ascii="Arial" w:hAnsi="Arial" w:cs="Arial"/>
        </w:rPr>
      </w:pPr>
      <w:r w:rsidRPr="00CB4151">
        <w:rPr>
          <w:rFonts w:ascii="Arial" w:hAnsi="Arial" w:cs="Arial"/>
        </w:rPr>
        <w:t>Asimismo, cuando alguna o algún funcionario de la rama administrativa del organismo electoral reciba un nombramiento temporal para desempeñar funciones de un cargo o puesto del Servicio será evaluado por el tiempo que comprende el nombramiento, siempre y cuando éste no sea menor a seis meses. Dicho funcionario, será incluido en el dictamen general de resultados que apruebe el Órgano Superior de Dirección del organismo electoral y, con el apoyo del Órgano de Enlace se le notificará el resultado de su evaluación. Lo anterior, con la única finalidad de contar con información sobre el desempeño de la o el funcionario.</w:t>
      </w:r>
    </w:p>
    <w:p w14:paraId="788E1B7D" w14:textId="77777777" w:rsidR="00B0604D" w:rsidRPr="00CB4151" w:rsidRDefault="00B0604D" w:rsidP="00B0604D">
      <w:pPr>
        <w:pStyle w:val="Ttulo2"/>
        <w:rPr>
          <w:rFonts w:ascii="Arial" w:hAnsi="Arial" w:cs="Arial"/>
          <w:sz w:val="23"/>
          <w:szCs w:val="23"/>
        </w:rPr>
      </w:pPr>
      <w:r w:rsidRPr="00CB4151">
        <w:rPr>
          <w:rFonts w:ascii="Arial" w:hAnsi="Arial" w:cs="Arial"/>
          <w:sz w:val="23"/>
          <w:szCs w:val="23"/>
        </w:rPr>
        <w:t>Integración del Dictamen General de Resultados</w:t>
      </w:r>
    </w:p>
    <w:p w14:paraId="323C4398" w14:textId="616E20AD" w:rsidR="00B0604D" w:rsidRPr="00CB4151" w:rsidRDefault="00B0604D" w:rsidP="00B0604D">
      <w:pPr>
        <w:rPr>
          <w:rFonts w:ascii="Arial" w:hAnsi="Arial" w:cs="Arial"/>
        </w:rPr>
      </w:pPr>
      <w:r w:rsidRPr="00CB4151">
        <w:rPr>
          <w:rFonts w:ascii="Arial" w:hAnsi="Arial" w:cs="Arial"/>
        </w:rPr>
        <w:t xml:space="preserve">Que, el artículo 72 de los Lineamientos establece que el Dictamen General de resultados se integra por los resultados anuales individuales obtenidos por todas y todos los evaluados e incluye: el periodo evaluado, nombre de la o el evaluado, cargo o puesto de la última adscripción de la o el evaluado, las calificaciones por factor y la calificación final, así como el nivel de desempeño alcanzado. </w:t>
      </w:r>
    </w:p>
    <w:p w14:paraId="79E55CF5" w14:textId="77777777" w:rsidR="00B0604D" w:rsidRPr="00CB4151" w:rsidRDefault="00B0604D" w:rsidP="00B0604D">
      <w:pPr>
        <w:pStyle w:val="Ttulo2"/>
        <w:rPr>
          <w:rFonts w:ascii="Arial" w:hAnsi="Arial" w:cs="Arial"/>
          <w:sz w:val="23"/>
          <w:szCs w:val="23"/>
        </w:rPr>
      </w:pPr>
      <w:r w:rsidRPr="00CB4151">
        <w:rPr>
          <w:rFonts w:ascii="Arial" w:hAnsi="Arial" w:cs="Arial"/>
          <w:sz w:val="23"/>
          <w:szCs w:val="23"/>
        </w:rPr>
        <w:t>Integración de los Dictámenes Individuales de Resultados</w:t>
      </w:r>
    </w:p>
    <w:p w14:paraId="08B4FC0B" w14:textId="12D6F004" w:rsidR="00B0604D" w:rsidRPr="00CB4151" w:rsidRDefault="00B0604D" w:rsidP="00B0604D">
      <w:pPr>
        <w:rPr>
          <w:rFonts w:ascii="Arial" w:hAnsi="Arial" w:cs="Arial"/>
        </w:rPr>
      </w:pPr>
      <w:r w:rsidRPr="00CB4151">
        <w:rPr>
          <w:rFonts w:ascii="Arial" w:hAnsi="Arial" w:cs="Arial"/>
        </w:rPr>
        <w:t>Que, el artículo 73 de los Lineamientos establece que los Dictámenes Individuales de resultados incluyen la calificación que obtuvo la o el evaluado en cada uno de los factores: metas individuales, metas colectivas y competencias, así́ como los indicadores que los integran. También se incluye el periodo evaluado, la calificación final y el nivel de desempeño alcanzado.</w:t>
      </w:r>
    </w:p>
    <w:p w14:paraId="7FBBEC81" w14:textId="05D998C7" w:rsidR="00B0604D" w:rsidRPr="00CB4151" w:rsidRDefault="00F8378A" w:rsidP="00B0604D">
      <w:pPr>
        <w:pStyle w:val="Ttulo2"/>
        <w:rPr>
          <w:rFonts w:ascii="Arial" w:hAnsi="Arial" w:cs="Arial"/>
          <w:sz w:val="23"/>
          <w:szCs w:val="23"/>
        </w:rPr>
      </w:pPr>
      <w:r w:rsidRPr="00CB4151">
        <w:rPr>
          <w:rFonts w:ascii="Arial" w:hAnsi="Arial" w:cs="Arial"/>
          <w:sz w:val="23"/>
          <w:szCs w:val="23"/>
        </w:rPr>
        <w:t>Aprobación del dictamen general de resultados de la evaluación del desempeño a los miembros del Servicio Profesional</w:t>
      </w:r>
      <w:r w:rsidR="00B0604D" w:rsidRPr="00CB4151">
        <w:rPr>
          <w:rFonts w:ascii="Arial" w:hAnsi="Arial" w:cs="Arial"/>
          <w:sz w:val="23"/>
          <w:szCs w:val="23"/>
        </w:rPr>
        <w:t xml:space="preserve"> Electoral Nacional</w:t>
      </w:r>
    </w:p>
    <w:p w14:paraId="7CFCB3BE" w14:textId="07C6CBB6" w:rsidR="00F8378A" w:rsidRPr="00CB4151" w:rsidRDefault="00F8378A" w:rsidP="00F8378A">
      <w:pPr>
        <w:rPr>
          <w:rFonts w:ascii="Arial" w:hAnsi="Arial" w:cs="Arial"/>
        </w:rPr>
      </w:pPr>
      <w:r w:rsidRPr="00CB4151">
        <w:rPr>
          <w:rFonts w:ascii="Arial" w:hAnsi="Arial" w:cs="Arial"/>
        </w:rPr>
        <w:t xml:space="preserve">Que, el artículo 75 de los Lineamientos, señala que, una vez que el Órgano Superior de Dirección del organismo electoral apruebe el dictamen general de resultados anuales de la evaluación del desempeño, en un periodo no mayor a un mes, contado a partir del siguiente día de su aprobación, el Órgano de Enlace notificará a las y los miembros del Servicio lo siguiente: </w:t>
      </w:r>
    </w:p>
    <w:p w14:paraId="05886C26" w14:textId="55C3E0A8" w:rsidR="00F8378A" w:rsidRPr="00CB4151" w:rsidRDefault="00F8378A" w:rsidP="00A4382F">
      <w:pPr>
        <w:pStyle w:val="Prrafodelista"/>
        <w:numPr>
          <w:ilvl w:val="0"/>
          <w:numId w:val="1"/>
        </w:numPr>
        <w:ind w:left="357" w:hanging="357"/>
        <w:contextualSpacing w:val="0"/>
        <w:rPr>
          <w:rFonts w:ascii="Arial" w:hAnsi="Arial" w:cs="Arial"/>
        </w:rPr>
      </w:pPr>
      <w:r w:rsidRPr="00CB4151">
        <w:rPr>
          <w:rFonts w:ascii="Arial" w:hAnsi="Arial" w:cs="Arial"/>
        </w:rPr>
        <w:t xml:space="preserve">La fecha en que el Órgano Superior de Dirección del organismo electoral aprobó́ el dictamen general de resultados anuales de la evaluación del desempeño, y </w:t>
      </w:r>
    </w:p>
    <w:p w14:paraId="48D06F69" w14:textId="728548E2" w:rsidR="00F8378A" w:rsidRPr="00CB4151" w:rsidRDefault="00F8378A" w:rsidP="00A4382F">
      <w:pPr>
        <w:pStyle w:val="Prrafodelista"/>
        <w:numPr>
          <w:ilvl w:val="0"/>
          <w:numId w:val="1"/>
        </w:numPr>
        <w:ind w:left="357" w:hanging="357"/>
        <w:contextualSpacing w:val="0"/>
        <w:rPr>
          <w:rFonts w:ascii="Arial" w:hAnsi="Arial" w:cs="Arial"/>
        </w:rPr>
      </w:pPr>
      <w:r w:rsidRPr="00CB4151">
        <w:rPr>
          <w:rFonts w:ascii="Arial" w:hAnsi="Arial" w:cs="Arial"/>
        </w:rPr>
        <w:t>La fecha a partir de la cual podrán consultar el dictamen de resultados individuales anual en el sistema.</w:t>
      </w:r>
    </w:p>
    <w:p w14:paraId="093CF4C0" w14:textId="77777777" w:rsidR="00B0604D" w:rsidRPr="00CB4151" w:rsidRDefault="00B0604D" w:rsidP="00B0604D">
      <w:pPr>
        <w:pStyle w:val="Ttulo2"/>
        <w:rPr>
          <w:rFonts w:ascii="Arial" w:hAnsi="Arial" w:cs="Arial"/>
          <w:sz w:val="23"/>
          <w:szCs w:val="23"/>
        </w:rPr>
      </w:pPr>
      <w:r w:rsidRPr="00CB4151">
        <w:rPr>
          <w:rFonts w:ascii="Arial" w:hAnsi="Arial" w:cs="Arial"/>
          <w:sz w:val="23"/>
          <w:szCs w:val="23"/>
        </w:rPr>
        <w:t>Procedencia del Dictamen General de Resultados</w:t>
      </w:r>
    </w:p>
    <w:p w14:paraId="6602736D" w14:textId="5D8BEF30" w:rsidR="00A52A42" w:rsidRPr="00CB4151" w:rsidRDefault="00A52A42" w:rsidP="00A52A42">
      <w:pPr>
        <w:rPr>
          <w:rFonts w:ascii="Arial" w:hAnsi="Arial" w:cs="Arial"/>
        </w:rPr>
      </w:pPr>
      <w:r w:rsidRPr="00CB4151">
        <w:rPr>
          <w:rFonts w:ascii="Arial" w:hAnsi="Arial" w:cs="Arial"/>
        </w:rPr>
        <w:t>Que, con fundamento en el artículo 10, inciso d) de los Lineamientos, el Órgano Superior de Dirección del Instituto deberá aprobar el Dictamen General de resultados de la Evaluación del Desempeño, previo conocimiento de las y los integrantes de la Comisión de Seguimiento.</w:t>
      </w:r>
    </w:p>
    <w:p w14:paraId="31F062BD" w14:textId="77777777" w:rsidR="00A52A42" w:rsidRPr="00CB4151" w:rsidRDefault="00A52A42" w:rsidP="00A52A42">
      <w:pPr>
        <w:rPr>
          <w:rFonts w:ascii="Arial" w:hAnsi="Arial" w:cs="Arial"/>
        </w:rPr>
      </w:pPr>
      <w:r w:rsidRPr="00CB4151">
        <w:rPr>
          <w:rFonts w:ascii="Arial" w:hAnsi="Arial" w:cs="Arial"/>
        </w:rPr>
        <w:t xml:space="preserve">En ese contexto, el 28 de febrero de 2024, la DESPEN, mediante oficio INE/DESPEN/DPR/059/2024 remitió a este Instituto, el Dictamen General de Resultados de la Evaluación del Desempeño de las y los miembros del Servicio Profesional Electoral Nacional del Sistema de los Organismos Públicos Locales Electorales correspondiente al periodo del mes de septiembre de 2022 a agosto de 2023, informando la conclusión de los trabajos para su elaboración. </w:t>
      </w:r>
    </w:p>
    <w:p w14:paraId="4A154DC4" w14:textId="066FEEE4" w:rsidR="00B0604D" w:rsidRPr="00CB4151" w:rsidRDefault="00B0604D" w:rsidP="00B0604D">
      <w:pPr>
        <w:rPr>
          <w:rFonts w:ascii="Arial" w:hAnsi="Arial" w:cs="Arial"/>
        </w:rPr>
      </w:pPr>
      <w:r w:rsidRPr="00CB4151">
        <w:rPr>
          <w:rFonts w:ascii="Arial" w:hAnsi="Arial" w:cs="Arial"/>
        </w:rPr>
        <w:t xml:space="preserve">Consecuentemente, informó la posibilidad de realizar las gestiones correspondientes para su aprobación, haciendo referencia que el dictamen no podrá modificarse de ninguna manera, debiendo someterse a la aprobación del Consejo Estatal a más tardar el </w:t>
      </w:r>
      <w:r w:rsidR="00F92690" w:rsidRPr="00CB4151">
        <w:rPr>
          <w:rFonts w:ascii="Arial" w:hAnsi="Arial" w:cs="Arial"/>
        </w:rPr>
        <w:t>29</w:t>
      </w:r>
      <w:r w:rsidRPr="00CB4151">
        <w:rPr>
          <w:rFonts w:ascii="Arial" w:hAnsi="Arial" w:cs="Arial"/>
        </w:rPr>
        <w:t xml:space="preserve"> de </w:t>
      </w:r>
      <w:r w:rsidR="00F92690" w:rsidRPr="00CB4151">
        <w:rPr>
          <w:rFonts w:ascii="Arial" w:hAnsi="Arial" w:cs="Arial"/>
        </w:rPr>
        <w:t xml:space="preserve">marzo </w:t>
      </w:r>
      <w:r w:rsidRPr="00CB4151">
        <w:rPr>
          <w:rFonts w:ascii="Arial" w:hAnsi="Arial" w:cs="Arial"/>
        </w:rPr>
        <w:t>del presente año, previo conocimiento de la Comisión del Servicio Profesional.</w:t>
      </w:r>
    </w:p>
    <w:p w14:paraId="391DED37" w14:textId="38C1B666" w:rsidR="00B0604D" w:rsidRPr="00CB4151" w:rsidRDefault="00F92690" w:rsidP="00F92690">
      <w:pPr>
        <w:rPr>
          <w:rFonts w:ascii="Arial" w:hAnsi="Arial" w:cs="Arial"/>
        </w:rPr>
      </w:pPr>
      <w:r w:rsidRPr="00CB4151">
        <w:rPr>
          <w:rFonts w:ascii="Arial" w:hAnsi="Arial" w:cs="Arial"/>
        </w:rPr>
        <w:t xml:space="preserve">En cumplimiento a lo anterior, la Comisión de Seguimiento, el 22 de marzo de la presente anualidad, </w:t>
      </w:r>
      <w:r w:rsidR="00B0604D" w:rsidRPr="00CB4151">
        <w:rPr>
          <w:rFonts w:ascii="Arial" w:hAnsi="Arial" w:cs="Arial"/>
        </w:rPr>
        <w:t xml:space="preserve">aprobó el proyecto </w:t>
      </w:r>
      <w:r w:rsidRPr="00CB4151">
        <w:rPr>
          <w:rFonts w:ascii="Arial" w:hAnsi="Arial" w:cs="Arial"/>
        </w:rPr>
        <w:t>CPSSPEN/2024/02</w:t>
      </w:r>
      <w:r w:rsidR="00B0604D" w:rsidRPr="00CB4151">
        <w:rPr>
          <w:rFonts w:ascii="Arial" w:hAnsi="Arial" w:cs="Arial"/>
        </w:rPr>
        <w:t xml:space="preserve"> relativo a la propuesta correspondiente al dictamen general de resultados de la evaluación del desempeño de las y los miembros del Servicio Profesional Electoral Nacional adscritos a este organismo electoral, correspondiente al periodo septiembre de 202</w:t>
      </w:r>
      <w:r w:rsidRPr="00CB4151">
        <w:rPr>
          <w:rFonts w:ascii="Arial" w:hAnsi="Arial" w:cs="Arial"/>
        </w:rPr>
        <w:t>2</w:t>
      </w:r>
      <w:r w:rsidR="00B0604D" w:rsidRPr="00CB4151">
        <w:rPr>
          <w:rFonts w:ascii="Arial" w:hAnsi="Arial" w:cs="Arial"/>
        </w:rPr>
        <w:t xml:space="preserve"> a agosto de 202</w:t>
      </w:r>
      <w:r w:rsidRPr="00CB4151">
        <w:rPr>
          <w:rFonts w:ascii="Arial" w:hAnsi="Arial" w:cs="Arial"/>
        </w:rPr>
        <w:t>2</w:t>
      </w:r>
      <w:r w:rsidR="00B0604D" w:rsidRPr="00CB4151">
        <w:rPr>
          <w:rFonts w:ascii="Arial" w:hAnsi="Arial" w:cs="Arial"/>
        </w:rPr>
        <w:t>, mismo que, mediante oficio CPSSPE</w:t>
      </w:r>
      <w:r w:rsidRPr="00CB4151">
        <w:rPr>
          <w:rFonts w:ascii="Arial" w:hAnsi="Arial" w:cs="Arial"/>
        </w:rPr>
        <w:t>N</w:t>
      </w:r>
      <w:r w:rsidR="00B0604D" w:rsidRPr="00CB4151">
        <w:rPr>
          <w:rFonts w:ascii="Arial" w:hAnsi="Arial" w:cs="Arial"/>
        </w:rPr>
        <w:t>/</w:t>
      </w:r>
      <w:r w:rsidRPr="00CB4151">
        <w:rPr>
          <w:rFonts w:ascii="Arial" w:hAnsi="Arial" w:cs="Arial"/>
        </w:rPr>
        <w:t>005</w:t>
      </w:r>
      <w:r w:rsidR="00B0604D" w:rsidRPr="00CB4151">
        <w:rPr>
          <w:rFonts w:ascii="Arial" w:hAnsi="Arial" w:cs="Arial"/>
        </w:rPr>
        <w:t>/202</w:t>
      </w:r>
      <w:r w:rsidRPr="00CB4151">
        <w:rPr>
          <w:rFonts w:ascii="Arial" w:hAnsi="Arial" w:cs="Arial"/>
        </w:rPr>
        <w:t>4</w:t>
      </w:r>
      <w:r w:rsidR="00B0604D" w:rsidRPr="00CB4151">
        <w:rPr>
          <w:rFonts w:ascii="Arial" w:hAnsi="Arial" w:cs="Arial"/>
        </w:rPr>
        <w:t xml:space="preserve">, </w:t>
      </w:r>
      <w:r w:rsidRPr="00CB4151">
        <w:rPr>
          <w:rFonts w:ascii="Arial" w:hAnsi="Arial" w:cs="Arial"/>
        </w:rPr>
        <w:t xml:space="preserve">se </w:t>
      </w:r>
      <w:r w:rsidR="00B0604D" w:rsidRPr="00CB4151">
        <w:rPr>
          <w:rFonts w:ascii="Arial" w:hAnsi="Arial" w:cs="Arial"/>
        </w:rPr>
        <w:t>remitió a la Presidencia del Consejo Estatal para que se sometiera a la consideración y, en su caso, aprobación por parte de este órgano colegiado.</w:t>
      </w:r>
    </w:p>
    <w:p w14:paraId="34AABED3" w14:textId="5287DA07" w:rsidR="006004C6" w:rsidRDefault="006004C6" w:rsidP="00F92690">
      <w:pPr>
        <w:rPr>
          <w:rFonts w:ascii="Arial" w:hAnsi="Arial" w:cs="Arial"/>
        </w:rPr>
      </w:pPr>
      <w:r w:rsidRPr="00CB4151">
        <w:rPr>
          <w:rFonts w:ascii="Arial" w:hAnsi="Arial" w:cs="Arial"/>
        </w:rPr>
        <w:t>Sobre la base de las consideraciones señaladas, este Consejo Estatal emite el siguiente:</w:t>
      </w:r>
    </w:p>
    <w:p w14:paraId="40C431B5" w14:textId="77777777" w:rsidR="00CB4151" w:rsidRPr="00CB4151" w:rsidRDefault="00CB4151" w:rsidP="00F92690">
      <w:pPr>
        <w:rPr>
          <w:rFonts w:ascii="Arial" w:hAnsi="Arial" w:cs="Arial"/>
        </w:rPr>
      </w:pPr>
    </w:p>
    <w:p w14:paraId="73799484" w14:textId="5085A796" w:rsidR="00B0604D" w:rsidRPr="00CB4151" w:rsidRDefault="00B0604D" w:rsidP="00B0604D">
      <w:pPr>
        <w:pStyle w:val="Ttulo1"/>
        <w:rPr>
          <w:rFonts w:ascii="Arial" w:hAnsi="Arial" w:cs="Arial"/>
          <w:sz w:val="24"/>
          <w:szCs w:val="24"/>
        </w:rPr>
      </w:pPr>
      <w:r w:rsidRPr="00CB4151">
        <w:rPr>
          <w:rFonts w:ascii="Arial" w:hAnsi="Arial" w:cs="Arial"/>
          <w:sz w:val="24"/>
          <w:szCs w:val="24"/>
        </w:rPr>
        <w:t>Acuerdo</w:t>
      </w:r>
    </w:p>
    <w:p w14:paraId="3559FDC4" w14:textId="7A7DA296" w:rsidR="00B0604D" w:rsidRPr="00CB4151" w:rsidRDefault="00B0604D" w:rsidP="00B0604D">
      <w:pPr>
        <w:rPr>
          <w:rFonts w:ascii="Arial" w:hAnsi="Arial" w:cs="Arial"/>
        </w:rPr>
      </w:pPr>
      <w:r w:rsidRPr="00CB4151">
        <w:rPr>
          <w:rFonts w:ascii="Arial" w:hAnsi="Arial" w:cs="Arial"/>
          <w:b/>
          <w:bCs/>
        </w:rPr>
        <w:t>Primero.</w:t>
      </w:r>
      <w:r w:rsidRPr="00CB4151">
        <w:rPr>
          <w:rFonts w:ascii="Arial" w:hAnsi="Arial" w:cs="Arial"/>
        </w:rPr>
        <w:t xml:space="preserve"> Se aprueba el Dictamen General de Resultados de la Evaluación del Desempeño de las y los miembros del Servicio Profesional Electoral Nacional de este Instituto Electoral, correspondiente al período comprendido de septiembre de 202</w:t>
      </w:r>
      <w:r w:rsidR="004D4965" w:rsidRPr="00CB4151">
        <w:rPr>
          <w:rFonts w:ascii="Arial" w:hAnsi="Arial" w:cs="Arial"/>
        </w:rPr>
        <w:t>2</w:t>
      </w:r>
      <w:r w:rsidRPr="00CB4151">
        <w:rPr>
          <w:rFonts w:ascii="Arial" w:hAnsi="Arial" w:cs="Arial"/>
        </w:rPr>
        <w:t xml:space="preserve"> a agosto de 202</w:t>
      </w:r>
      <w:r w:rsidR="004D4965" w:rsidRPr="00CB4151">
        <w:rPr>
          <w:rFonts w:ascii="Arial" w:hAnsi="Arial" w:cs="Arial"/>
        </w:rPr>
        <w:t>3</w:t>
      </w:r>
      <w:r w:rsidRPr="00CB4151">
        <w:rPr>
          <w:rFonts w:ascii="Arial" w:hAnsi="Arial" w:cs="Arial"/>
        </w:rPr>
        <w:t xml:space="preserve">, anexo </w:t>
      </w:r>
      <w:r w:rsidR="004D4965" w:rsidRPr="00CB4151">
        <w:rPr>
          <w:rFonts w:ascii="Arial" w:hAnsi="Arial" w:cs="Arial"/>
        </w:rPr>
        <w:t>al presente acuerdo</w:t>
      </w:r>
      <w:r w:rsidRPr="00CB4151">
        <w:rPr>
          <w:rFonts w:ascii="Arial" w:hAnsi="Arial" w:cs="Arial"/>
        </w:rPr>
        <w:t>.</w:t>
      </w:r>
    </w:p>
    <w:p w14:paraId="50A304BC" w14:textId="61236A9F" w:rsidR="006004C6" w:rsidRPr="00CB4151" w:rsidRDefault="006004C6" w:rsidP="006004C6">
      <w:pPr>
        <w:rPr>
          <w:rFonts w:ascii="Arial" w:hAnsi="Arial" w:cs="Arial"/>
        </w:rPr>
      </w:pPr>
      <w:r w:rsidRPr="00CB4151">
        <w:rPr>
          <w:rFonts w:ascii="Arial" w:hAnsi="Arial" w:cs="Arial"/>
          <w:b/>
          <w:bCs/>
        </w:rPr>
        <w:t xml:space="preserve">Segundo. </w:t>
      </w:r>
      <w:r w:rsidRPr="00CB4151">
        <w:rPr>
          <w:rFonts w:ascii="Arial" w:hAnsi="Arial" w:cs="Arial"/>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8F98AEC" w14:textId="20629BEC" w:rsidR="006004C6" w:rsidRPr="00CB4151" w:rsidRDefault="006004C6" w:rsidP="006004C6">
      <w:pPr>
        <w:rPr>
          <w:rFonts w:ascii="Arial" w:hAnsi="Arial" w:cs="Arial"/>
        </w:rPr>
      </w:pPr>
      <w:r w:rsidRPr="00CB4151">
        <w:rPr>
          <w:rFonts w:ascii="Arial" w:hAnsi="Arial" w:cs="Arial"/>
          <w:b/>
          <w:bCs/>
        </w:rPr>
        <w:t>Tercero.</w:t>
      </w:r>
      <w:r w:rsidRPr="00CB4151">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853456B" w14:textId="547578E9" w:rsidR="006004C6" w:rsidRPr="00CB4151" w:rsidRDefault="006004C6" w:rsidP="006004C6">
      <w:pPr>
        <w:rPr>
          <w:rFonts w:ascii="Arial" w:hAnsi="Arial" w:cs="Arial"/>
        </w:rPr>
      </w:pPr>
      <w:r w:rsidRPr="00CB4151">
        <w:rPr>
          <w:rFonts w:ascii="Arial" w:hAnsi="Arial" w:cs="Arial"/>
        </w:rPr>
        <w:t xml:space="preserve">El presente acuerdo fue </w:t>
      </w:r>
      <w:r w:rsidR="00CB4151">
        <w:rPr>
          <w:rFonts w:ascii="Arial" w:hAnsi="Arial" w:cs="Arial"/>
        </w:rPr>
        <w:t>aprobado</w:t>
      </w:r>
      <w:r w:rsidRPr="00CB4151">
        <w:rPr>
          <w:rFonts w:ascii="Arial" w:hAnsi="Arial" w:cs="Arial"/>
        </w:rPr>
        <w:t xml:space="preserve"> en </w:t>
      </w:r>
      <w:r w:rsidR="00CB4151">
        <w:rPr>
          <w:rFonts w:ascii="Arial" w:hAnsi="Arial" w:cs="Arial"/>
        </w:rPr>
        <w:t>S</w:t>
      </w:r>
      <w:r w:rsidRPr="00CB4151">
        <w:rPr>
          <w:rFonts w:ascii="Arial" w:hAnsi="Arial" w:cs="Arial"/>
        </w:rPr>
        <w:t>esión</w:t>
      </w:r>
      <w:r w:rsidR="00CB4151">
        <w:rPr>
          <w:rFonts w:ascii="Arial" w:hAnsi="Arial" w:cs="Arial"/>
        </w:rPr>
        <w:t xml:space="preserve"> Ordinaria</w:t>
      </w:r>
      <w:r w:rsidRPr="00CB4151">
        <w:rPr>
          <w:rFonts w:ascii="Arial" w:hAnsi="Arial" w:cs="Arial"/>
        </w:rPr>
        <w:t xml:space="preserve"> efectuada el</w:t>
      </w:r>
      <w:r w:rsidR="00CB4151">
        <w:rPr>
          <w:rFonts w:ascii="Arial" w:hAnsi="Arial" w:cs="Arial"/>
        </w:rPr>
        <w:t xml:space="preserve"> veintisiete</w:t>
      </w:r>
      <w:r w:rsidRPr="00CB4151">
        <w:rPr>
          <w:rFonts w:ascii="Arial" w:hAnsi="Arial" w:cs="Arial"/>
        </w:rPr>
        <w:t xml:space="preserve"> de </w:t>
      </w:r>
      <w:r w:rsidR="00CB4151">
        <w:rPr>
          <w:rFonts w:ascii="Arial" w:hAnsi="Arial" w:cs="Arial"/>
        </w:rPr>
        <w:t>marzo</w:t>
      </w:r>
      <w:r w:rsidRPr="00CB4151">
        <w:rPr>
          <w:rFonts w:ascii="Arial" w:hAnsi="Arial" w:cs="Arial"/>
        </w:rPr>
        <w:t xml:space="preserve"> del año dos mil veinticuatro, por votación</w:t>
      </w:r>
      <w:r w:rsidR="00CB4151">
        <w:rPr>
          <w:rFonts w:ascii="Arial" w:hAnsi="Arial" w:cs="Arial"/>
        </w:rPr>
        <w:t xml:space="preserve"> unánime</w:t>
      </w:r>
      <w:bookmarkStart w:id="0" w:name="_GoBack"/>
      <w:bookmarkEnd w:id="0"/>
      <w:r w:rsidRPr="00CB4151">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Lic. Vladimir Hernández Venegas y la Consejera Presidenta, Mtra. Elizabeth Nava Gutiérrez.</w:t>
      </w:r>
    </w:p>
    <w:p w14:paraId="3A8E3871" w14:textId="20F5D527" w:rsidR="005629B3" w:rsidRDefault="005629B3" w:rsidP="006004C6">
      <w:pPr>
        <w:rPr>
          <w:rFonts w:ascii="Arial" w:hAnsi="Arial" w:cs="Arial"/>
        </w:rPr>
      </w:pPr>
    </w:p>
    <w:p w14:paraId="11FF01ED" w14:textId="77777777" w:rsidR="00CB4151" w:rsidRDefault="00CB4151" w:rsidP="006004C6">
      <w:pPr>
        <w:rPr>
          <w:rFonts w:ascii="Arial" w:hAnsi="Arial" w:cs="Arial"/>
        </w:rPr>
      </w:pPr>
    </w:p>
    <w:p w14:paraId="19929B0B" w14:textId="77777777" w:rsidR="005629B3" w:rsidRPr="00CB4151" w:rsidRDefault="005629B3" w:rsidP="006004C6">
      <w:pPr>
        <w:rPr>
          <w:rFonts w:ascii="Arial" w:hAnsi="Arial" w:cs="Arial"/>
        </w:rPr>
      </w:pPr>
    </w:p>
    <w:tbl>
      <w:tblPr>
        <w:tblStyle w:val="Tablaconcuadrcula"/>
        <w:tblW w:w="9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296"/>
        <w:gridCol w:w="4359"/>
      </w:tblGrid>
      <w:tr w:rsidR="005629B3" w:rsidRPr="00CB4151" w14:paraId="2DBB88A1" w14:textId="77777777" w:rsidTr="00CB4151">
        <w:trPr>
          <w:trHeight w:val="1157"/>
        </w:trPr>
        <w:tc>
          <w:tcPr>
            <w:tcW w:w="4606" w:type="dxa"/>
          </w:tcPr>
          <w:p w14:paraId="0ACC682D" w14:textId="77777777" w:rsidR="005629B3" w:rsidRPr="00CB4151" w:rsidRDefault="005629B3" w:rsidP="005629B3">
            <w:pPr>
              <w:spacing w:before="0" w:after="0"/>
              <w:jc w:val="center"/>
              <w:rPr>
                <w:rFonts w:ascii="Arial" w:hAnsi="Arial" w:cs="Arial"/>
                <w:b/>
                <w:bCs/>
              </w:rPr>
            </w:pPr>
            <w:r w:rsidRPr="00CB4151">
              <w:rPr>
                <w:rFonts w:ascii="Arial" w:hAnsi="Arial" w:cs="Arial"/>
                <w:b/>
                <w:bCs/>
              </w:rPr>
              <w:t>MTRA. ELIZABETH NAVA GUTIÉRREZ</w:t>
            </w:r>
          </w:p>
          <w:p w14:paraId="4D2F3C87" w14:textId="5EC54403" w:rsidR="005629B3" w:rsidRPr="00CB4151" w:rsidRDefault="005629B3" w:rsidP="005629B3">
            <w:pPr>
              <w:spacing w:before="0" w:after="0"/>
              <w:jc w:val="center"/>
              <w:rPr>
                <w:rFonts w:ascii="Arial" w:hAnsi="Arial" w:cs="Arial"/>
                <w:b/>
                <w:bCs/>
              </w:rPr>
            </w:pPr>
            <w:r w:rsidRPr="00CB4151">
              <w:rPr>
                <w:rFonts w:ascii="Arial" w:hAnsi="Arial" w:cs="Arial"/>
                <w:b/>
                <w:bCs/>
              </w:rPr>
              <w:t>CONSEJERA PRESIDENTA</w:t>
            </w:r>
          </w:p>
        </w:tc>
        <w:tc>
          <w:tcPr>
            <w:tcW w:w="296" w:type="dxa"/>
          </w:tcPr>
          <w:p w14:paraId="2831DB30" w14:textId="77777777" w:rsidR="005629B3" w:rsidRPr="00CB4151" w:rsidRDefault="005629B3" w:rsidP="005629B3">
            <w:pPr>
              <w:spacing w:before="0" w:after="0"/>
              <w:jc w:val="center"/>
              <w:rPr>
                <w:rFonts w:ascii="Arial" w:hAnsi="Arial" w:cs="Arial"/>
                <w:b/>
                <w:bCs/>
              </w:rPr>
            </w:pPr>
          </w:p>
        </w:tc>
        <w:tc>
          <w:tcPr>
            <w:tcW w:w="4359" w:type="dxa"/>
          </w:tcPr>
          <w:p w14:paraId="00D42D47" w14:textId="77777777" w:rsidR="005629B3" w:rsidRPr="00CB4151" w:rsidRDefault="005629B3" w:rsidP="005629B3">
            <w:pPr>
              <w:spacing w:before="0" w:after="0"/>
              <w:jc w:val="center"/>
              <w:rPr>
                <w:rFonts w:ascii="Arial Negrita" w:hAnsi="Arial Negrita" w:cs="Arial"/>
                <w:b/>
                <w:bCs/>
                <w:spacing w:val="-6"/>
              </w:rPr>
            </w:pPr>
            <w:r w:rsidRPr="00CB4151">
              <w:rPr>
                <w:rFonts w:ascii="Arial Negrita" w:hAnsi="Arial Negrita" w:cs="Arial"/>
                <w:b/>
                <w:bCs/>
                <w:spacing w:val="-6"/>
              </w:rPr>
              <w:t>LIC. JORGE ALBERTO ZAVALA FRÍAS</w:t>
            </w:r>
          </w:p>
          <w:p w14:paraId="1BB2999B" w14:textId="66D9B2E4" w:rsidR="005629B3" w:rsidRPr="00CB4151" w:rsidRDefault="005629B3" w:rsidP="005629B3">
            <w:pPr>
              <w:spacing w:before="0" w:after="0"/>
              <w:jc w:val="center"/>
              <w:rPr>
                <w:rFonts w:ascii="Arial" w:hAnsi="Arial" w:cs="Arial"/>
                <w:b/>
                <w:bCs/>
              </w:rPr>
            </w:pPr>
            <w:r w:rsidRPr="00CB4151">
              <w:rPr>
                <w:rFonts w:ascii="Arial" w:hAnsi="Arial" w:cs="Arial"/>
                <w:b/>
                <w:bCs/>
              </w:rPr>
              <w:t>SECRETARIO DEL CONSEJO</w:t>
            </w:r>
          </w:p>
        </w:tc>
      </w:tr>
    </w:tbl>
    <w:p w14:paraId="0805067B" w14:textId="64295842" w:rsidR="006004C6" w:rsidRPr="00CB4151" w:rsidRDefault="006004C6" w:rsidP="006004C6">
      <w:pPr>
        <w:rPr>
          <w:rFonts w:ascii="Arial" w:hAnsi="Arial" w:cs="Arial"/>
        </w:rPr>
      </w:pPr>
    </w:p>
    <w:sectPr w:rsidR="006004C6" w:rsidRPr="00CB4151" w:rsidSect="00CB4151">
      <w:headerReference w:type="default" r:id="rId7"/>
      <w:footerReference w:type="default" r:id="rId8"/>
      <w:pgSz w:w="12240" w:h="15840" w:code="1"/>
      <w:pgMar w:top="2835"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0689B" w14:textId="77777777" w:rsidR="008C4BC8" w:rsidRDefault="008C4BC8" w:rsidP="00406A2C">
      <w:pPr>
        <w:spacing w:before="0" w:after="0" w:line="240" w:lineRule="auto"/>
      </w:pPr>
      <w:r>
        <w:separator/>
      </w:r>
    </w:p>
  </w:endnote>
  <w:endnote w:type="continuationSeparator" w:id="0">
    <w:p w14:paraId="2F98CBDC" w14:textId="77777777" w:rsidR="008C4BC8" w:rsidRDefault="008C4BC8" w:rsidP="00406A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Exo">
    <w:altName w:val="Times New Roman"/>
    <w:charset w:val="00"/>
    <w:family w:val="auto"/>
    <w:pitch w:val="variable"/>
    <w:sig w:usb0="00000001" w:usb1="4000204B" w:usb2="00000000" w:usb3="00000000" w:csb0="00000193"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336461332"/>
      <w:docPartObj>
        <w:docPartGallery w:val="Page Numbers (Top of Page)"/>
        <w:docPartUnique/>
      </w:docPartObj>
    </w:sdtPr>
    <w:sdtEndPr/>
    <w:sdtContent>
      <w:p w14:paraId="374D02EB" w14:textId="6E3A5CF5" w:rsidR="00A71F67" w:rsidRPr="00A71F67" w:rsidRDefault="00A71F67" w:rsidP="00A71F67">
        <w:pPr>
          <w:pStyle w:val="Piedepgina"/>
          <w:jc w:val="right"/>
          <w:rPr>
            <w:rFonts w:ascii="Arial" w:hAnsi="Arial" w:cs="Arial"/>
            <w:color w:val="993366"/>
            <w:sz w:val="20"/>
            <w:szCs w:val="20"/>
          </w:rPr>
        </w:pPr>
        <w:r w:rsidRPr="00637199">
          <w:rPr>
            <w:rFonts w:ascii="Arial" w:hAnsi="Arial" w:cs="Arial"/>
            <w:b/>
            <w:bCs/>
            <w:color w:val="993366"/>
          </w:rPr>
          <w:t xml:space="preserve">Página </w:t>
        </w:r>
        <w:r w:rsidRPr="00637199">
          <w:rPr>
            <w:rFonts w:ascii="Arial" w:hAnsi="Arial" w:cs="Arial"/>
            <w:b/>
            <w:bCs/>
            <w:color w:val="993366"/>
          </w:rPr>
          <w:fldChar w:fldCharType="begin"/>
        </w:r>
        <w:r w:rsidRPr="00637199">
          <w:rPr>
            <w:rFonts w:ascii="Arial" w:hAnsi="Arial" w:cs="Arial"/>
            <w:b/>
            <w:bCs/>
            <w:color w:val="993366"/>
          </w:rPr>
          <w:instrText>PAGE</w:instrText>
        </w:r>
        <w:r w:rsidRPr="00637199">
          <w:rPr>
            <w:rFonts w:ascii="Arial" w:hAnsi="Arial" w:cs="Arial"/>
            <w:b/>
            <w:bCs/>
            <w:color w:val="993366"/>
          </w:rPr>
          <w:fldChar w:fldCharType="separate"/>
        </w:r>
        <w:r w:rsidR="00CB4151">
          <w:rPr>
            <w:rFonts w:ascii="Arial" w:hAnsi="Arial" w:cs="Arial"/>
            <w:b/>
            <w:bCs/>
            <w:noProof/>
            <w:color w:val="993366"/>
          </w:rPr>
          <w:t>10</w:t>
        </w:r>
        <w:r w:rsidRPr="00637199">
          <w:rPr>
            <w:rFonts w:ascii="Arial" w:hAnsi="Arial" w:cs="Arial"/>
            <w:b/>
            <w:bCs/>
            <w:color w:val="993366"/>
          </w:rPr>
          <w:fldChar w:fldCharType="end"/>
        </w:r>
        <w:r w:rsidRPr="00637199">
          <w:rPr>
            <w:rFonts w:ascii="Arial" w:hAnsi="Arial" w:cs="Arial"/>
            <w:b/>
            <w:bCs/>
            <w:color w:val="993366"/>
          </w:rPr>
          <w:t xml:space="preserve"> | </w:t>
        </w:r>
        <w:r w:rsidRPr="00637199">
          <w:rPr>
            <w:rFonts w:ascii="Arial" w:hAnsi="Arial" w:cs="Arial"/>
            <w:b/>
            <w:bCs/>
            <w:color w:val="993366"/>
          </w:rPr>
          <w:fldChar w:fldCharType="begin"/>
        </w:r>
        <w:r w:rsidRPr="00637199">
          <w:rPr>
            <w:rFonts w:ascii="Arial" w:hAnsi="Arial" w:cs="Arial"/>
            <w:b/>
            <w:bCs/>
            <w:color w:val="993366"/>
          </w:rPr>
          <w:instrText>NUMPAGES</w:instrText>
        </w:r>
        <w:r w:rsidRPr="00637199">
          <w:rPr>
            <w:rFonts w:ascii="Arial" w:hAnsi="Arial" w:cs="Arial"/>
            <w:b/>
            <w:bCs/>
            <w:color w:val="993366"/>
          </w:rPr>
          <w:fldChar w:fldCharType="separate"/>
        </w:r>
        <w:r w:rsidR="00CB4151">
          <w:rPr>
            <w:rFonts w:ascii="Arial" w:hAnsi="Arial" w:cs="Arial"/>
            <w:b/>
            <w:bCs/>
            <w:noProof/>
            <w:color w:val="993366"/>
          </w:rPr>
          <w:t>11</w:t>
        </w:r>
        <w:r w:rsidRPr="00637199">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4C8D" w14:textId="77777777" w:rsidR="008C4BC8" w:rsidRDefault="008C4BC8" w:rsidP="00406A2C">
      <w:pPr>
        <w:spacing w:before="0" w:after="0" w:line="240" w:lineRule="auto"/>
      </w:pPr>
      <w:r>
        <w:separator/>
      </w:r>
    </w:p>
  </w:footnote>
  <w:footnote w:type="continuationSeparator" w:id="0">
    <w:p w14:paraId="4C246973" w14:textId="77777777" w:rsidR="008C4BC8" w:rsidRDefault="008C4BC8" w:rsidP="00406A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406A2C" w:rsidRPr="00637199" w14:paraId="1CBCDE34" w14:textId="77777777" w:rsidTr="00217EAC">
      <w:tc>
        <w:tcPr>
          <w:tcW w:w="1418" w:type="dxa"/>
        </w:tcPr>
        <w:p w14:paraId="5ACC6F39" w14:textId="77777777" w:rsidR="00406A2C" w:rsidRPr="00637199" w:rsidRDefault="00406A2C" w:rsidP="00406A2C">
          <w:pPr>
            <w:pStyle w:val="Encabezado"/>
            <w:ind w:left="-170"/>
            <w:jc w:val="left"/>
            <w:rPr>
              <w:rFonts w:ascii="Arial" w:hAnsi="Arial" w:cs="Arial"/>
            </w:rPr>
          </w:pPr>
          <w:r w:rsidRPr="00637199">
            <w:rPr>
              <w:rFonts w:ascii="Arial" w:hAnsi="Arial" w:cs="Arial"/>
              <w:b/>
              <w:noProof/>
              <w:sz w:val="32"/>
              <w:lang w:eastAsia="es-MX"/>
            </w:rPr>
            <w:drawing>
              <wp:inline distT="0" distB="0" distL="0" distR="0" wp14:anchorId="14A533A8" wp14:editId="20BB6171">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FD3C242" w14:textId="77777777" w:rsidR="00406A2C" w:rsidRPr="00637199" w:rsidRDefault="00406A2C" w:rsidP="00406A2C">
          <w:pPr>
            <w:pStyle w:val="Encabezado"/>
            <w:spacing w:before="720"/>
            <w:jc w:val="center"/>
            <w:rPr>
              <w:rFonts w:ascii="Arial" w:hAnsi="Arial" w:cs="Arial"/>
              <w:b/>
              <w:bCs/>
              <w:sz w:val="25"/>
              <w:szCs w:val="25"/>
            </w:rPr>
          </w:pPr>
          <w:r w:rsidRPr="00637199">
            <w:rPr>
              <w:rFonts w:ascii="Arial" w:hAnsi="Arial" w:cs="Arial"/>
              <w:b/>
              <w:bCs/>
              <w:sz w:val="25"/>
              <w:szCs w:val="25"/>
            </w:rPr>
            <w:t>INSTITUTO ELECTORAL Y DE PARTICIPACIÓN CIUDADANA DE TABASCO</w:t>
          </w:r>
        </w:p>
        <w:p w14:paraId="29D0550A" w14:textId="77777777" w:rsidR="00406A2C" w:rsidRPr="00637199" w:rsidRDefault="00406A2C" w:rsidP="00406A2C">
          <w:pPr>
            <w:pStyle w:val="Encabezado"/>
            <w:jc w:val="center"/>
            <w:rPr>
              <w:rFonts w:ascii="Arial" w:hAnsi="Arial" w:cs="Arial"/>
            </w:rPr>
          </w:pPr>
          <w:r w:rsidRPr="00637199">
            <w:rPr>
              <w:rFonts w:ascii="Arial" w:hAnsi="Arial" w:cs="Arial"/>
              <w:sz w:val="26"/>
              <w:szCs w:val="26"/>
            </w:rPr>
            <w:t>CONSEJO ESTATAL</w:t>
          </w:r>
        </w:p>
      </w:tc>
      <w:tc>
        <w:tcPr>
          <w:tcW w:w="1701" w:type="dxa"/>
        </w:tcPr>
        <w:p w14:paraId="385B2C3C" w14:textId="77777777" w:rsidR="00406A2C" w:rsidRPr="00637199" w:rsidRDefault="00406A2C" w:rsidP="00406A2C">
          <w:pPr>
            <w:pStyle w:val="Encabezado"/>
            <w:spacing w:before="480"/>
            <w:rPr>
              <w:rFonts w:ascii="Arial" w:hAnsi="Arial" w:cs="Arial"/>
            </w:rPr>
          </w:pPr>
          <w:r w:rsidRPr="00637199">
            <w:rPr>
              <w:rFonts w:ascii="Arial" w:hAnsi="Arial" w:cs="Arial"/>
              <w:noProof/>
              <w:lang w:eastAsia="es-MX"/>
            </w:rPr>
            <w:drawing>
              <wp:inline distT="0" distB="0" distL="0" distR="0" wp14:anchorId="4F95E260" wp14:editId="441A4ACD">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F694BCD" w14:textId="5F93DB75" w:rsidR="00406A2C" w:rsidRPr="00CB4151" w:rsidRDefault="00CB4151" w:rsidP="00CB4151">
    <w:pPr>
      <w:pStyle w:val="Encabezado"/>
      <w:jc w:val="right"/>
      <w:rPr>
        <w:rFonts w:ascii="Arial" w:hAnsi="Arial" w:cs="Arial"/>
        <w:b/>
        <w:sz w:val="24"/>
        <w:szCs w:val="24"/>
      </w:rPr>
    </w:pPr>
    <w:r w:rsidRPr="00CB4151">
      <w:rPr>
        <w:rFonts w:ascii="Arial" w:hAnsi="Arial" w:cs="Arial"/>
        <w:b/>
        <w:sz w:val="24"/>
        <w:szCs w:val="24"/>
      </w:rPr>
      <w:t>CE/2024/049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093"/>
    <w:multiLevelType w:val="hybridMultilevel"/>
    <w:tmpl w:val="EE6ADC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E4003E"/>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5E716A09"/>
    <w:multiLevelType w:val="hybridMultilevel"/>
    <w:tmpl w:val="3F3A21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DA"/>
    <w:rsid w:val="002C0F06"/>
    <w:rsid w:val="00326961"/>
    <w:rsid w:val="00406A2C"/>
    <w:rsid w:val="00485952"/>
    <w:rsid w:val="004D4965"/>
    <w:rsid w:val="005629B3"/>
    <w:rsid w:val="00576CEE"/>
    <w:rsid w:val="006004C6"/>
    <w:rsid w:val="006A70CE"/>
    <w:rsid w:val="007026DA"/>
    <w:rsid w:val="00711B01"/>
    <w:rsid w:val="00802033"/>
    <w:rsid w:val="008C4BC8"/>
    <w:rsid w:val="00A4382F"/>
    <w:rsid w:val="00A52A42"/>
    <w:rsid w:val="00A71F67"/>
    <w:rsid w:val="00A75986"/>
    <w:rsid w:val="00B0604D"/>
    <w:rsid w:val="00B342FC"/>
    <w:rsid w:val="00C92083"/>
    <w:rsid w:val="00CB4151"/>
    <w:rsid w:val="00F74BB3"/>
    <w:rsid w:val="00F8378A"/>
    <w:rsid w:val="00F92690"/>
    <w:rsid w:val="00FF2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061B"/>
  <w15:chartTrackingRefBased/>
  <w15:docId w15:val="{B088A66D-7C6A-4219-90D0-8212E400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6DA"/>
    <w:pPr>
      <w:spacing w:before="240" w:after="240" w:line="300" w:lineRule="auto"/>
      <w:jc w:val="both"/>
    </w:pPr>
    <w:rPr>
      <w:rFonts w:ascii="Exo" w:hAnsi="Exo"/>
      <w:sz w:val="23"/>
      <w:szCs w:val="23"/>
    </w:rPr>
  </w:style>
  <w:style w:type="paragraph" w:styleId="Ttulo1">
    <w:name w:val="heading 1"/>
    <w:basedOn w:val="Normal"/>
    <w:next w:val="Normal"/>
    <w:link w:val="Ttulo1Car"/>
    <w:uiPriority w:val="9"/>
    <w:qFormat/>
    <w:rsid w:val="007026DA"/>
    <w:pPr>
      <w:numPr>
        <w:numId w:val="3"/>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7026DA"/>
    <w:pPr>
      <w:numPr>
        <w:ilvl w:val="1"/>
        <w:numId w:val="3"/>
      </w:numPr>
      <w:spacing w:before="480"/>
      <w:outlineLvl w:val="1"/>
    </w:pPr>
    <w:rPr>
      <w:b/>
      <w:bCs/>
      <w:sz w:val="24"/>
      <w:szCs w:val="24"/>
    </w:rPr>
  </w:style>
  <w:style w:type="paragraph" w:styleId="Ttulo3">
    <w:name w:val="heading 3"/>
    <w:basedOn w:val="Normal"/>
    <w:next w:val="Normal"/>
    <w:link w:val="Ttulo3Car"/>
    <w:uiPriority w:val="9"/>
    <w:semiHidden/>
    <w:unhideWhenUsed/>
    <w:qFormat/>
    <w:rsid w:val="007026DA"/>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26DA"/>
    <w:pPr>
      <w:keepNext/>
      <w:keepLines/>
      <w:numPr>
        <w:ilvl w:val="3"/>
        <w:numId w:val="3"/>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26DA"/>
    <w:pPr>
      <w:keepNext/>
      <w:keepLines/>
      <w:numPr>
        <w:ilvl w:val="4"/>
        <w:numId w:val="3"/>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26DA"/>
    <w:pPr>
      <w:keepNext/>
      <w:keepLines/>
      <w:numPr>
        <w:ilvl w:val="5"/>
        <w:numId w:val="3"/>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26DA"/>
    <w:pPr>
      <w:keepNext/>
      <w:keepLines/>
      <w:numPr>
        <w:ilvl w:val="6"/>
        <w:numId w:val="3"/>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26DA"/>
    <w:pPr>
      <w:keepNext/>
      <w:keepLines/>
      <w:numPr>
        <w:ilvl w:val="7"/>
        <w:numId w:val="3"/>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26DA"/>
    <w:pPr>
      <w:keepNext/>
      <w:keepLines/>
      <w:numPr>
        <w:ilvl w:val="8"/>
        <w:numId w:val="3"/>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26DA"/>
    <w:rPr>
      <w:rFonts w:ascii="Exo" w:hAnsi="Exo"/>
      <w:b/>
      <w:bCs/>
      <w:sz w:val="28"/>
      <w:szCs w:val="28"/>
    </w:rPr>
  </w:style>
  <w:style w:type="character" w:customStyle="1" w:styleId="Ttulo2Car">
    <w:name w:val="Título 2 Car"/>
    <w:basedOn w:val="Fuentedeprrafopredeter"/>
    <w:link w:val="Ttulo2"/>
    <w:uiPriority w:val="9"/>
    <w:rsid w:val="007026DA"/>
    <w:rPr>
      <w:rFonts w:ascii="Exo" w:hAnsi="Exo"/>
      <w:b/>
      <w:bCs/>
    </w:rPr>
  </w:style>
  <w:style w:type="character" w:customStyle="1" w:styleId="Ttulo3Car">
    <w:name w:val="Título 3 Car"/>
    <w:basedOn w:val="Fuentedeprrafopredeter"/>
    <w:link w:val="Ttulo3"/>
    <w:uiPriority w:val="9"/>
    <w:semiHidden/>
    <w:rsid w:val="007026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26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26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26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26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26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26DA"/>
    <w:rPr>
      <w:rFonts w:eastAsiaTheme="majorEastAsia" w:cstheme="majorBidi"/>
      <w:color w:val="272727" w:themeColor="text1" w:themeTint="D8"/>
    </w:rPr>
  </w:style>
  <w:style w:type="paragraph" w:styleId="Ttulo">
    <w:name w:val="Title"/>
    <w:basedOn w:val="Normal"/>
    <w:next w:val="Normal"/>
    <w:link w:val="TtuloCar"/>
    <w:uiPriority w:val="10"/>
    <w:qFormat/>
    <w:rsid w:val="00702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26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26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26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26DA"/>
    <w:pPr>
      <w:spacing w:before="160"/>
      <w:jc w:val="center"/>
    </w:pPr>
    <w:rPr>
      <w:i/>
      <w:iCs/>
      <w:color w:val="404040" w:themeColor="text1" w:themeTint="BF"/>
    </w:rPr>
  </w:style>
  <w:style w:type="character" w:customStyle="1" w:styleId="CitaCar">
    <w:name w:val="Cita Car"/>
    <w:basedOn w:val="Fuentedeprrafopredeter"/>
    <w:link w:val="Cita"/>
    <w:uiPriority w:val="29"/>
    <w:rsid w:val="007026DA"/>
    <w:rPr>
      <w:i/>
      <w:iCs/>
      <w:color w:val="404040" w:themeColor="text1" w:themeTint="BF"/>
    </w:rPr>
  </w:style>
  <w:style w:type="paragraph" w:styleId="Prrafodelista">
    <w:name w:val="List Paragraph"/>
    <w:basedOn w:val="Normal"/>
    <w:uiPriority w:val="34"/>
    <w:qFormat/>
    <w:rsid w:val="007026DA"/>
    <w:pPr>
      <w:ind w:left="720"/>
      <w:contextualSpacing/>
    </w:pPr>
  </w:style>
  <w:style w:type="character" w:styleId="nfasisintenso">
    <w:name w:val="Intense Emphasis"/>
    <w:basedOn w:val="Fuentedeprrafopredeter"/>
    <w:uiPriority w:val="21"/>
    <w:qFormat/>
    <w:rsid w:val="007026DA"/>
    <w:rPr>
      <w:i/>
      <w:iCs/>
      <w:color w:val="0F4761" w:themeColor="accent1" w:themeShade="BF"/>
    </w:rPr>
  </w:style>
  <w:style w:type="paragraph" w:styleId="Citadestacada">
    <w:name w:val="Intense Quote"/>
    <w:basedOn w:val="Normal"/>
    <w:next w:val="Normal"/>
    <w:link w:val="CitadestacadaCar"/>
    <w:uiPriority w:val="30"/>
    <w:qFormat/>
    <w:rsid w:val="00702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26DA"/>
    <w:rPr>
      <w:i/>
      <w:iCs/>
      <w:color w:val="0F4761" w:themeColor="accent1" w:themeShade="BF"/>
    </w:rPr>
  </w:style>
  <w:style w:type="character" w:styleId="Referenciaintensa">
    <w:name w:val="Intense Reference"/>
    <w:basedOn w:val="Fuentedeprrafopredeter"/>
    <w:uiPriority w:val="32"/>
    <w:qFormat/>
    <w:rsid w:val="007026DA"/>
    <w:rPr>
      <w:b/>
      <w:bCs/>
      <w:smallCaps/>
      <w:color w:val="0F4761" w:themeColor="accent1" w:themeShade="BF"/>
      <w:spacing w:val="5"/>
    </w:rPr>
  </w:style>
  <w:style w:type="paragraph" w:styleId="Encabezado">
    <w:name w:val="header"/>
    <w:basedOn w:val="Normal"/>
    <w:link w:val="EncabezadoCar"/>
    <w:uiPriority w:val="99"/>
    <w:unhideWhenUsed/>
    <w:rsid w:val="00406A2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06A2C"/>
    <w:rPr>
      <w:rFonts w:ascii="Exo" w:hAnsi="Exo"/>
      <w:sz w:val="23"/>
      <w:szCs w:val="23"/>
    </w:rPr>
  </w:style>
  <w:style w:type="paragraph" w:styleId="Piedepgina">
    <w:name w:val="footer"/>
    <w:basedOn w:val="Normal"/>
    <w:link w:val="PiedepginaCar"/>
    <w:uiPriority w:val="99"/>
    <w:unhideWhenUsed/>
    <w:rsid w:val="00406A2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06A2C"/>
    <w:rPr>
      <w:rFonts w:ascii="Exo" w:hAnsi="Exo"/>
      <w:sz w:val="23"/>
      <w:szCs w:val="23"/>
    </w:rPr>
  </w:style>
  <w:style w:type="table" w:styleId="Tablaconcuadrcula">
    <w:name w:val="Table Grid"/>
    <w:basedOn w:val="Tablanormal"/>
    <w:uiPriority w:val="39"/>
    <w:rsid w:val="00406A2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415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3088</Words>
  <Characters>16987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23</cp:revision>
  <cp:lastPrinted>2024-03-27T18:49:00Z</cp:lastPrinted>
  <dcterms:created xsi:type="dcterms:W3CDTF">2024-03-23T22:30:00Z</dcterms:created>
  <dcterms:modified xsi:type="dcterms:W3CDTF">2024-03-27T18:49:00Z</dcterms:modified>
</cp:coreProperties>
</file>