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76C" w:rsidRPr="009539FF" w:rsidRDefault="009539FF" w:rsidP="007606A5">
      <w:pPr>
        <w:rPr>
          <w:rFonts w:ascii="Arial" w:hAnsi="Arial" w:cs="Arial"/>
          <w:b/>
          <w:sz w:val="24"/>
        </w:rPr>
      </w:pPr>
      <w:bookmarkStart w:id="0" w:name="_GoBack"/>
      <w:bookmarkEnd w:id="0"/>
      <w:r w:rsidRPr="009539FF">
        <w:rPr>
          <w:rFonts w:ascii="Arial" w:hAnsi="Arial" w:cs="Arial"/>
          <w:b/>
          <w:sz w:val="24"/>
        </w:rPr>
        <w:t>ACUERDO QUE EMITE EL CONSEJO ESTATAL DEL INSTITUTO ELECTORAL Y DE PARTICIPACIÓN CIUDADANA DE TABASCO, MEDIANTE EL CUAL APRUEBA EL REGLAMENTO INTERNO DE LA CONTRALORÍA GENERAL DEL PROPIO INSTITUTO</w:t>
      </w:r>
    </w:p>
    <w:p w:rsidR="007606A5" w:rsidRPr="009539FF" w:rsidRDefault="007606A5" w:rsidP="007606A5">
      <w:pPr>
        <w:rPr>
          <w:rFonts w:ascii="Arial" w:hAnsi="Arial" w:cs="Arial"/>
        </w:rPr>
      </w:pPr>
      <w:r w:rsidRPr="009539FF">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888"/>
        <w:gridCol w:w="4183"/>
      </w:tblGrid>
      <w:tr w:rsidR="00FD494C" w:rsidRPr="009539FF" w:rsidTr="00C16644">
        <w:trPr>
          <w:trHeight w:val="624"/>
          <w:jc w:val="center"/>
        </w:trPr>
        <w:tc>
          <w:tcPr>
            <w:tcW w:w="2042" w:type="pct"/>
            <w:shd w:val="clear" w:color="auto" w:fill="auto"/>
            <w:vAlign w:val="center"/>
          </w:tcPr>
          <w:p w:rsidR="00FD494C" w:rsidRPr="009539FF" w:rsidRDefault="00FD494C" w:rsidP="00C16644">
            <w:pPr>
              <w:widowControl w:val="0"/>
              <w:spacing w:before="40" w:after="40"/>
              <w:ind w:left="57"/>
              <w:jc w:val="right"/>
              <w:rPr>
                <w:rFonts w:ascii="Arial" w:hAnsi="Arial" w:cs="Arial"/>
                <w:b/>
                <w:sz w:val="20"/>
                <w:szCs w:val="20"/>
              </w:rPr>
            </w:pPr>
            <w:r w:rsidRPr="009539FF">
              <w:rPr>
                <w:rFonts w:ascii="Arial" w:hAnsi="Arial" w:cs="Arial"/>
                <w:b/>
                <w:sz w:val="20"/>
                <w:szCs w:val="20"/>
              </w:rPr>
              <w:t>Consejo Estatal:</w:t>
            </w:r>
          </w:p>
        </w:tc>
        <w:tc>
          <w:tcPr>
            <w:tcW w:w="2958" w:type="pct"/>
            <w:shd w:val="clear" w:color="auto" w:fill="auto"/>
            <w:vAlign w:val="center"/>
          </w:tcPr>
          <w:p w:rsidR="00FD494C" w:rsidRPr="009539FF" w:rsidRDefault="00FD494C" w:rsidP="00C16644">
            <w:pPr>
              <w:widowControl w:val="0"/>
              <w:spacing w:before="40" w:after="40"/>
              <w:ind w:left="57"/>
              <w:rPr>
                <w:rFonts w:ascii="Arial" w:hAnsi="Arial" w:cs="Arial"/>
                <w:sz w:val="20"/>
                <w:szCs w:val="20"/>
              </w:rPr>
            </w:pPr>
            <w:r w:rsidRPr="009539FF">
              <w:rPr>
                <w:rFonts w:ascii="Arial" w:hAnsi="Arial" w:cs="Arial"/>
                <w:sz w:val="20"/>
                <w:szCs w:val="20"/>
              </w:rPr>
              <w:t>Consejo Estatal del Instituto Electoral y de Participación Ciudadana de Tabasco.</w:t>
            </w:r>
          </w:p>
        </w:tc>
      </w:tr>
      <w:tr w:rsidR="00FD494C" w:rsidRPr="009539FF" w:rsidTr="00C16644">
        <w:trPr>
          <w:trHeight w:val="624"/>
          <w:jc w:val="center"/>
        </w:trPr>
        <w:tc>
          <w:tcPr>
            <w:tcW w:w="2042" w:type="pct"/>
            <w:shd w:val="clear" w:color="auto" w:fill="auto"/>
            <w:vAlign w:val="center"/>
          </w:tcPr>
          <w:p w:rsidR="00FD494C" w:rsidRPr="009539FF" w:rsidRDefault="00FD494C" w:rsidP="00C16644">
            <w:pPr>
              <w:widowControl w:val="0"/>
              <w:spacing w:before="40" w:after="40"/>
              <w:ind w:left="57"/>
              <w:jc w:val="right"/>
              <w:rPr>
                <w:rFonts w:ascii="Arial" w:hAnsi="Arial" w:cs="Arial"/>
                <w:b/>
                <w:sz w:val="20"/>
                <w:szCs w:val="20"/>
              </w:rPr>
            </w:pPr>
            <w:r w:rsidRPr="009539FF">
              <w:rPr>
                <w:rFonts w:ascii="Arial" w:hAnsi="Arial" w:cs="Arial"/>
                <w:b/>
                <w:sz w:val="20"/>
                <w:szCs w:val="20"/>
              </w:rPr>
              <w:t>Constitución Federal:</w:t>
            </w:r>
          </w:p>
        </w:tc>
        <w:tc>
          <w:tcPr>
            <w:tcW w:w="2958" w:type="pct"/>
            <w:shd w:val="clear" w:color="auto" w:fill="auto"/>
            <w:vAlign w:val="center"/>
          </w:tcPr>
          <w:p w:rsidR="00FD494C" w:rsidRPr="009539FF" w:rsidRDefault="00FD494C" w:rsidP="00C16644">
            <w:pPr>
              <w:widowControl w:val="0"/>
              <w:spacing w:before="40" w:after="40"/>
              <w:ind w:left="57"/>
              <w:rPr>
                <w:rFonts w:ascii="Arial" w:hAnsi="Arial" w:cs="Arial"/>
                <w:sz w:val="20"/>
                <w:szCs w:val="20"/>
              </w:rPr>
            </w:pPr>
            <w:r w:rsidRPr="009539FF">
              <w:rPr>
                <w:rFonts w:ascii="Arial" w:hAnsi="Arial" w:cs="Arial"/>
                <w:sz w:val="20"/>
                <w:szCs w:val="20"/>
              </w:rPr>
              <w:t>Constitución Política de los Estados Unidos Mexicanos.</w:t>
            </w:r>
          </w:p>
        </w:tc>
      </w:tr>
      <w:tr w:rsidR="00FD494C" w:rsidRPr="009539FF" w:rsidTr="00C16644">
        <w:trPr>
          <w:trHeight w:val="624"/>
          <w:jc w:val="center"/>
        </w:trPr>
        <w:tc>
          <w:tcPr>
            <w:tcW w:w="2042" w:type="pct"/>
            <w:shd w:val="clear" w:color="auto" w:fill="auto"/>
            <w:vAlign w:val="center"/>
          </w:tcPr>
          <w:p w:rsidR="00FD494C" w:rsidRPr="009539FF" w:rsidRDefault="00FD494C" w:rsidP="00C16644">
            <w:pPr>
              <w:widowControl w:val="0"/>
              <w:spacing w:before="40" w:after="40"/>
              <w:ind w:left="57"/>
              <w:jc w:val="right"/>
              <w:rPr>
                <w:rFonts w:ascii="Arial" w:hAnsi="Arial" w:cs="Arial"/>
                <w:b/>
                <w:sz w:val="20"/>
                <w:szCs w:val="20"/>
              </w:rPr>
            </w:pPr>
            <w:r w:rsidRPr="009539FF">
              <w:rPr>
                <w:rFonts w:ascii="Arial" w:hAnsi="Arial" w:cs="Arial"/>
                <w:b/>
                <w:sz w:val="20"/>
                <w:szCs w:val="20"/>
              </w:rPr>
              <w:t>Constitución Local:</w:t>
            </w:r>
          </w:p>
        </w:tc>
        <w:tc>
          <w:tcPr>
            <w:tcW w:w="2958" w:type="pct"/>
            <w:shd w:val="clear" w:color="auto" w:fill="auto"/>
            <w:vAlign w:val="center"/>
          </w:tcPr>
          <w:p w:rsidR="00FD494C" w:rsidRPr="009539FF" w:rsidRDefault="00FD494C" w:rsidP="00C16644">
            <w:pPr>
              <w:widowControl w:val="0"/>
              <w:spacing w:before="40" w:after="40"/>
              <w:ind w:left="57"/>
              <w:rPr>
                <w:rFonts w:ascii="Arial" w:hAnsi="Arial" w:cs="Arial"/>
                <w:sz w:val="20"/>
                <w:szCs w:val="20"/>
              </w:rPr>
            </w:pPr>
            <w:r w:rsidRPr="009539FF">
              <w:rPr>
                <w:rFonts w:ascii="Arial" w:hAnsi="Arial" w:cs="Arial"/>
                <w:sz w:val="20"/>
                <w:szCs w:val="20"/>
              </w:rPr>
              <w:t>Constitución Política del Estado Libre y Soberano de Tabasco.</w:t>
            </w:r>
          </w:p>
        </w:tc>
      </w:tr>
      <w:tr w:rsidR="00FD494C" w:rsidRPr="009539FF" w:rsidTr="00C16644">
        <w:trPr>
          <w:trHeight w:val="624"/>
          <w:jc w:val="center"/>
        </w:trPr>
        <w:tc>
          <w:tcPr>
            <w:tcW w:w="2042" w:type="pct"/>
            <w:shd w:val="clear" w:color="auto" w:fill="auto"/>
            <w:vAlign w:val="center"/>
          </w:tcPr>
          <w:p w:rsidR="00FD494C" w:rsidRPr="009539FF" w:rsidRDefault="00FD494C" w:rsidP="00C16644">
            <w:pPr>
              <w:widowControl w:val="0"/>
              <w:spacing w:before="120" w:after="120"/>
              <w:jc w:val="right"/>
              <w:rPr>
                <w:rFonts w:ascii="Arial" w:hAnsi="Arial" w:cs="Arial"/>
                <w:b/>
                <w:sz w:val="20"/>
                <w:szCs w:val="20"/>
              </w:rPr>
            </w:pPr>
            <w:r w:rsidRPr="009539FF">
              <w:rPr>
                <w:rFonts w:ascii="Arial" w:hAnsi="Arial" w:cs="Arial"/>
                <w:b/>
                <w:sz w:val="20"/>
                <w:szCs w:val="20"/>
              </w:rPr>
              <w:t>Contraloría General:</w:t>
            </w:r>
          </w:p>
        </w:tc>
        <w:tc>
          <w:tcPr>
            <w:tcW w:w="2958" w:type="pct"/>
            <w:shd w:val="clear" w:color="auto" w:fill="auto"/>
            <w:vAlign w:val="center"/>
          </w:tcPr>
          <w:p w:rsidR="00FD494C" w:rsidRPr="009539FF" w:rsidRDefault="00FD494C" w:rsidP="00C16644">
            <w:pPr>
              <w:widowControl w:val="0"/>
              <w:spacing w:before="120" w:after="120"/>
              <w:rPr>
                <w:rFonts w:ascii="Arial" w:hAnsi="Arial" w:cs="Arial"/>
                <w:bCs/>
                <w:sz w:val="20"/>
                <w:szCs w:val="20"/>
              </w:rPr>
            </w:pPr>
            <w:r w:rsidRPr="009539FF">
              <w:rPr>
                <w:rFonts w:ascii="Arial" w:hAnsi="Arial" w:cs="Arial"/>
                <w:bCs/>
                <w:sz w:val="20"/>
                <w:szCs w:val="20"/>
              </w:rPr>
              <w:t>Contraloría General del Instituto Electoral y de Participación Ciudadana de Tabasco.</w:t>
            </w:r>
          </w:p>
        </w:tc>
      </w:tr>
      <w:tr w:rsidR="00FD494C" w:rsidRPr="009539FF" w:rsidTr="00C16644">
        <w:trPr>
          <w:trHeight w:val="624"/>
          <w:jc w:val="center"/>
        </w:trPr>
        <w:tc>
          <w:tcPr>
            <w:tcW w:w="2042" w:type="pct"/>
            <w:shd w:val="clear" w:color="auto" w:fill="auto"/>
            <w:vAlign w:val="center"/>
          </w:tcPr>
          <w:p w:rsidR="00FD494C" w:rsidRPr="009539FF" w:rsidRDefault="00FD494C" w:rsidP="00C16644">
            <w:pPr>
              <w:widowControl w:val="0"/>
              <w:spacing w:before="40" w:after="40"/>
              <w:ind w:left="57"/>
              <w:jc w:val="right"/>
              <w:rPr>
                <w:rFonts w:ascii="Arial" w:hAnsi="Arial" w:cs="Arial"/>
                <w:b/>
                <w:sz w:val="20"/>
                <w:szCs w:val="20"/>
              </w:rPr>
            </w:pPr>
            <w:r w:rsidRPr="009539FF">
              <w:rPr>
                <w:rFonts w:ascii="Arial" w:hAnsi="Arial" w:cs="Arial"/>
                <w:b/>
                <w:sz w:val="20"/>
                <w:szCs w:val="20"/>
              </w:rPr>
              <w:t>Instituto:</w:t>
            </w:r>
          </w:p>
        </w:tc>
        <w:tc>
          <w:tcPr>
            <w:tcW w:w="2958" w:type="pct"/>
            <w:shd w:val="clear" w:color="auto" w:fill="auto"/>
          </w:tcPr>
          <w:p w:rsidR="00FD494C" w:rsidRPr="009539FF" w:rsidRDefault="00FD494C" w:rsidP="00C16644">
            <w:pPr>
              <w:widowControl w:val="0"/>
              <w:spacing w:before="40" w:after="40"/>
              <w:ind w:left="57"/>
              <w:rPr>
                <w:rFonts w:ascii="Arial" w:hAnsi="Arial" w:cs="Arial"/>
                <w:sz w:val="20"/>
                <w:szCs w:val="20"/>
              </w:rPr>
            </w:pPr>
            <w:r w:rsidRPr="009539FF">
              <w:rPr>
                <w:rFonts w:ascii="Arial" w:hAnsi="Arial" w:cs="Arial"/>
                <w:sz w:val="20"/>
                <w:szCs w:val="20"/>
              </w:rPr>
              <w:t>Instituto Electoral y de Participación Ciudadana de Tabasco.</w:t>
            </w:r>
          </w:p>
        </w:tc>
      </w:tr>
      <w:tr w:rsidR="00FD494C" w:rsidRPr="009539FF" w:rsidTr="00C16644">
        <w:trPr>
          <w:trHeight w:val="624"/>
          <w:jc w:val="center"/>
        </w:trPr>
        <w:tc>
          <w:tcPr>
            <w:tcW w:w="2042" w:type="pct"/>
            <w:shd w:val="clear" w:color="auto" w:fill="auto"/>
            <w:vAlign w:val="center"/>
          </w:tcPr>
          <w:p w:rsidR="00FD494C" w:rsidRPr="009539FF" w:rsidRDefault="00FD494C" w:rsidP="00C16644">
            <w:pPr>
              <w:widowControl w:val="0"/>
              <w:spacing w:before="40" w:after="40"/>
              <w:ind w:left="57"/>
              <w:jc w:val="right"/>
              <w:rPr>
                <w:rFonts w:ascii="Arial" w:hAnsi="Arial" w:cs="Arial"/>
                <w:b/>
                <w:sz w:val="20"/>
                <w:szCs w:val="20"/>
              </w:rPr>
            </w:pPr>
            <w:r w:rsidRPr="009539FF">
              <w:rPr>
                <w:rFonts w:ascii="Arial" w:hAnsi="Arial" w:cs="Arial"/>
                <w:b/>
                <w:sz w:val="20"/>
                <w:szCs w:val="20"/>
              </w:rPr>
              <w:t>Ley Electoral:</w:t>
            </w:r>
          </w:p>
        </w:tc>
        <w:tc>
          <w:tcPr>
            <w:tcW w:w="2958" w:type="pct"/>
            <w:shd w:val="clear" w:color="auto" w:fill="auto"/>
            <w:vAlign w:val="center"/>
          </w:tcPr>
          <w:p w:rsidR="00FD494C" w:rsidRPr="009539FF" w:rsidRDefault="00FD494C" w:rsidP="00C16644">
            <w:pPr>
              <w:widowControl w:val="0"/>
              <w:spacing w:before="40" w:after="40"/>
              <w:ind w:left="57"/>
              <w:rPr>
                <w:rFonts w:ascii="Arial" w:hAnsi="Arial" w:cs="Arial"/>
                <w:sz w:val="20"/>
                <w:szCs w:val="20"/>
              </w:rPr>
            </w:pPr>
            <w:r w:rsidRPr="009539FF">
              <w:rPr>
                <w:rFonts w:ascii="Arial" w:hAnsi="Arial" w:cs="Arial"/>
                <w:sz w:val="20"/>
                <w:szCs w:val="20"/>
              </w:rPr>
              <w:t>Ley Electoral y de Partidos Políticos del Estado de Tabasco.</w:t>
            </w:r>
          </w:p>
        </w:tc>
      </w:tr>
      <w:tr w:rsidR="00FD494C" w:rsidRPr="009539FF" w:rsidTr="00C16644">
        <w:trPr>
          <w:trHeight w:val="624"/>
          <w:jc w:val="center"/>
        </w:trPr>
        <w:tc>
          <w:tcPr>
            <w:tcW w:w="2042" w:type="pct"/>
            <w:shd w:val="clear" w:color="auto" w:fill="auto"/>
            <w:vAlign w:val="center"/>
          </w:tcPr>
          <w:p w:rsidR="00FD494C" w:rsidRPr="009539FF" w:rsidRDefault="00FD494C" w:rsidP="00C16644">
            <w:pPr>
              <w:widowControl w:val="0"/>
              <w:spacing w:before="40" w:after="40"/>
              <w:ind w:left="57"/>
              <w:jc w:val="right"/>
              <w:rPr>
                <w:rFonts w:ascii="Arial" w:hAnsi="Arial" w:cs="Arial"/>
                <w:b/>
                <w:sz w:val="20"/>
                <w:szCs w:val="20"/>
              </w:rPr>
            </w:pPr>
            <w:r w:rsidRPr="009539FF">
              <w:rPr>
                <w:rFonts w:ascii="Arial" w:hAnsi="Arial" w:cs="Arial"/>
                <w:b/>
                <w:sz w:val="20"/>
                <w:szCs w:val="20"/>
              </w:rPr>
              <w:t>Proceso Electoral:</w:t>
            </w:r>
          </w:p>
        </w:tc>
        <w:tc>
          <w:tcPr>
            <w:tcW w:w="2958" w:type="pct"/>
            <w:shd w:val="clear" w:color="auto" w:fill="auto"/>
            <w:vAlign w:val="center"/>
          </w:tcPr>
          <w:p w:rsidR="00FD494C" w:rsidRPr="009539FF" w:rsidRDefault="00FD494C" w:rsidP="00C16644">
            <w:pPr>
              <w:widowControl w:val="0"/>
              <w:spacing w:before="40" w:after="40"/>
              <w:ind w:left="57"/>
              <w:rPr>
                <w:rFonts w:ascii="Arial" w:hAnsi="Arial" w:cs="Arial"/>
                <w:sz w:val="20"/>
                <w:szCs w:val="20"/>
              </w:rPr>
            </w:pPr>
            <w:r w:rsidRPr="009539FF">
              <w:rPr>
                <w:rFonts w:ascii="Arial" w:hAnsi="Arial" w:cs="Arial"/>
                <w:sz w:val="20"/>
                <w:szCs w:val="20"/>
              </w:rPr>
              <w:t>Proceso Electoral Local Ordinario 2023-2024.</w:t>
            </w:r>
          </w:p>
        </w:tc>
      </w:tr>
      <w:tr w:rsidR="00FD494C" w:rsidRPr="009539FF" w:rsidTr="00C16644">
        <w:trPr>
          <w:trHeight w:val="624"/>
          <w:jc w:val="center"/>
        </w:trPr>
        <w:tc>
          <w:tcPr>
            <w:tcW w:w="2042" w:type="pct"/>
            <w:shd w:val="clear" w:color="auto" w:fill="auto"/>
            <w:vAlign w:val="center"/>
          </w:tcPr>
          <w:p w:rsidR="00FD494C" w:rsidRPr="009539FF" w:rsidRDefault="00FD494C" w:rsidP="00C16644">
            <w:pPr>
              <w:widowControl w:val="0"/>
              <w:spacing w:before="40" w:after="40"/>
              <w:ind w:left="57"/>
              <w:jc w:val="right"/>
              <w:rPr>
                <w:rFonts w:ascii="Arial" w:hAnsi="Arial" w:cs="Arial"/>
                <w:b/>
                <w:sz w:val="20"/>
                <w:szCs w:val="20"/>
              </w:rPr>
            </w:pPr>
            <w:r w:rsidRPr="009539FF">
              <w:rPr>
                <w:rFonts w:ascii="Arial" w:hAnsi="Arial" w:cs="Arial"/>
                <w:b/>
                <w:sz w:val="20"/>
                <w:szCs w:val="20"/>
              </w:rPr>
              <w:t>Secretaría Ejecutiva:</w:t>
            </w:r>
          </w:p>
        </w:tc>
        <w:tc>
          <w:tcPr>
            <w:tcW w:w="2958" w:type="pct"/>
            <w:shd w:val="clear" w:color="auto" w:fill="auto"/>
            <w:vAlign w:val="center"/>
          </w:tcPr>
          <w:p w:rsidR="00FD494C" w:rsidRPr="009539FF" w:rsidRDefault="00FD494C" w:rsidP="00C16644">
            <w:pPr>
              <w:widowControl w:val="0"/>
              <w:spacing w:before="40" w:after="40"/>
              <w:ind w:left="57"/>
              <w:rPr>
                <w:rFonts w:ascii="Arial" w:hAnsi="Arial" w:cs="Arial"/>
                <w:sz w:val="20"/>
                <w:szCs w:val="20"/>
              </w:rPr>
            </w:pPr>
            <w:r w:rsidRPr="009539FF">
              <w:rPr>
                <w:rFonts w:ascii="Arial" w:hAnsi="Arial" w:cs="Arial"/>
                <w:sz w:val="20"/>
                <w:szCs w:val="20"/>
              </w:rPr>
              <w:t>Secretaría Ejecutiva del Instituto Electoral y de Participación Ciudadana de Tabasco.</w:t>
            </w:r>
          </w:p>
        </w:tc>
      </w:tr>
    </w:tbl>
    <w:p w:rsidR="00126430" w:rsidRPr="009539FF" w:rsidRDefault="00126430">
      <w:pPr>
        <w:spacing w:before="0" w:after="160" w:line="259" w:lineRule="auto"/>
        <w:jc w:val="left"/>
        <w:rPr>
          <w:rFonts w:ascii="Arial" w:hAnsi="Arial" w:cs="Arial"/>
        </w:rPr>
      </w:pPr>
    </w:p>
    <w:p w:rsidR="007606A5" w:rsidRPr="009539FF" w:rsidRDefault="007606A5" w:rsidP="00545540">
      <w:pPr>
        <w:pStyle w:val="Ttulo1"/>
        <w:rPr>
          <w:rFonts w:ascii="Arial" w:hAnsi="Arial" w:cs="Arial"/>
          <w:sz w:val="24"/>
          <w:szCs w:val="24"/>
        </w:rPr>
      </w:pPr>
      <w:r w:rsidRPr="009539FF">
        <w:rPr>
          <w:rFonts w:ascii="Arial" w:hAnsi="Arial" w:cs="Arial"/>
          <w:sz w:val="24"/>
          <w:szCs w:val="24"/>
        </w:rPr>
        <w:t>Antecedentes</w:t>
      </w:r>
    </w:p>
    <w:p w:rsidR="007606A5" w:rsidRPr="009539FF" w:rsidRDefault="007606A5" w:rsidP="007606A5">
      <w:pPr>
        <w:pStyle w:val="Ttulo2"/>
        <w:rPr>
          <w:rFonts w:ascii="Arial" w:hAnsi="Arial" w:cs="Arial"/>
          <w:sz w:val="23"/>
        </w:rPr>
      </w:pPr>
      <w:r w:rsidRPr="009539FF">
        <w:rPr>
          <w:rFonts w:ascii="Arial" w:hAnsi="Arial" w:cs="Arial"/>
          <w:sz w:val="23"/>
        </w:rPr>
        <w:t xml:space="preserve">Órgano Interno de Control del Instituto </w:t>
      </w:r>
    </w:p>
    <w:p w:rsidR="007606A5" w:rsidRPr="009539FF" w:rsidRDefault="007606A5" w:rsidP="007606A5">
      <w:pPr>
        <w:rPr>
          <w:rFonts w:ascii="Arial" w:hAnsi="Arial" w:cs="Arial"/>
        </w:rPr>
      </w:pPr>
      <w:r w:rsidRPr="009539FF">
        <w:rPr>
          <w:rFonts w:ascii="Arial" w:hAnsi="Arial" w:cs="Arial"/>
        </w:rPr>
        <w:t>De conformidad con lo dispuesto por el artículo 9, apartado C, inciso g) de la Constitución Local, el Instituto contará con una Contraloría General, dotada de autonomía técnica y de gestión, que tendrá a su cargo la fiscalización de todos los ingresos y egresos del propio Instituto.</w:t>
      </w:r>
    </w:p>
    <w:p w:rsidR="00005382" w:rsidRPr="009539FF" w:rsidRDefault="00005382" w:rsidP="00005382">
      <w:pPr>
        <w:pStyle w:val="Ttulo2"/>
        <w:rPr>
          <w:rFonts w:ascii="Arial" w:hAnsi="Arial" w:cs="Arial"/>
          <w:sz w:val="23"/>
        </w:rPr>
      </w:pPr>
      <w:r w:rsidRPr="009539FF">
        <w:rPr>
          <w:rFonts w:ascii="Arial" w:hAnsi="Arial" w:cs="Arial"/>
          <w:sz w:val="23"/>
        </w:rPr>
        <w:lastRenderedPageBreak/>
        <w:t>Estructura de la Contraloría General</w:t>
      </w:r>
    </w:p>
    <w:p w:rsidR="00005382" w:rsidRPr="009539FF" w:rsidRDefault="00005382" w:rsidP="007606A5">
      <w:pPr>
        <w:rPr>
          <w:rFonts w:ascii="Arial" w:hAnsi="Arial" w:cs="Arial"/>
        </w:rPr>
      </w:pPr>
      <w:r w:rsidRPr="009539FF">
        <w:rPr>
          <w:rFonts w:ascii="Arial" w:hAnsi="Arial" w:cs="Arial"/>
        </w:rPr>
        <w:t>El 30 de junio de 2021, mediante acuerdo CE/2021/076 y a propuesta de la Contraloría General, se modificó la estructura del propio órgano interno.</w:t>
      </w:r>
    </w:p>
    <w:p w:rsidR="00B11484" w:rsidRPr="009539FF" w:rsidRDefault="00B11484" w:rsidP="00B11484">
      <w:pPr>
        <w:pStyle w:val="Ttulo2"/>
        <w:rPr>
          <w:rFonts w:ascii="Arial" w:hAnsi="Arial" w:cs="Arial"/>
          <w:sz w:val="23"/>
        </w:rPr>
      </w:pPr>
      <w:r w:rsidRPr="009539FF">
        <w:rPr>
          <w:rFonts w:ascii="Arial" w:hAnsi="Arial" w:cs="Arial"/>
          <w:sz w:val="23"/>
        </w:rPr>
        <w:t>Plan de Trabajo de la Contraloría General</w:t>
      </w:r>
    </w:p>
    <w:p w:rsidR="00B11484" w:rsidRPr="009539FF" w:rsidRDefault="00B11484" w:rsidP="007606A5">
      <w:pPr>
        <w:rPr>
          <w:rFonts w:ascii="Arial" w:hAnsi="Arial" w:cs="Arial"/>
        </w:rPr>
      </w:pPr>
      <w:r w:rsidRPr="009539FF">
        <w:rPr>
          <w:rFonts w:ascii="Arial" w:hAnsi="Arial" w:cs="Arial"/>
        </w:rPr>
        <w:t>El 28 de diciembre de 2023, mediante acuerdo CE/2023/058, el Consejo Estatal aprobó el Plan Anual de Trabajo de la Contraloría General para el ejercicio 2024.</w:t>
      </w:r>
    </w:p>
    <w:p w:rsidR="00180DA4" w:rsidRPr="009539FF" w:rsidRDefault="00180DA4" w:rsidP="007606A5">
      <w:pPr>
        <w:rPr>
          <w:rFonts w:ascii="Arial" w:hAnsi="Arial" w:cs="Arial"/>
        </w:rPr>
      </w:pPr>
    </w:p>
    <w:p w:rsidR="007606A5" w:rsidRPr="009539FF" w:rsidRDefault="007606A5" w:rsidP="007606A5">
      <w:pPr>
        <w:pStyle w:val="Ttulo1"/>
        <w:rPr>
          <w:rFonts w:ascii="Arial" w:hAnsi="Arial" w:cs="Arial"/>
          <w:sz w:val="24"/>
          <w:szCs w:val="24"/>
        </w:rPr>
      </w:pPr>
      <w:r w:rsidRPr="009539FF">
        <w:rPr>
          <w:rFonts w:ascii="Arial" w:hAnsi="Arial" w:cs="Arial"/>
          <w:sz w:val="24"/>
          <w:szCs w:val="24"/>
        </w:rPr>
        <w:t>Considerando</w:t>
      </w:r>
    </w:p>
    <w:p w:rsidR="007606A5" w:rsidRPr="009539FF" w:rsidRDefault="007606A5" w:rsidP="007606A5">
      <w:pPr>
        <w:pStyle w:val="Ttulo2"/>
        <w:rPr>
          <w:rFonts w:ascii="Arial" w:hAnsi="Arial" w:cs="Arial"/>
          <w:sz w:val="23"/>
        </w:rPr>
      </w:pPr>
      <w:r w:rsidRPr="009539FF">
        <w:rPr>
          <w:rFonts w:ascii="Arial" w:hAnsi="Arial" w:cs="Arial"/>
          <w:sz w:val="23"/>
        </w:rPr>
        <w:t xml:space="preserve">Fines del Instituto </w:t>
      </w:r>
    </w:p>
    <w:p w:rsidR="007606A5" w:rsidRPr="009539FF" w:rsidRDefault="007606A5" w:rsidP="007606A5">
      <w:pPr>
        <w:rPr>
          <w:rFonts w:ascii="Arial" w:hAnsi="Arial" w:cs="Arial"/>
        </w:rPr>
      </w:pPr>
      <w:r w:rsidRPr="009539FF">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7606A5" w:rsidRPr="009539FF" w:rsidRDefault="007606A5" w:rsidP="007606A5">
      <w:pPr>
        <w:rPr>
          <w:rFonts w:ascii="Arial" w:hAnsi="Arial" w:cs="Arial"/>
        </w:rPr>
      </w:pPr>
      <w:r w:rsidRPr="009539FF">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w:t>
      </w:r>
      <w:r w:rsidRPr="009539FF">
        <w:rPr>
          <w:rFonts w:ascii="Arial" w:hAnsi="Arial" w:cs="Arial"/>
        </w:rPr>
        <w:lastRenderedPageBreak/>
        <w:t>o coadyuvar a la realización de los ejercicios de consultas populares y demás formas de participación ciudadana, de conformidad con lo que dispongan las leyes.</w:t>
      </w:r>
    </w:p>
    <w:p w:rsidR="007606A5" w:rsidRPr="009539FF" w:rsidRDefault="007606A5" w:rsidP="007606A5">
      <w:pPr>
        <w:pStyle w:val="Ttulo2"/>
        <w:rPr>
          <w:rFonts w:ascii="Arial" w:hAnsi="Arial" w:cs="Arial"/>
          <w:sz w:val="23"/>
        </w:rPr>
      </w:pPr>
      <w:r w:rsidRPr="009539FF">
        <w:rPr>
          <w:rFonts w:ascii="Arial" w:hAnsi="Arial" w:cs="Arial"/>
          <w:sz w:val="23"/>
        </w:rPr>
        <w:t xml:space="preserve">Órgano Superior de Dirección del Instituto </w:t>
      </w:r>
    </w:p>
    <w:p w:rsidR="007606A5" w:rsidRPr="009539FF" w:rsidRDefault="007606A5" w:rsidP="007606A5">
      <w:pPr>
        <w:rPr>
          <w:rFonts w:ascii="Arial" w:hAnsi="Arial" w:cs="Arial"/>
        </w:rPr>
      </w:pPr>
      <w:r w:rsidRPr="009539FF">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7606A5" w:rsidRPr="009539FF" w:rsidRDefault="007606A5" w:rsidP="007606A5">
      <w:pPr>
        <w:pStyle w:val="Ttulo2"/>
        <w:rPr>
          <w:rFonts w:ascii="Arial" w:hAnsi="Arial" w:cs="Arial"/>
          <w:sz w:val="23"/>
        </w:rPr>
      </w:pPr>
      <w:r w:rsidRPr="009539FF">
        <w:rPr>
          <w:rFonts w:ascii="Arial" w:hAnsi="Arial" w:cs="Arial"/>
          <w:sz w:val="23"/>
        </w:rPr>
        <w:t>Integración del Órgano de Dirección Superior</w:t>
      </w:r>
    </w:p>
    <w:p w:rsidR="007606A5" w:rsidRPr="009539FF" w:rsidRDefault="007606A5" w:rsidP="007606A5">
      <w:pPr>
        <w:rPr>
          <w:rFonts w:ascii="Arial" w:hAnsi="Arial" w:cs="Arial"/>
        </w:rPr>
      </w:pPr>
      <w:r w:rsidRPr="009539FF">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7606A5" w:rsidRPr="009539FF" w:rsidRDefault="007606A5" w:rsidP="007606A5">
      <w:pPr>
        <w:pStyle w:val="Ttulo2"/>
        <w:rPr>
          <w:rFonts w:ascii="Arial" w:hAnsi="Arial" w:cs="Arial"/>
          <w:sz w:val="23"/>
        </w:rPr>
      </w:pPr>
      <w:r w:rsidRPr="009539FF">
        <w:rPr>
          <w:rFonts w:ascii="Arial" w:hAnsi="Arial" w:cs="Arial"/>
          <w:sz w:val="23"/>
        </w:rPr>
        <w:t>Competencia del Consejo Estatal</w:t>
      </w:r>
    </w:p>
    <w:p w:rsidR="00553029" w:rsidRPr="009539FF" w:rsidRDefault="00553029" w:rsidP="00553029">
      <w:pPr>
        <w:rPr>
          <w:rFonts w:ascii="Arial" w:hAnsi="Arial" w:cs="Arial"/>
        </w:rPr>
      </w:pPr>
      <w:r w:rsidRPr="009539FF">
        <w:rPr>
          <w:rFonts w:ascii="Arial" w:hAnsi="Arial" w:cs="Arial"/>
        </w:rPr>
        <w:t>Que, de conformidad con el artículo 115 numeral 1 fracción XXXVIII de la Ley Electoral, el Consejo Estatal es competente para aprobar y expedir los reglamentos internos necesarios para el debido ejercicio de las facultades y atribuciones del Instituto.</w:t>
      </w:r>
    </w:p>
    <w:p w:rsidR="00553029" w:rsidRDefault="00553029" w:rsidP="00553029">
      <w:pPr>
        <w:rPr>
          <w:rFonts w:ascii="Arial" w:hAnsi="Arial" w:cs="Arial"/>
        </w:rPr>
      </w:pPr>
      <w:r w:rsidRPr="009539FF">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9539FF" w:rsidRPr="009539FF" w:rsidRDefault="009539FF" w:rsidP="00553029">
      <w:pPr>
        <w:rPr>
          <w:rFonts w:ascii="Arial" w:hAnsi="Arial" w:cs="Arial"/>
        </w:rPr>
      </w:pPr>
    </w:p>
    <w:p w:rsidR="007606A5" w:rsidRPr="009539FF" w:rsidRDefault="007606A5" w:rsidP="007606A5">
      <w:pPr>
        <w:pStyle w:val="Ttulo2"/>
        <w:rPr>
          <w:rFonts w:ascii="Arial" w:hAnsi="Arial" w:cs="Arial"/>
          <w:sz w:val="23"/>
        </w:rPr>
      </w:pPr>
      <w:r w:rsidRPr="009539FF">
        <w:rPr>
          <w:rFonts w:ascii="Arial" w:hAnsi="Arial" w:cs="Arial"/>
          <w:sz w:val="23"/>
        </w:rPr>
        <w:t>Contraloría General</w:t>
      </w:r>
    </w:p>
    <w:p w:rsidR="007606A5" w:rsidRPr="009539FF" w:rsidRDefault="007606A5" w:rsidP="007606A5">
      <w:pPr>
        <w:rPr>
          <w:rFonts w:ascii="Arial" w:hAnsi="Arial" w:cs="Arial"/>
        </w:rPr>
      </w:pPr>
      <w:r w:rsidRPr="009539FF">
        <w:rPr>
          <w:rFonts w:ascii="Arial" w:hAnsi="Arial" w:cs="Arial"/>
        </w:rPr>
        <w:t>Que, de conformidad con el artículo 2, fracción XXI de la Ley General de Responsabilidades Administrativas, los órganos internos de control son 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servidores públicos.</w:t>
      </w:r>
    </w:p>
    <w:p w:rsidR="007606A5" w:rsidRPr="009539FF" w:rsidRDefault="007606A5" w:rsidP="007606A5">
      <w:pPr>
        <w:rPr>
          <w:rFonts w:ascii="Arial" w:hAnsi="Arial" w:cs="Arial"/>
        </w:rPr>
      </w:pPr>
      <w:r w:rsidRPr="009539FF">
        <w:rPr>
          <w:rFonts w:ascii="Arial" w:hAnsi="Arial" w:cs="Arial"/>
        </w:rPr>
        <w:t>En ese contexto, los artículos 377 y 378, numeral 3 de la Ley Electoral, refieren que la Contraloría General es el órgano de control interno del Instituto, que tiene a su cargo, entre otras actividades, la fiscalización de todos los ingresos y egresos del propio Instituto; contando con la estructura orgánica, personal y recursos que apruebe el Consejo Estatal, a propuesta de su titular.</w:t>
      </w:r>
    </w:p>
    <w:p w:rsidR="007606A5" w:rsidRPr="009539FF" w:rsidRDefault="007606A5" w:rsidP="007606A5">
      <w:pPr>
        <w:pStyle w:val="Ttulo2"/>
        <w:rPr>
          <w:rFonts w:ascii="Arial" w:hAnsi="Arial" w:cs="Arial"/>
          <w:sz w:val="23"/>
        </w:rPr>
      </w:pPr>
      <w:r w:rsidRPr="009539FF">
        <w:rPr>
          <w:rFonts w:ascii="Arial" w:hAnsi="Arial" w:cs="Arial"/>
          <w:sz w:val="23"/>
        </w:rPr>
        <w:t>Facultades de la Contraloría General</w:t>
      </w:r>
    </w:p>
    <w:p w:rsidR="007606A5" w:rsidRPr="009539FF" w:rsidRDefault="007606A5" w:rsidP="007606A5">
      <w:pPr>
        <w:rPr>
          <w:rFonts w:ascii="Arial" w:hAnsi="Arial" w:cs="Arial"/>
        </w:rPr>
      </w:pPr>
      <w:r w:rsidRPr="009539FF">
        <w:rPr>
          <w:rFonts w:ascii="Arial" w:hAnsi="Arial" w:cs="Arial"/>
        </w:rPr>
        <w:t>Que, el artículo 381 numeral 1 de la Ley Electoral establece que la Contraloría General tendrá las siguientes facultades:</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Fijar los criterios para la realización de las auditorías, procedimientos, métodos y sistemas necesarios para la revisión y fiscalización de los recursos a cargo de las áreas y órganos del Instituto;</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Evaluar los informes de avance de la gestión financiera respecto de los programas autorizados y los relativos a procesos concluidos;</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Evaluar el cumplimiento de los objetivos y metas fijadas en los programas de naturaleza administrativa contenidos en el presupuesto de egresos del Instituto Estatal;</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Verificar que las diversas áreas administrativas del Instituto Estatal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Revisar que las operaciones presupuestales que realice el Instituto Estatal se hagan con apego a las disposiciones legales y administrativas aplicables a estas materias;</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Verificar las obras, bienes adquiridos o arrendados y servicios contratados, para comprobar que las inversiones y gastos autorizados se han aplicado, legal y eficientemente, al logro de los objetivos y metas de los programas aprobados;</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Requerir a terceros que hubieran contratado bienes o servicios con el Instituto la información relacionada con la documentación justificativa y comprobatoria respectiva, a efecto de realizar las compulsas que correspondan;</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Solicitar y obtener la información necesaria para el cumplimiento de sus funciones. Por lo que hace a la información relativa a las operaciones de cualquier tipo proporcionada por las instituciones de crédito, les será aplicable a todos los servidores públicos de la propia Contraloría General, así como a los profesionales contratados para la práctica de auditorías, la obligación de guardar la reserva a que aluden las disposiciones normativas en materia de transparencia y acceso a la información pública;</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Emitir los lineamientos, instruir, desahogar y resolver los procedimientos administrativos respecto de las quejas que se presenten en contra de los servidores públicos del Instituto que se encuentren en el supuesto del numeral 3 del artículo 368 de la Ley Electoral, y llevar el registro de los servidores públicos sancionados;</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Investigar, en el ámbito de su competencia, los actos u omisiones que impliquen alguna irregularidad o conducta ilícita en el ingreso, egreso, manejo, custodia y aplicación de fondos y recursos del Instituto;</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Recibir denuncias o quejas directamente relacionadas con el uso y disposición de los ingresos y recursos del Instituto por parte de los servidores públicos del mismo y desahogar los procedimientos a que haya lugar;</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Efectuar visitas a las sedes físicas de las áreas y órganos del Instituto para solicitar la exhibición de los libros y papeles indispensables para la realización de sus investigaciones, sujetándose a las formalidades respectivas;</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Establecer los mecanismos de orientación y cursos de capacitación que resulten necesarios para que los servidores públicos del Instituto cumplan adecuadamente con sus responsabilidades administrativas;</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Formular pliegos de observaciones en materia administrativa;</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Determinar los daños y perjuicios que afecten al Instituto en su patrimonio y fincar directamente a los responsables las indemnizaciones y sanciones pecuniarias correspondientes;</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Fincar las responsabilidades e imponer las sanciones en términos de los lineamientos respectivos;</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Presentar a la aprobación del Consejo Estatal sus programas anuales de trabajo;</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Presentar al Consejo Estatal los informes previo y anual de resultados de su gestión, y acudir ante el mismo cuando así lo requiera la Consejera o Consejero Presidente;</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Participar, a través de su titular, con voz, pero sin voto, en las sesiones de la Junta Ejecutiva del Instituto, cuando por motivo del ejercicio de sus facultades así lo considere necesario la Consejera o Consejero Presidente;</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Recibir y resguardar las declaraciones patrimoniales que deban presentar los servidores públicos del Instituto, a partir del nivel de jefe de departamento, conforme a los formatos y procedimientos que establezca la propia Contraloría General. Serán aplicables en lo conducente las normas establecidas en la ley de la materia;</w:t>
      </w:r>
    </w:p>
    <w:p w:rsidR="007606A5" w:rsidRPr="009539FF" w:rsidRDefault="007606A5" w:rsidP="007606A5">
      <w:pPr>
        <w:pStyle w:val="Prrafodelista"/>
        <w:numPr>
          <w:ilvl w:val="0"/>
          <w:numId w:val="2"/>
        </w:numPr>
        <w:ind w:left="720"/>
        <w:contextualSpacing w:val="0"/>
        <w:rPr>
          <w:rFonts w:ascii="Arial" w:hAnsi="Arial" w:cs="Arial"/>
        </w:rPr>
      </w:pPr>
      <w:r w:rsidRPr="009539FF">
        <w:rPr>
          <w:rFonts w:ascii="Arial" w:hAnsi="Arial" w:cs="Arial"/>
        </w:rPr>
        <w:t>Intervenir en los procesos de entrega-recepción por inicio o conclusión de encargo de los servidores públicos que corresponda.</w:t>
      </w:r>
    </w:p>
    <w:p w:rsidR="007562A5" w:rsidRPr="009539FF" w:rsidRDefault="007562A5" w:rsidP="00A138BD">
      <w:pPr>
        <w:pStyle w:val="Ttulo2"/>
        <w:rPr>
          <w:rFonts w:ascii="Arial" w:hAnsi="Arial" w:cs="Arial"/>
          <w:sz w:val="23"/>
        </w:rPr>
      </w:pPr>
      <w:r w:rsidRPr="009539FF">
        <w:rPr>
          <w:rFonts w:ascii="Arial" w:hAnsi="Arial" w:cs="Arial"/>
          <w:sz w:val="23"/>
        </w:rPr>
        <w:t>Reglamento Interior</w:t>
      </w:r>
    </w:p>
    <w:p w:rsidR="00A138BD" w:rsidRPr="009539FF" w:rsidRDefault="00A138BD" w:rsidP="00A138BD">
      <w:pPr>
        <w:rPr>
          <w:rFonts w:ascii="Arial" w:hAnsi="Arial" w:cs="Arial"/>
        </w:rPr>
      </w:pPr>
      <w:r w:rsidRPr="009539FF">
        <w:rPr>
          <w:rFonts w:ascii="Arial" w:hAnsi="Arial" w:cs="Arial"/>
        </w:rPr>
        <w:t>Que, conforme a las consideraciones anteriores, la Contraloría General de este Instituto, con base en su autonomía técnica y de gestión, entendida como la capacidad para regir su actuación bajo las políticas permanentes de especialización técnica, profesionalización y rendición de cuentas, propuso a este Consejo Estatal la implementación de un Reglamento Interno que regule la actuación propia del órgano de control.</w:t>
      </w:r>
    </w:p>
    <w:p w:rsidR="007562A5" w:rsidRPr="009539FF" w:rsidRDefault="00A138BD" w:rsidP="00A138BD">
      <w:pPr>
        <w:rPr>
          <w:rFonts w:ascii="Arial" w:hAnsi="Arial" w:cs="Arial"/>
        </w:rPr>
      </w:pPr>
      <w:r w:rsidRPr="009539FF">
        <w:rPr>
          <w:rFonts w:ascii="Arial" w:hAnsi="Arial" w:cs="Arial"/>
        </w:rPr>
        <w:t>El Reglamento propuesto contiene las directrices para la administración, manejo, custodia, disposición y aplicación de los recursos humanos, materiales y financieros asignados a la Contraloría General para el logro de sus fines y objetivos, bajo criterios de independencia, eficacia, honradez y transparencia sin injerencia de ningún otro órgano.</w:t>
      </w:r>
    </w:p>
    <w:p w:rsidR="00A138BD" w:rsidRPr="009539FF" w:rsidRDefault="00A138BD" w:rsidP="00A138BD">
      <w:pPr>
        <w:rPr>
          <w:rFonts w:ascii="Arial" w:hAnsi="Arial" w:cs="Arial"/>
        </w:rPr>
      </w:pPr>
      <w:r w:rsidRPr="009539FF">
        <w:rPr>
          <w:rFonts w:ascii="Arial" w:hAnsi="Arial" w:cs="Arial"/>
        </w:rPr>
        <w:t>Del mismo modo, conforme a las atribuciones que le confiere</w:t>
      </w:r>
      <w:r w:rsidR="00784B79" w:rsidRPr="009539FF">
        <w:rPr>
          <w:rFonts w:ascii="Arial" w:hAnsi="Arial" w:cs="Arial"/>
        </w:rPr>
        <w:t>n</w:t>
      </w:r>
      <w:r w:rsidRPr="009539FF">
        <w:rPr>
          <w:rFonts w:ascii="Arial" w:hAnsi="Arial" w:cs="Arial"/>
        </w:rPr>
        <w:t xml:space="preserve"> </w:t>
      </w:r>
      <w:r w:rsidR="00784B79" w:rsidRPr="009539FF">
        <w:rPr>
          <w:rFonts w:ascii="Arial" w:hAnsi="Arial" w:cs="Arial"/>
        </w:rPr>
        <w:t xml:space="preserve">los </w:t>
      </w:r>
      <w:r w:rsidRPr="009539FF">
        <w:rPr>
          <w:rFonts w:ascii="Arial" w:hAnsi="Arial" w:cs="Arial"/>
        </w:rPr>
        <w:t>artículo</w:t>
      </w:r>
      <w:r w:rsidR="00784B79" w:rsidRPr="009539FF">
        <w:rPr>
          <w:rFonts w:ascii="Arial" w:hAnsi="Arial" w:cs="Arial"/>
        </w:rPr>
        <w:t>s</w:t>
      </w:r>
      <w:r w:rsidRPr="009539FF">
        <w:rPr>
          <w:rFonts w:ascii="Arial" w:hAnsi="Arial" w:cs="Arial"/>
        </w:rPr>
        <w:t xml:space="preserve"> 377 numeral 3 </w:t>
      </w:r>
      <w:r w:rsidR="00784B79" w:rsidRPr="009539FF">
        <w:rPr>
          <w:rFonts w:ascii="Arial" w:hAnsi="Arial" w:cs="Arial"/>
        </w:rPr>
        <w:t xml:space="preserve">y 378 numeral 3 </w:t>
      </w:r>
      <w:r w:rsidRPr="009539FF">
        <w:rPr>
          <w:rFonts w:ascii="Arial" w:hAnsi="Arial" w:cs="Arial"/>
        </w:rPr>
        <w:t>de la Ley Electoral, la Contraloría General propuso el cambio de denominación de las siguientes áreas: Coordinación de Responsabilidades y Situación Patrimonial a Coordinación de Enlace y Situación Patrimonial; y, Coordinación de Control y Evaluación a Coordinación de Control Interno y Evaluación, modificaciones que resultan acordes a los fines y funciones de cada una de éstas.</w:t>
      </w:r>
    </w:p>
    <w:p w:rsidR="007606A5" w:rsidRDefault="007606A5" w:rsidP="007606A5">
      <w:pPr>
        <w:rPr>
          <w:rFonts w:ascii="Arial" w:hAnsi="Arial" w:cs="Arial"/>
        </w:rPr>
      </w:pPr>
      <w:r w:rsidRPr="009539FF">
        <w:rPr>
          <w:rFonts w:ascii="Arial" w:hAnsi="Arial" w:cs="Arial"/>
        </w:rPr>
        <w:t>Sobre la base de las consideraciones señaladas, este Consejo Estatal emite el siguiente:</w:t>
      </w:r>
    </w:p>
    <w:p w:rsidR="009539FF" w:rsidRPr="009539FF" w:rsidRDefault="009539FF" w:rsidP="007606A5">
      <w:pPr>
        <w:rPr>
          <w:rFonts w:ascii="Arial" w:hAnsi="Arial" w:cs="Arial"/>
        </w:rPr>
      </w:pPr>
    </w:p>
    <w:p w:rsidR="007606A5" w:rsidRPr="009539FF" w:rsidRDefault="007606A5" w:rsidP="007606A5">
      <w:pPr>
        <w:pStyle w:val="Ttulo1"/>
        <w:rPr>
          <w:rFonts w:ascii="Arial" w:hAnsi="Arial" w:cs="Arial"/>
          <w:sz w:val="24"/>
          <w:szCs w:val="24"/>
        </w:rPr>
      </w:pPr>
      <w:r w:rsidRPr="009539FF">
        <w:rPr>
          <w:rFonts w:ascii="Arial" w:hAnsi="Arial" w:cs="Arial"/>
          <w:sz w:val="24"/>
          <w:szCs w:val="24"/>
        </w:rPr>
        <w:t>Acuerdo</w:t>
      </w:r>
    </w:p>
    <w:p w:rsidR="007606A5" w:rsidRPr="009539FF" w:rsidRDefault="007606A5" w:rsidP="007606A5">
      <w:pPr>
        <w:rPr>
          <w:rFonts w:ascii="Arial" w:hAnsi="Arial" w:cs="Arial"/>
        </w:rPr>
      </w:pPr>
      <w:r w:rsidRPr="009539FF">
        <w:rPr>
          <w:rFonts w:ascii="Arial" w:hAnsi="Arial" w:cs="Arial"/>
          <w:b/>
        </w:rPr>
        <w:t>Primero.</w:t>
      </w:r>
      <w:r w:rsidRPr="009539FF">
        <w:rPr>
          <w:rFonts w:ascii="Arial" w:hAnsi="Arial" w:cs="Arial"/>
        </w:rPr>
        <w:t xml:space="preserve"> Se aprueba </w:t>
      </w:r>
      <w:r w:rsidR="00A138BD" w:rsidRPr="009539FF">
        <w:rPr>
          <w:rFonts w:ascii="Arial" w:hAnsi="Arial" w:cs="Arial"/>
        </w:rPr>
        <w:t xml:space="preserve">el Reglamento Interno de la Contraloría General del </w:t>
      </w:r>
      <w:r w:rsidRPr="009539FF">
        <w:rPr>
          <w:rFonts w:ascii="Arial" w:hAnsi="Arial" w:cs="Arial"/>
        </w:rPr>
        <w:t>Instituto Electoral y de Participación Ciudadana de Tabasco, anexo a este acuerdo.</w:t>
      </w:r>
    </w:p>
    <w:p w:rsidR="007606A5" w:rsidRPr="009539FF" w:rsidRDefault="007606A5" w:rsidP="007606A5">
      <w:pPr>
        <w:rPr>
          <w:rFonts w:ascii="Arial" w:hAnsi="Arial" w:cs="Arial"/>
        </w:rPr>
      </w:pPr>
      <w:r w:rsidRPr="009539FF">
        <w:rPr>
          <w:rFonts w:ascii="Arial" w:hAnsi="Arial" w:cs="Arial"/>
          <w:b/>
        </w:rPr>
        <w:t>Segundo.</w:t>
      </w:r>
      <w:r w:rsidRPr="009539FF">
        <w:rPr>
          <w:rFonts w:ascii="Arial" w:hAnsi="Arial" w:cs="Arial"/>
        </w:rPr>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7606A5" w:rsidRPr="009539FF" w:rsidRDefault="007606A5" w:rsidP="007606A5">
      <w:pPr>
        <w:rPr>
          <w:rFonts w:ascii="Arial" w:hAnsi="Arial" w:cs="Arial"/>
        </w:rPr>
      </w:pPr>
      <w:r w:rsidRPr="009539FF">
        <w:rPr>
          <w:rFonts w:ascii="Arial" w:hAnsi="Arial" w:cs="Arial"/>
          <w:b/>
        </w:rPr>
        <w:t>Tercero.</w:t>
      </w:r>
      <w:r w:rsidRPr="009539FF">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7606A5" w:rsidRPr="009539FF" w:rsidRDefault="007606A5" w:rsidP="007606A5">
      <w:pPr>
        <w:rPr>
          <w:rFonts w:ascii="Arial" w:hAnsi="Arial" w:cs="Arial"/>
        </w:rPr>
      </w:pPr>
      <w:r w:rsidRPr="009539FF">
        <w:rPr>
          <w:rFonts w:ascii="Arial" w:hAnsi="Arial" w:cs="Arial"/>
        </w:rPr>
        <w:t xml:space="preserve">El presente acuerdo fue </w:t>
      </w:r>
      <w:r w:rsidR="009539FF">
        <w:rPr>
          <w:rFonts w:ascii="Arial" w:hAnsi="Arial" w:cs="Arial"/>
        </w:rPr>
        <w:t>aprobado</w:t>
      </w:r>
      <w:r w:rsidRPr="009539FF">
        <w:rPr>
          <w:rFonts w:ascii="Arial" w:hAnsi="Arial" w:cs="Arial"/>
        </w:rPr>
        <w:t xml:space="preserve"> en sesión </w:t>
      </w:r>
      <w:r w:rsidR="009F153F">
        <w:rPr>
          <w:rFonts w:ascii="Arial" w:hAnsi="Arial" w:cs="Arial"/>
        </w:rPr>
        <w:t>Ordinaria</w:t>
      </w:r>
      <w:r w:rsidR="009F153F" w:rsidRPr="009539FF">
        <w:rPr>
          <w:rFonts w:ascii="Arial" w:hAnsi="Arial" w:cs="Arial"/>
        </w:rPr>
        <w:t xml:space="preserve"> </w:t>
      </w:r>
      <w:r w:rsidRPr="009539FF">
        <w:rPr>
          <w:rFonts w:ascii="Arial" w:hAnsi="Arial" w:cs="Arial"/>
        </w:rPr>
        <w:t>efectuada el</w:t>
      </w:r>
      <w:r w:rsidR="009539FF">
        <w:rPr>
          <w:rFonts w:ascii="Arial" w:hAnsi="Arial" w:cs="Arial"/>
        </w:rPr>
        <w:t xml:space="preserve"> veintisiete</w:t>
      </w:r>
      <w:r w:rsidRPr="009539FF">
        <w:rPr>
          <w:rFonts w:ascii="Arial" w:hAnsi="Arial" w:cs="Arial"/>
        </w:rPr>
        <w:t xml:space="preserve"> de </w:t>
      </w:r>
      <w:r w:rsidR="009539FF">
        <w:rPr>
          <w:rFonts w:ascii="Arial" w:hAnsi="Arial" w:cs="Arial"/>
        </w:rPr>
        <w:t>junio</w:t>
      </w:r>
      <w:r w:rsidRPr="009539FF">
        <w:rPr>
          <w:rFonts w:ascii="Arial" w:hAnsi="Arial" w:cs="Arial"/>
        </w:rPr>
        <w:t xml:space="preserve"> del año dos </w:t>
      </w:r>
      <w:r w:rsidR="009539FF">
        <w:rPr>
          <w:rFonts w:ascii="Arial" w:hAnsi="Arial" w:cs="Arial"/>
        </w:rPr>
        <w:t>mil veinticuatro, por votación unánime</w:t>
      </w:r>
      <w:r w:rsidRPr="009539FF">
        <w:rPr>
          <w:rFonts w:ascii="Arial" w:hAnsi="Arial" w:cs="Arial"/>
        </w:rPr>
        <w:t xml:space="preserve"> de las y los Consejeros Electorales del Consejo Estatal del Instituto Electoral y de Participación Ciudadana de Tabasco: Dra. </w:t>
      </w:r>
      <w:proofErr w:type="spellStart"/>
      <w:r w:rsidRPr="009539FF">
        <w:rPr>
          <w:rFonts w:ascii="Arial" w:hAnsi="Arial" w:cs="Arial"/>
        </w:rPr>
        <w:t>Rosselvy</w:t>
      </w:r>
      <w:proofErr w:type="spellEnd"/>
      <w:r w:rsidRPr="009539FF">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AD1BE9" w:rsidRDefault="00AD1BE9" w:rsidP="007606A5">
      <w:pPr>
        <w:rPr>
          <w:rFonts w:ascii="Arial" w:hAnsi="Arial" w:cs="Arial"/>
        </w:rPr>
      </w:pPr>
    </w:p>
    <w:p w:rsidR="009539FF" w:rsidRPr="009539FF" w:rsidRDefault="009539FF" w:rsidP="007606A5">
      <w:pPr>
        <w:rPr>
          <w:rFonts w:ascii="Arial" w:hAnsi="Arial" w:cs="Arial"/>
        </w:rPr>
      </w:pPr>
    </w:p>
    <w:p w:rsidR="00AD1BE9" w:rsidRPr="009539FF" w:rsidRDefault="00AD1BE9" w:rsidP="007606A5">
      <w:pPr>
        <w:rPr>
          <w:rFonts w:ascii="Arial" w:hAnsi="Arial" w:cs="Arial"/>
        </w:rPr>
      </w:pPr>
    </w:p>
    <w:tbl>
      <w:tblPr>
        <w:tblStyle w:val="Tablaconcuadrcula"/>
        <w:tblW w:w="9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297"/>
        <w:gridCol w:w="4523"/>
      </w:tblGrid>
      <w:tr w:rsidR="00AD1BE9" w:rsidRPr="009539FF" w:rsidTr="009539FF">
        <w:trPr>
          <w:trHeight w:val="1067"/>
        </w:trPr>
        <w:tc>
          <w:tcPr>
            <w:tcW w:w="4471" w:type="dxa"/>
          </w:tcPr>
          <w:p w:rsidR="00AD1BE9" w:rsidRPr="009539FF" w:rsidRDefault="00AD1BE9" w:rsidP="004C3C48">
            <w:pPr>
              <w:spacing w:before="0" w:after="0"/>
              <w:jc w:val="center"/>
              <w:rPr>
                <w:rFonts w:ascii="Arial" w:hAnsi="Arial" w:cs="Arial"/>
                <w:b/>
              </w:rPr>
            </w:pPr>
            <w:r w:rsidRPr="009539FF">
              <w:rPr>
                <w:rFonts w:ascii="Arial" w:hAnsi="Arial" w:cs="Arial"/>
                <w:b/>
              </w:rPr>
              <w:t>MTRA. ELIZABETH NAVA GUTIÉRREZ</w:t>
            </w:r>
          </w:p>
          <w:p w:rsidR="00AD1BE9" w:rsidRPr="009539FF" w:rsidRDefault="00AD1BE9" w:rsidP="004C3C48">
            <w:pPr>
              <w:spacing w:before="0" w:after="0"/>
              <w:jc w:val="center"/>
              <w:rPr>
                <w:rFonts w:ascii="Arial" w:hAnsi="Arial" w:cs="Arial"/>
                <w:b/>
              </w:rPr>
            </w:pPr>
            <w:r w:rsidRPr="009539FF">
              <w:rPr>
                <w:rFonts w:ascii="Arial" w:hAnsi="Arial" w:cs="Arial"/>
                <w:b/>
              </w:rPr>
              <w:t>CONSEJERA PRESIDENTA</w:t>
            </w:r>
          </w:p>
        </w:tc>
        <w:tc>
          <w:tcPr>
            <w:tcW w:w="297" w:type="dxa"/>
          </w:tcPr>
          <w:p w:rsidR="00AD1BE9" w:rsidRPr="009539FF" w:rsidRDefault="00AD1BE9" w:rsidP="004C3C48">
            <w:pPr>
              <w:spacing w:before="0" w:after="0"/>
              <w:rPr>
                <w:rFonts w:ascii="Arial" w:hAnsi="Arial" w:cs="Arial"/>
                <w:b/>
              </w:rPr>
            </w:pPr>
          </w:p>
        </w:tc>
        <w:tc>
          <w:tcPr>
            <w:tcW w:w="4523" w:type="dxa"/>
          </w:tcPr>
          <w:p w:rsidR="00AD1BE9" w:rsidRPr="009539FF" w:rsidRDefault="00AD1BE9" w:rsidP="004C3C48">
            <w:pPr>
              <w:spacing w:before="0" w:after="0"/>
              <w:jc w:val="center"/>
              <w:rPr>
                <w:rFonts w:ascii="Arial" w:hAnsi="Arial" w:cs="Arial"/>
                <w:b/>
              </w:rPr>
            </w:pPr>
            <w:r w:rsidRPr="009539FF">
              <w:rPr>
                <w:rFonts w:ascii="Arial" w:hAnsi="Arial" w:cs="Arial"/>
                <w:b/>
              </w:rPr>
              <w:t>LIC. JORGE ALBERTO ZAVALA FRÍAS</w:t>
            </w:r>
          </w:p>
          <w:p w:rsidR="00AD1BE9" w:rsidRPr="009539FF" w:rsidRDefault="00AD1BE9" w:rsidP="004C3C48">
            <w:pPr>
              <w:spacing w:before="0" w:after="0"/>
              <w:jc w:val="center"/>
              <w:rPr>
                <w:rFonts w:ascii="Arial" w:hAnsi="Arial" w:cs="Arial"/>
                <w:b/>
              </w:rPr>
            </w:pPr>
            <w:r w:rsidRPr="009539FF">
              <w:rPr>
                <w:rFonts w:ascii="Arial" w:hAnsi="Arial" w:cs="Arial"/>
                <w:b/>
              </w:rPr>
              <w:t>SECRETARIO DEL CONSEJO</w:t>
            </w:r>
          </w:p>
        </w:tc>
      </w:tr>
    </w:tbl>
    <w:p w:rsidR="00AD1BE9" w:rsidRPr="009539FF" w:rsidRDefault="00AD1BE9" w:rsidP="007606A5">
      <w:pPr>
        <w:rPr>
          <w:rFonts w:ascii="Arial" w:hAnsi="Arial" w:cs="Arial"/>
        </w:rPr>
      </w:pPr>
    </w:p>
    <w:sectPr w:rsidR="00AD1BE9" w:rsidRPr="009539FF" w:rsidSect="009539FF">
      <w:headerReference w:type="default" r:id="rId7"/>
      <w:footerReference w:type="default" r:id="rId8"/>
      <w:pgSz w:w="12240" w:h="15840" w:code="1"/>
      <w:pgMar w:top="2977" w:right="2034"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A9" w:rsidRDefault="00BB74A9" w:rsidP="00110AC1">
      <w:pPr>
        <w:spacing w:before="0" w:after="0" w:line="240" w:lineRule="auto"/>
      </w:pPr>
      <w:r>
        <w:separator/>
      </w:r>
    </w:p>
  </w:endnote>
  <w:endnote w:type="continuationSeparator" w:id="0">
    <w:p w:rsidR="00BB74A9" w:rsidRDefault="00BB74A9" w:rsidP="00110A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xo">
    <w:altName w:val="Times New Roman"/>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302185142"/>
      <w:docPartObj>
        <w:docPartGallery w:val="Page Numbers (Top of Page)"/>
        <w:docPartUnique/>
      </w:docPartObj>
    </w:sdtPr>
    <w:sdtEndPr/>
    <w:sdtContent>
      <w:p w:rsidR="00C052CB" w:rsidRPr="009F153F" w:rsidRDefault="00C052CB" w:rsidP="00C052CB">
        <w:pPr>
          <w:pStyle w:val="Piedepgina"/>
          <w:jc w:val="right"/>
          <w:rPr>
            <w:rFonts w:ascii="Arial" w:hAnsi="Arial" w:cs="Arial"/>
            <w:color w:val="993366"/>
            <w:sz w:val="20"/>
            <w:szCs w:val="20"/>
          </w:rPr>
        </w:pPr>
        <w:r w:rsidRPr="009F153F">
          <w:rPr>
            <w:rFonts w:ascii="Arial" w:hAnsi="Arial" w:cs="Arial"/>
            <w:b/>
            <w:bCs/>
            <w:color w:val="993366"/>
          </w:rPr>
          <w:t xml:space="preserve">Página </w:t>
        </w:r>
        <w:r w:rsidRPr="009F153F">
          <w:rPr>
            <w:rFonts w:ascii="Arial" w:hAnsi="Arial" w:cs="Arial"/>
            <w:b/>
            <w:bCs/>
            <w:color w:val="993366"/>
          </w:rPr>
          <w:fldChar w:fldCharType="begin"/>
        </w:r>
        <w:r w:rsidRPr="009F153F">
          <w:rPr>
            <w:rFonts w:ascii="Arial" w:hAnsi="Arial" w:cs="Arial"/>
            <w:b/>
            <w:bCs/>
            <w:color w:val="993366"/>
          </w:rPr>
          <w:instrText>PAGE</w:instrText>
        </w:r>
        <w:r w:rsidRPr="009F153F">
          <w:rPr>
            <w:rFonts w:ascii="Arial" w:hAnsi="Arial" w:cs="Arial"/>
            <w:b/>
            <w:bCs/>
            <w:color w:val="993366"/>
          </w:rPr>
          <w:fldChar w:fldCharType="separate"/>
        </w:r>
        <w:r w:rsidR="00C66F9E">
          <w:rPr>
            <w:rFonts w:ascii="Arial" w:hAnsi="Arial" w:cs="Arial"/>
            <w:b/>
            <w:bCs/>
            <w:noProof/>
            <w:color w:val="993366"/>
          </w:rPr>
          <w:t>8</w:t>
        </w:r>
        <w:r w:rsidRPr="009F153F">
          <w:rPr>
            <w:rFonts w:ascii="Arial" w:hAnsi="Arial" w:cs="Arial"/>
            <w:b/>
            <w:bCs/>
            <w:color w:val="993366"/>
          </w:rPr>
          <w:fldChar w:fldCharType="end"/>
        </w:r>
        <w:r w:rsidRPr="009F153F">
          <w:rPr>
            <w:rFonts w:ascii="Arial" w:hAnsi="Arial" w:cs="Arial"/>
            <w:b/>
            <w:bCs/>
            <w:color w:val="993366"/>
          </w:rPr>
          <w:t xml:space="preserve"> | </w:t>
        </w:r>
        <w:r w:rsidRPr="009F153F">
          <w:rPr>
            <w:rFonts w:ascii="Arial" w:hAnsi="Arial" w:cs="Arial"/>
            <w:b/>
            <w:bCs/>
            <w:color w:val="993366"/>
          </w:rPr>
          <w:fldChar w:fldCharType="begin"/>
        </w:r>
        <w:r w:rsidRPr="009F153F">
          <w:rPr>
            <w:rFonts w:ascii="Arial" w:hAnsi="Arial" w:cs="Arial"/>
            <w:b/>
            <w:bCs/>
            <w:color w:val="993366"/>
          </w:rPr>
          <w:instrText>NUMPAGES</w:instrText>
        </w:r>
        <w:r w:rsidRPr="009F153F">
          <w:rPr>
            <w:rFonts w:ascii="Arial" w:hAnsi="Arial" w:cs="Arial"/>
            <w:b/>
            <w:bCs/>
            <w:color w:val="993366"/>
          </w:rPr>
          <w:fldChar w:fldCharType="separate"/>
        </w:r>
        <w:r w:rsidR="00C66F9E">
          <w:rPr>
            <w:rFonts w:ascii="Arial" w:hAnsi="Arial" w:cs="Arial"/>
            <w:b/>
            <w:bCs/>
            <w:noProof/>
            <w:color w:val="993366"/>
          </w:rPr>
          <w:t>8</w:t>
        </w:r>
        <w:r w:rsidRPr="009F153F">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A9" w:rsidRDefault="00BB74A9" w:rsidP="00110AC1">
      <w:pPr>
        <w:spacing w:before="0" w:after="0" w:line="240" w:lineRule="auto"/>
      </w:pPr>
      <w:r>
        <w:separator/>
      </w:r>
    </w:p>
  </w:footnote>
  <w:footnote w:type="continuationSeparator" w:id="0">
    <w:p w:rsidR="00BB74A9" w:rsidRDefault="00BB74A9" w:rsidP="00110A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110AC1" w:rsidRPr="00063338" w:rsidTr="00C16644">
      <w:tc>
        <w:tcPr>
          <w:tcW w:w="1418" w:type="dxa"/>
        </w:tcPr>
        <w:p w:rsidR="00110AC1" w:rsidRPr="00063338" w:rsidRDefault="00110AC1" w:rsidP="00110AC1">
          <w:pPr>
            <w:pStyle w:val="Encabezado"/>
            <w:ind w:left="-170"/>
          </w:pPr>
          <w:r>
            <w:rPr>
              <w:b/>
              <w:noProof/>
              <w:sz w:val="32"/>
              <w:lang w:eastAsia="es-MX"/>
            </w:rPr>
            <w:drawing>
              <wp:inline distT="0" distB="0" distL="0" distR="0" wp14:anchorId="53BCF792" wp14:editId="13728E88">
                <wp:extent cx="1014331" cy="1199403"/>
                <wp:effectExtent l="0" t="0" r="0" b="1270"/>
                <wp:docPr id="39" name="Imagen 3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110AC1" w:rsidRPr="00FA6047" w:rsidRDefault="00110AC1" w:rsidP="00110AC1">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110AC1" w:rsidRPr="00063338" w:rsidRDefault="00110AC1" w:rsidP="00110AC1">
          <w:pPr>
            <w:pStyle w:val="Encabezado"/>
            <w:jc w:val="center"/>
          </w:pPr>
          <w:r w:rsidRPr="00FA6047">
            <w:rPr>
              <w:rFonts w:ascii="Arial" w:hAnsi="Arial" w:cs="Arial"/>
              <w:sz w:val="26"/>
              <w:szCs w:val="26"/>
            </w:rPr>
            <w:t>CONSEJO ESTATAL</w:t>
          </w:r>
        </w:p>
      </w:tc>
      <w:tc>
        <w:tcPr>
          <w:tcW w:w="1701" w:type="dxa"/>
        </w:tcPr>
        <w:p w:rsidR="00110AC1" w:rsidRPr="00063338" w:rsidRDefault="00110AC1" w:rsidP="00110AC1">
          <w:pPr>
            <w:pStyle w:val="Encabezado"/>
            <w:spacing w:before="480"/>
          </w:pPr>
          <w:r>
            <w:rPr>
              <w:noProof/>
              <w:lang w:eastAsia="es-MX"/>
            </w:rPr>
            <w:drawing>
              <wp:inline distT="0" distB="0" distL="0" distR="0" wp14:anchorId="2CD2BFDD" wp14:editId="2C174D90">
                <wp:extent cx="921600" cy="756000"/>
                <wp:effectExtent l="0" t="0" r="0" b="6350"/>
                <wp:docPr id="40" name="Imagen 40"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110AC1" w:rsidRPr="009539FF" w:rsidRDefault="009539FF" w:rsidP="009539FF">
    <w:pPr>
      <w:pStyle w:val="Encabezado"/>
      <w:jc w:val="right"/>
      <w:rPr>
        <w:rFonts w:ascii="Arial" w:hAnsi="Arial" w:cs="Arial"/>
        <w:b/>
        <w:sz w:val="24"/>
        <w:szCs w:val="24"/>
      </w:rPr>
    </w:pPr>
    <w:r w:rsidRPr="009539FF">
      <w:rPr>
        <w:rFonts w:ascii="Arial" w:hAnsi="Arial" w:cs="Arial"/>
        <w:b/>
        <w:sz w:val="24"/>
        <w:szCs w:val="24"/>
      </w:rPr>
      <w:t>CE/2024/084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07F77"/>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180581F"/>
    <w:multiLevelType w:val="hybridMultilevel"/>
    <w:tmpl w:val="AA2E3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572887"/>
    <w:multiLevelType w:val="hybridMultilevel"/>
    <w:tmpl w:val="7A6042C2"/>
    <w:lvl w:ilvl="0" w:tplc="C6040C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A5"/>
    <w:rsid w:val="00005382"/>
    <w:rsid w:val="0007076C"/>
    <w:rsid w:val="00110AC1"/>
    <w:rsid w:val="00126430"/>
    <w:rsid w:val="00162989"/>
    <w:rsid w:val="00180DA4"/>
    <w:rsid w:val="001971CB"/>
    <w:rsid w:val="00437897"/>
    <w:rsid w:val="00450176"/>
    <w:rsid w:val="00461F11"/>
    <w:rsid w:val="004731A4"/>
    <w:rsid w:val="004C2DA1"/>
    <w:rsid w:val="004D223B"/>
    <w:rsid w:val="00516D53"/>
    <w:rsid w:val="00545540"/>
    <w:rsid w:val="00553029"/>
    <w:rsid w:val="00636B4D"/>
    <w:rsid w:val="006D5114"/>
    <w:rsid w:val="007562A5"/>
    <w:rsid w:val="007606A5"/>
    <w:rsid w:val="00784B79"/>
    <w:rsid w:val="007A53FF"/>
    <w:rsid w:val="009539FF"/>
    <w:rsid w:val="00991CF7"/>
    <w:rsid w:val="009F153F"/>
    <w:rsid w:val="00A138BD"/>
    <w:rsid w:val="00A82EAF"/>
    <w:rsid w:val="00AD1BE9"/>
    <w:rsid w:val="00AF2D5C"/>
    <w:rsid w:val="00B11484"/>
    <w:rsid w:val="00BB74A9"/>
    <w:rsid w:val="00C052CB"/>
    <w:rsid w:val="00C570E6"/>
    <w:rsid w:val="00C66F9E"/>
    <w:rsid w:val="00C912A9"/>
    <w:rsid w:val="00CF77A2"/>
    <w:rsid w:val="00D64869"/>
    <w:rsid w:val="00DF44E5"/>
    <w:rsid w:val="00EE7A4D"/>
    <w:rsid w:val="00F359E7"/>
    <w:rsid w:val="00FD4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A552"/>
  <w15:chartTrackingRefBased/>
  <w15:docId w15:val="{6ED816AD-BC42-4ABC-93F0-10AF0110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6A5"/>
    <w:pPr>
      <w:spacing w:before="240" w:after="240" w:line="276" w:lineRule="auto"/>
      <w:jc w:val="both"/>
    </w:pPr>
    <w:rPr>
      <w:rFonts w:ascii="Exo" w:hAnsi="Exo"/>
      <w:sz w:val="23"/>
      <w:szCs w:val="23"/>
    </w:rPr>
  </w:style>
  <w:style w:type="paragraph" w:styleId="Ttulo1">
    <w:name w:val="heading 1"/>
    <w:basedOn w:val="Normal"/>
    <w:next w:val="Normal"/>
    <w:link w:val="Ttulo1Car"/>
    <w:uiPriority w:val="9"/>
    <w:qFormat/>
    <w:rsid w:val="007606A5"/>
    <w:pPr>
      <w:numPr>
        <w:numId w:val="3"/>
      </w:numPr>
      <w:spacing w:before="480" w:after="360"/>
      <w:jc w:val="center"/>
      <w:outlineLvl w:val="0"/>
    </w:pPr>
    <w:rPr>
      <w:b/>
      <w:sz w:val="28"/>
    </w:rPr>
  </w:style>
  <w:style w:type="paragraph" w:styleId="Ttulo2">
    <w:name w:val="heading 2"/>
    <w:basedOn w:val="Normal"/>
    <w:next w:val="Normal"/>
    <w:link w:val="Ttulo2Car"/>
    <w:uiPriority w:val="9"/>
    <w:unhideWhenUsed/>
    <w:qFormat/>
    <w:rsid w:val="007606A5"/>
    <w:pPr>
      <w:numPr>
        <w:ilvl w:val="1"/>
        <w:numId w:val="3"/>
      </w:numPr>
      <w:spacing w:before="480"/>
      <w:outlineLvl w:val="1"/>
    </w:pPr>
    <w:rPr>
      <w:b/>
      <w:sz w:val="24"/>
    </w:rPr>
  </w:style>
  <w:style w:type="paragraph" w:styleId="Ttulo3">
    <w:name w:val="heading 3"/>
    <w:basedOn w:val="Normal"/>
    <w:next w:val="Normal"/>
    <w:link w:val="Ttulo3Car"/>
    <w:uiPriority w:val="9"/>
    <w:semiHidden/>
    <w:unhideWhenUsed/>
    <w:qFormat/>
    <w:rsid w:val="0054554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4554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4554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4554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54554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54554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4554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06A5"/>
    <w:rPr>
      <w:rFonts w:ascii="Exo" w:hAnsi="Exo"/>
      <w:b/>
      <w:sz w:val="28"/>
      <w:szCs w:val="23"/>
    </w:rPr>
  </w:style>
  <w:style w:type="character" w:customStyle="1" w:styleId="Ttulo2Car">
    <w:name w:val="Título 2 Car"/>
    <w:basedOn w:val="Fuentedeprrafopredeter"/>
    <w:link w:val="Ttulo2"/>
    <w:uiPriority w:val="9"/>
    <w:rsid w:val="007606A5"/>
    <w:rPr>
      <w:rFonts w:ascii="Exo" w:hAnsi="Exo"/>
      <w:b/>
      <w:sz w:val="24"/>
      <w:szCs w:val="23"/>
    </w:rPr>
  </w:style>
  <w:style w:type="paragraph" w:styleId="Prrafodelista">
    <w:name w:val="List Paragraph"/>
    <w:basedOn w:val="Normal"/>
    <w:uiPriority w:val="34"/>
    <w:qFormat/>
    <w:rsid w:val="007606A5"/>
    <w:pPr>
      <w:ind w:left="720"/>
      <w:contextualSpacing/>
    </w:pPr>
  </w:style>
  <w:style w:type="paragraph" w:styleId="Encabezado">
    <w:name w:val="header"/>
    <w:basedOn w:val="Normal"/>
    <w:link w:val="EncabezadoCar"/>
    <w:uiPriority w:val="99"/>
    <w:unhideWhenUsed/>
    <w:rsid w:val="00110AC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10AC1"/>
    <w:rPr>
      <w:rFonts w:ascii="Exo" w:hAnsi="Exo"/>
      <w:sz w:val="23"/>
      <w:szCs w:val="23"/>
    </w:rPr>
  </w:style>
  <w:style w:type="paragraph" w:styleId="Piedepgina">
    <w:name w:val="footer"/>
    <w:basedOn w:val="Normal"/>
    <w:link w:val="PiedepginaCar"/>
    <w:uiPriority w:val="99"/>
    <w:unhideWhenUsed/>
    <w:rsid w:val="00110AC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10AC1"/>
    <w:rPr>
      <w:rFonts w:ascii="Exo" w:hAnsi="Exo"/>
      <w:sz w:val="23"/>
      <w:szCs w:val="23"/>
    </w:rPr>
  </w:style>
  <w:style w:type="table" w:styleId="Tablaconcuadrcula">
    <w:name w:val="Table Grid"/>
    <w:basedOn w:val="Tablanormal"/>
    <w:uiPriority w:val="39"/>
    <w:rsid w:val="00110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4554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545540"/>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545540"/>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545540"/>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545540"/>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54554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45540"/>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C66F9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2105</Words>
  <Characters>11581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Coordinación Técnica</cp:lastModifiedBy>
  <cp:revision>32</cp:revision>
  <cp:lastPrinted>2024-06-27T21:37:00Z</cp:lastPrinted>
  <dcterms:created xsi:type="dcterms:W3CDTF">2024-04-19T01:27:00Z</dcterms:created>
  <dcterms:modified xsi:type="dcterms:W3CDTF">2024-06-27T21:38:00Z</dcterms:modified>
</cp:coreProperties>
</file>