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76C" w:rsidRPr="00FA3092" w:rsidRDefault="00FA3092" w:rsidP="007606A5">
      <w:pPr>
        <w:rPr>
          <w:rFonts w:ascii="Arial" w:hAnsi="Arial" w:cs="Arial"/>
          <w:b/>
          <w:sz w:val="24"/>
        </w:rPr>
      </w:pPr>
      <w:r w:rsidRPr="00FA3092">
        <w:rPr>
          <w:rFonts w:ascii="Arial" w:hAnsi="Arial" w:cs="Arial"/>
          <w:b/>
          <w:sz w:val="24"/>
        </w:rPr>
        <w:t>ACUERDO QUE EMITE EL CONSEJO ESTATAL DEL INSTITUTO ELECTORAL Y DE PARTICIPACIÓN CIUDADANA DE TABASCO, MEDIANTE EL CUAL APRUEBA EL CÓDIGO DE CONDUCTA PROPUESTO POR LA CONTRALORÍA GENERAL DEL PROPIO INSTITUTO</w:t>
      </w:r>
    </w:p>
    <w:p w:rsidR="007606A5" w:rsidRPr="00FA3092" w:rsidRDefault="007606A5" w:rsidP="007606A5">
      <w:pPr>
        <w:rPr>
          <w:rFonts w:ascii="Arial" w:hAnsi="Arial" w:cs="Arial"/>
        </w:rPr>
      </w:pPr>
      <w:r w:rsidRPr="00FA3092">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936"/>
        <w:gridCol w:w="4253"/>
      </w:tblGrid>
      <w:tr w:rsidR="00FD494C" w:rsidRPr="00FA3092" w:rsidTr="00C16644">
        <w:trPr>
          <w:trHeight w:val="624"/>
          <w:jc w:val="center"/>
        </w:trPr>
        <w:tc>
          <w:tcPr>
            <w:tcW w:w="2042" w:type="pct"/>
            <w:shd w:val="clear" w:color="auto" w:fill="auto"/>
            <w:vAlign w:val="center"/>
          </w:tcPr>
          <w:p w:rsidR="00FD494C" w:rsidRPr="00FA3092" w:rsidRDefault="00FD494C" w:rsidP="00C16644">
            <w:pPr>
              <w:widowControl w:val="0"/>
              <w:spacing w:before="40" w:after="40"/>
              <w:ind w:left="57"/>
              <w:jc w:val="right"/>
              <w:rPr>
                <w:rFonts w:ascii="Arial" w:hAnsi="Arial" w:cs="Arial"/>
                <w:b/>
                <w:sz w:val="20"/>
                <w:szCs w:val="20"/>
              </w:rPr>
            </w:pPr>
            <w:r w:rsidRPr="00FA3092">
              <w:rPr>
                <w:rFonts w:ascii="Arial" w:hAnsi="Arial" w:cs="Arial"/>
                <w:b/>
                <w:sz w:val="20"/>
                <w:szCs w:val="20"/>
              </w:rPr>
              <w:t>Consejo Estatal:</w:t>
            </w:r>
          </w:p>
        </w:tc>
        <w:tc>
          <w:tcPr>
            <w:tcW w:w="2958" w:type="pct"/>
            <w:shd w:val="clear" w:color="auto" w:fill="auto"/>
            <w:vAlign w:val="center"/>
          </w:tcPr>
          <w:p w:rsidR="00FD494C" w:rsidRPr="00FA3092" w:rsidRDefault="00FD494C" w:rsidP="00C16644">
            <w:pPr>
              <w:widowControl w:val="0"/>
              <w:spacing w:before="40" w:after="40"/>
              <w:ind w:left="57"/>
              <w:rPr>
                <w:rFonts w:ascii="Arial" w:hAnsi="Arial" w:cs="Arial"/>
                <w:sz w:val="20"/>
                <w:szCs w:val="20"/>
              </w:rPr>
            </w:pPr>
            <w:r w:rsidRPr="00FA3092">
              <w:rPr>
                <w:rFonts w:ascii="Arial" w:hAnsi="Arial" w:cs="Arial"/>
                <w:sz w:val="20"/>
                <w:szCs w:val="20"/>
              </w:rPr>
              <w:t>Consejo Estatal del Instituto Electoral y de Participación Ciudadana de Tabasco.</w:t>
            </w:r>
          </w:p>
        </w:tc>
      </w:tr>
      <w:tr w:rsidR="00FD494C" w:rsidRPr="00FA3092" w:rsidTr="00C16644">
        <w:trPr>
          <w:trHeight w:val="624"/>
          <w:jc w:val="center"/>
        </w:trPr>
        <w:tc>
          <w:tcPr>
            <w:tcW w:w="2042" w:type="pct"/>
            <w:shd w:val="clear" w:color="auto" w:fill="auto"/>
            <w:vAlign w:val="center"/>
          </w:tcPr>
          <w:p w:rsidR="00FD494C" w:rsidRPr="00FA3092" w:rsidRDefault="00FD494C" w:rsidP="00C16644">
            <w:pPr>
              <w:widowControl w:val="0"/>
              <w:spacing w:before="40" w:after="40"/>
              <w:ind w:left="57"/>
              <w:jc w:val="right"/>
              <w:rPr>
                <w:rFonts w:ascii="Arial" w:hAnsi="Arial" w:cs="Arial"/>
                <w:b/>
                <w:sz w:val="20"/>
                <w:szCs w:val="20"/>
              </w:rPr>
            </w:pPr>
            <w:r w:rsidRPr="00FA3092">
              <w:rPr>
                <w:rFonts w:ascii="Arial" w:hAnsi="Arial" w:cs="Arial"/>
                <w:b/>
                <w:sz w:val="20"/>
                <w:szCs w:val="20"/>
              </w:rPr>
              <w:t>Constitución Federal:</w:t>
            </w:r>
          </w:p>
        </w:tc>
        <w:tc>
          <w:tcPr>
            <w:tcW w:w="2958" w:type="pct"/>
            <w:shd w:val="clear" w:color="auto" w:fill="auto"/>
            <w:vAlign w:val="center"/>
          </w:tcPr>
          <w:p w:rsidR="00FD494C" w:rsidRPr="00FA3092" w:rsidRDefault="00FD494C" w:rsidP="00C16644">
            <w:pPr>
              <w:widowControl w:val="0"/>
              <w:spacing w:before="40" w:after="40"/>
              <w:ind w:left="57"/>
              <w:rPr>
                <w:rFonts w:ascii="Arial" w:hAnsi="Arial" w:cs="Arial"/>
                <w:sz w:val="20"/>
                <w:szCs w:val="20"/>
              </w:rPr>
            </w:pPr>
            <w:r w:rsidRPr="00FA3092">
              <w:rPr>
                <w:rFonts w:ascii="Arial" w:hAnsi="Arial" w:cs="Arial"/>
                <w:sz w:val="20"/>
                <w:szCs w:val="20"/>
              </w:rPr>
              <w:t>Constitución Política de los Estados Unidos Mexicanos.</w:t>
            </w:r>
          </w:p>
        </w:tc>
      </w:tr>
      <w:tr w:rsidR="00FD494C" w:rsidRPr="00FA3092" w:rsidTr="00C16644">
        <w:trPr>
          <w:trHeight w:val="624"/>
          <w:jc w:val="center"/>
        </w:trPr>
        <w:tc>
          <w:tcPr>
            <w:tcW w:w="2042" w:type="pct"/>
            <w:shd w:val="clear" w:color="auto" w:fill="auto"/>
            <w:vAlign w:val="center"/>
          </w:tcPr>
          <w:p w:rsidR="00FD494C" w:rsidRPr="00FA3092" w:rsidRDefault="00FD494C" w:rsidP="00C16644">
            <w:pPr>
              <w:widowControl w:val="0"/>
              <w:spacing w:before="40" w:after="40"/>
              <w:ind w:left="57"/>
              <w:jc w:val="right"/>
              <w:rPr>
                <w:rFonts w:ascii="Arial" w:hAnsi="Arial" w:cs="Arial"/>
                <w:b/>
                <w:sz w:val="20"/>
                <w:szCs w:val="20"/>
              </w:rPr>
            </w:pPr>
            <w:r w:rsidRPr="00FA3092">
              <w:rPr>
                <w:rFonts w:ascii="Arial" w:hAnsi="Arial" w:cs="Arial"/>
                <w:b/>
                <w:sz w:val="20"/>
                <w:szCs w:val="20"/>
              </w:rPr>
              <w:t>Constitución Local:</w:t>
            </w:r>
          </w:p>
        </w:tc>
        <w:tc>
          <w:tcPr>
            <w:tcW w:w="2958" w:type="pct"/>
            <w:shd w:val="clear" w:color="auto" w:fill="auto"/>
            <w:vAlign w:val="center"/>
          </w:tcPr>
          <w:p w:rsidR="00FD494C" w:rsidRPr="00FA3092" w:rsidRDefault="00FD494C" w:rsidP="00C16644">
            <w:pPr>
              <w:widowControl w:val="0"/>
              <w:spacing w:before="40" w:after="40"/>
              <w:ind w:left="57"/>
              <w:rPr>
                <w:rFonts w:ascii="Arial" w:hAnsi="Arial" w:cs="Arial"/>
                <w:sz w:val="20"/>
                <w:szCs w:val="20"/>
              </w:rPr>
            </w:pPr>
            <w:r w:rsidRPr="00FA3092">
              <w:rPr>
                <w:rFonts w:ascii="Arial" w:hAnsi="Arial" w:cs="Arial"/>
                <w:sz w:val="20"/>
                <w:szCs w:val="20"/>
              </w:rPr>
              <w:t>Constitución Política del Estado Libre y Soberano de Tabasco.</w:t>
            </w:r>
          </w:p>
        </w:tc>
      </w:tr>
      <w:tr w:rsidR="00FD494C" w:rsidRPr="00FA3092" w:rsidTr="00C16644">
        <w:trPr>
          <w:trHeight w:val="624"/>
          <w:jc w:val="center"/>
        </w:trPr>
        <w:tc>
          <w:tcPr>
            <w:tcW w:w="2042" w:type="pct"/>
            <w:shd w:val="clear" w:color="auto" w:fill="auto"/>
            <w:vAlign w:val="center"/>
          </w:tcPr>
          <w:p w:rsidR="00FD494C" w:rsidRPr="00FA3092" w:rsidRDefault="00FD494C" w:rsidP="00C16644">
            <w:pPr>
              <w:widowControl w:val="0"/>
              <w:spacing w:before="120" w:after="120"/>
              <w:jc w:val="right"/>
              <w:rPr>
                <w:rFonts w:ascii="Arial" w:hAnsi="Arial" w:cs="Arial"/>
                <w:b/>
                <w:sz w:val="20"/>
                <w:szCs w:val="20"/>
              </w:rPr>
            </w:pPr>
            <w:r w:rsidRPr="00FA3092">
              <w:rPr>
                <w:rFonts w:ascii="Arial" w:hAnsi="Arial" w:cs="Arial"/>
                <w:b/>
                <w:sz w:val="20"/>
                <w:szCs w:val="20"/>
              </w:rPr>
              <w:t>Contraloría General:</w:t>
            </w:r>
          </w:p>
        </w:tc>
        <w:tc>
          <w:tcPr>
            <w:tcW w:w="2958" w:type="pct"/>
            <w:shd w:val="clear" w:color="auto" w:fill="auto"/>
            <w:vAlign w:val="center"/>
          </w:tcPr>
          <w:p w:rsidR="00FD494C" w:rsidRPr="00FA3092" w:rsidRDefault="00FD494C" w:rsidP="00C16644">
            <w:pPr>
              <w:widowControl w:val="0"/>
              <w:spacing w:before="120" w:after="120"/>
              <w:rPr>
                <w:rFonts w:ascii="Arial" w:hAnsi="Arial" w:cs="Arial"/>
                <w:bCs/>
                <w:sz w:val="20"/>
                <w:szCs w:val="20"/>
              </w:rPr>
            </w:pPr>
            <w:r w:rsidRPr="00FA3092">
              <w:rPr>
                <w:rFonts w:ascii="Arial" w:hAnsi="Arial" w:cs="Arial"/>
                <w:bCs/>
                <w:sz w:val="20"/>
                <w:szCs w:val="20"/>
              </w:rPr>
              <w:t>Contraloría General del Instituto Electoral y de Participación Ciudadana de Tabasco.</w:t>
            </w:r>
          </w:p>
        </w:tc>
      </w:tr>
      <w:tr w:rsidR="00FD494C" w:rsidRPr="00FA3092" w:rsidTr="00C16644">
        <w:trPr>
          <w:trHeight w:val="624"/>
          <w:jc w:val="center"/>
        </w:trPr>
        <w:tc>
          <w:tcPr>
            <w:tcW w:w="2042" w:type="pct"/>
            <w:shd w:val="clear" w:color="auto" w:fill="auto"/>
            <w:vAlign w:val="center"/>
          </w:tcPr>
          <w:p w:rsidR="00FD494C" w:rsidRPr="00FA3092" w:rsidRDefault="00FD494C" w:rsidP="00C16644">
            <w:pPr>
              <w:widowControl w:val="0"/>
              <w:spacing w:before="40" w:after="40"/>
              <w:ind w:left="57"/>
              <w:jc w:val="right"/>
              <w:rPr>
                <w:rFonts w:ascii="Arial" w:hAnsi="Arial" w:cs="Arial"/>
                <w:b/>
                <w:sz w:val="20"/>
                <w:szCs w:val="20"/>
              </w:rPr>
            </w:pPr>
            <w:r w:rsidRPr="00FA3092">
              <w:rPr>
                <w:rFonts w:ascii="Arial" w:hAnsi="Arial" w:cs="Arial"/>
                <w:b/>
                <w:sz w:val="20"/>
                <w:szCs w:val="20"/>
              </w:rPr>
              <w:t>Instituto:</w:t>
            </w:r>
          </w:p>
        </w:tc>
        <w:tc>
          <w:tcPr>
            <w:tcW w:w="2958" w:type="pct"/>
            <w:shd w:val="clear" w:color="auto" w:fill="auto"/>
          </w:tcPr>
          <w:p w:rsidR="00FD494C" w:rsidRPr="00FA3092" w:rsidRDefault="00FD494C" w:rsidP="00C16644">
            <w:pPr>
              <w:widowControl w:val="0"/>
              <w:spacing w:before="40" w:after="40"/>
              <w:ind w:left="57"/>
              <w:rPr>
                <w:rFonts w:ascii="Arial" w:hAnsi="Arial" w:cs="Arial"/>
                <w:sz w:val="20"/>
                <w:szCs w:val="20"/>
              </w:rPr>
            </w:pPr>
            <w:r w:rsidRPr="00FA3092">
              <w:rPr>
                <w:rFonts w:ascii="Arial" w:hAnsi="Arial" w:cs="Arial"/>
                <w:sz w:val="20"/>
                <w:szCs w:val="20"/>
              </w:rPr>
              <w:t>Instituto Electoral y de Participación Ciudadana de Tabasco.</w:t>
            </w:r>
          </w:p>
        </w:tc>
      </w:tr>
      <w:tr w:rsidR="00FD494C" w:rsidRPr="00FA3092" w:rsidTr="00C16644">
        <w:trPr>
          <w:trHeight w:val="624"/>
          <w:jc w:val="center"/>
        </w:trPr>
        <w:tc>
          <w:tcPr>
            <w:tcW w:w="2042" w:type="pct"/>
            <w:shd w:val="clear" w:color="auto" w:fill="auto"/>
            <w:vAlign w:val="center"/>
          </w:tcPr>
          <w:p w:rsidR="00FD494C" w:rsidRPr="00FA3092" w:rsidRDefault="00FD494C" w:rsidP="00C16644">
            <w:pPr>
              <w:widowControl w:val="0"/>
              <w:spacing w:before="40" w:after="40"/>
              <w:ind w:left="57"/>
              <w:jc w:val="right"/>
              <w:rPr>
                <w:rFonts w:ascii="Arial" w:hAnsi="Arial" w:cs="Arial"/>
                <w:b/>
                <w:sz w:val="20"/>
                <w:szCs w:val="20"/>
              </w:rPr>
            </w:pPr>
            <w:r w:rsidRPr="00FA3092">
              <w:rPr>
                <w:rFonts w:ascii="Arial" w:hAnsi="Arial" w:cs="Arial"/>
                <w:b/>
                <w:sz w:val="20"/>
                <w:szCs w:val="20"/>
              </w:rPr>
              <w:t>Ley Electoral:</w:t>
            </w:r>
          </w:p>
        </w:tc>
        <w:tc>
          <w:tcPr>
            <w:tcW w:w="2958" w:type="pct"/>
            <w:shd w:val="clear" w:color="auto" w:fill="auto"/>
            <w:vAlign w:val="center"/>
          </w:tcPr>
          <w:p w:rsidR="00FD494C" w:rsidRPr="00FA3092" w:rsidRDefault="00FD494C" w:rsidP="00C16644">
            <w:pPr>
              <w:widowControl w:val="0"/>
              <w:spacing w:before="40" w:after="40"/>
              <w:ind w:left="57"/>
              <w:rPr>
                <w:rFonts w:ascii="Arial" w:hAnsi="Arial" w:cs="Arial"/>
                <w:sz w:val="20"/>
                <w:szCs w:val="20"/>
              </w:rPr>
            </w:pPr>
            <w:r w:rsidRPr="00FA3092">
              <w:rPr>
                <w:rFonts w:ascii="Arial" w:hAnsi="Arial" w:cs="Arial"/>
                <w:sz w:val="20"/>
                <w:szCs w:val="20"/>
              </w:rPr>
              <w:t>Ley Electoral y de Partidos Políticos del Estado de Tabasco.</w:t>
            </w:r>
          </w:p>
        </w:tc>
      </w:tr>
      <w:tr w:rsidR="003F0DF2" w:rsidRPr="00FA3092" w:rsidTr="00C16644">
        <w:trPr>
          <w:trHeight w:val="624"/>
          <w:jc w:val="center"/>
        </w:trPr>
        <w:tc>
          <w:tcPr>
            <w:tcW w:w="2042" w:type="pct"/>
            <w:shd w:val="clear" w:color="auto" w:fill="auto"/>
            <w:vAlign w:val="center"/>
          </w:tcPr>
          <w:p w:rsidR="003F0DF2" w:rsidRPr="00FA3092" w:rsidRDefault="003F0DF2" w:rsidP="00C16644">
            <w:pPr>
              <w:widowControl w:val="0"/>
              <w:spacing w:before="40" w:after="40"/>
              <w:ind w:left="57"/>
              <w:jc w:val="right"/>
              <w:rPr>
                <w:rFonts w:ascii="Arial" w:hAnsi="Arial" w:cs="Arial"/>
                <w:b/>
                <w:sz w:val="20"/>
                <w:szCs w:val="20"/>
              </w:rPr>
            </w:pPr>
            <w:r w:rsidRPr="00FA3092">
              <w:rPr>
                <w:rFonts w:ascii="Arial" w:hAnsi="Arial" w:cs="Arial"/>
                <w:b/>
                <w:sz w:val="20"/>
                <w:szCs w:val="20"/>
              </w:rPr>
              <w:t>Ley General:</w:t>
            </w:r>
          </w:p>
        </w:tc>
        <w:tc>
          <w:tcPr>
            <w:tcW w:w="2958" w:type="pct"/>
            <w:shd w:val="clear" w:color="auto" w:fill="auto"/>
            <w:vAlign w:val="center"/>
          </w:tcPr>
          <w:p w:rsidR="003F0DF2" w:rsidRPr="00FA3092" w:rsidRDefault="003F0DF2" w:rsidP="00C16644">
            <w:pPr>
              <w:widowControl w:val="0"/>
              <w:spacing w:before="40" w:after="40"/>
              <w:ind w:left="57"/>
              <w:rPr>
                <w:rFonts w:ascii="Arial" w:hAnsi="Arial" w:cs="Arial"/>
                <w:sz w:val="20"/>
                <w:szCs w:val="20"/>
              </w:rPr>
            </w:pPr>
            <w:r w:rsidRPr="00FA3092">
              <w:rPr>
                <w:rFonts w:ascii="Arial" w:hAnsi="Arial" w:cs="Arial"/>
                <w:sz w:val="20"/>
                <w:szCs w:val="20"/>
              </w:rPr>
              <w:t>Ley General de Responsabilidades Administrativas.</w:t>
            </w:r>
          </w:p>
        </w:tc>
      </w:tr>
      <w:tr w:rsidR="002067C2" w:rsidRPr="00FA3092" w:rsidTr="00C16644">
        <w:trPr>
          <w:trHeight w:val="624"/>
          <w:jc w:val="center"/>
        </w:trPr>
        <w:tc>
          <w:tcPr>
            <w:tcW w:w="2042" w:type="pct"/>
            <w:shd w:val="clear" w:color="auto" w:fill="auto"/>
            <w:vAlign w:val="center"/>
          </w:tcPr>
          <w:p w:rsidR="002067C2" w:rsidRPr="00FA3092" w:rsidRDefault="002067C2" w:rsidP="00C16644">
            <w:pPr>
              <w:widowControl w:val="0"/>
              <w:spacing w:before="40" w:after="40"/>
              <w:ind w:left="57"/>
              <w:jc w:val="right"/>
              <w:rPr>
                <w:rFonts w:ascii="Arial" w:hAnsi="Arial" w:cs="Arial"/>
                <w:b/>
                <w:sz w:val="20"/>
                <w:szCs w:val="20"/>
              </w:rPr>
            </w:pPr>
            <w:r w:rsidRPr="00FA3092">
              <w:rPr>
                <w:rFonts w:ascii="Arial" w:hAnsi="Arial" w:cs="Arial"/>
                <w:b/>
                <w:sz w:val="20"/>
                <w:szCs w:val="20"/>
              </w:rPr>
              <w:t>Ley Anticorrupción:</w:t>
            </w:r>
          </w:p>
        </w:tc>
        <w:tc>
          <w:tcPr>
            <w:tcW w:w="2958" w:type="pct"/>
            <w:shd w:val="clear" w:color="auto" w:fill="auto"/>
            <w:vAlign w:val="center"/>
          </w:tcPr>
          <w:p w:rsidR="002067C2" w:rsidRPr="00FA3092" w:rsidRDefault="002067C2" w:rsidP="00C16644">
            <w:pPr>
              <w:widowControl w:val="0"/>
              <w:spacing w:before="40" w:after="40"/>
              <w:ind w:left="57"/>
              <w:rPr>
                <w:rFonts w:ascii="Arial" w:hAnsi="Arial" w:cs="Arial"/>
                <w:sz w:val="20"/>
                <w:szCs w:val="20"/>
              </w:rPr>
            </w:pPr>
            <w:r w:rsidRPr="00FA3092">
              <w:rPr>
                <w:rFonts w:ascii="Arial" w:hAnsi="Arial" w:cs="Arial"/>
                <w:sz w:val="20"/>
                <w:szCs w:val="20"/>
              </w:rPr>
              <w:t>Ley del Sistema Anticorrupción del Estado de Tabasco.</w:t>
            </w:r>
          </w:p>
        </w:tc>
      </w:tr>
      <w:tr w:rsidR="00FD494C" w:rsidRPr="00FA3092" w:rsidTr="00C16644">
        <w:trPr>
          <w:trHeight w:val="624"/>
          <w:jc w:val="center"/>
        </w:trPr>
        <w:tc>
          <w:tcPr>
            <w:tcW w:w="2042" w:type="pct"/>
            <w:shd w:val="clear" w:color="auto" w:fill="auto"/>
            <w:vAlign w:val="center"/>
          </w:tcPr>
          <w:p w:rsidR="00FD494C" w:rsidRPr="00FA3092" w:rsidRDefault="00FD494C" w:rsidP="00C16644">
            <w:pPr>
              <w:widowControl w:val="0"/>
              <w:spacing w:before="40" w:after="40"/>
              <w:ind w:left="57"/>
              <w:jc w:val="right"/>
              <w:rPr>
                <w:rFonts w:ascii="Arial" w:hAnsi="Arial" w:cs="Arial"/>
                <w:b/>
                <w:sz w:val="20"/>
                <w:szCs w:val="20"/>
              </w:rPr>
            </w:pPr>
            <w:r w:rsidRPr="00FA3092">
              <w:rPr>
                <w:rFonts w:ascii="Arial" w:hAnsi="Arial" w:cs="Arial"/>
                <w:b/>
                <w:sz w:val="20"/>
                <w:szCs w:val="20"/>
              </w:rPr>
              <w:t>Secretaría Ejecutiva:</w:t>
            </w:r>
          </w:p>
        </w:tc>
        <w:tc>
          <w:tcPr>
            <w:tcW w:w="2958" w:type="pct"/>
            <w:shd w:val="clear" w:color="auto" w:fill="auto"/>
            <w:vAlign w:val="center"/>
          </w:tcPr>
          <w:p w:rsidR="00FD494C" w:rsidRPr="00FA3092" w:rsidRDefault="00FD494C" w:rsidP="00C16644">
            <w:pPr>
              <w:widowControl w:val="0"/>
              <w:spacing w:before="40" w:after="40"/>
              <w:ind w:left="57"/>
              <w:rPr>
                <w:rFonts w:ascii="Arial" w:hAnsi="Arial" w:cs="Arial"/>
                <w:sz w:val="20"/>
                <w:szCs w:val="20"/>
              </w:rPr>
            </w:pPr>
            <w:r w:rsidRPr="00FA3092">
              <w:rPr>
                <w:rFonts w:ascii="Arial" w:hAnsi="Arial" w:cs="Arial"/>
                <w:sz w:val="20"/>
                <w:szCs w:val="20"/>
              </w:rPr>
              <w:t>Secretaría Ejecutiva del Instituto Electoral y de Participación Ciudadana de Tabasco.</w:t>
            </w:r>
          </w:p>
        </w:tc>
      </w:tr>
    </w:tbl>
    <w:p w:rsidR="00450176" w:rsidRPr="00FA3092" w:rsidRDefault="00450176" w:rsidP="00450176">
      <w:pPr>
        <w:rPr>
          <w:rFonts w:ascii="Arial" w:hAnsi="Arial" w:cs="Arial"/>
        </w:rPr>
      </w:pPr>
    </w:p>
    <w:p w:rsidR="007606A5" w:rsidRPr="00FA3092" w:rsidRDefault="007606A5" w:rsidP="00545540">
      <w:pPr>
        <w:pStyle w:val="Ttulo1"/>
        <w:rPr>
          <w:rFonts w:ascii="Arial" w:hAnsi="Arial" w:cs="Arial"/>
          <w:sz w:val="24"/>
          <w:szCs w:val="24"/>
        </w:rPr>
      </w:pPr>
      <w:r w:rsidRPr="00FA3092">
        <w:rPr>
          <w:rFonts w:ascii="Arial" w:hAnsi="Arial" w:cs="Arial"/>
          <w:sz w:val="24"/>
          <w:szCs w:val="24"/>
        </w:rPr>
        <w:t>Antecedentes</w:t>
      </w:r>
    </w:p>
    <w:p w:rsidR="007606A5" w:rsidRPr="00FA3092" w:rsidRDefault="007606A5" w:rsidP="007606A5">
      <w:pPr>
        <w:pStyle w:val="Ttulo2"/>
        <w:rPr>
          <w:rFonts w:ascii="Arial" w:hAnsi="Arial" w:cs="Arial"/>
          <w:sz w:val="23"/>
        </w:rPr>
      </w:pPr>
      <w:r w:rsidRPr="00FA3092">
        <w:rPr>
          <w:rFonts w:ascii="Arial" w:hAnsi="Arial" w:cs="Arial"/>
          <w:sz w:val="23"/>
        </w:rPr>
        <w:t xml:space="preserve">Órgano Interno de Control del Instituto </w:t>
      </w:r>
    </w:p>
    <w:p w:rsidR="007606A5" w:rsidRPr="00FA3092" w:rsidRDefault="007606A5" w:rsidP="007606A5">
      <w:pPr>
        <w:rPr>
          <w:rFonts w:ascii="Arial" w:hAnsi="Arial" w:cs="Arial"/>
        </w:rPr>
      </w:pPr>
      <w:r w:rsidRPr="00FA3092">
        <w:rPr>
          <w:rFonts w:ascii="Arial" w:hAnsi="Arial" w:cs="Arial"/>
        </w:rPr>
        <w:t xml:space="preserve">De conformidad con lo dispuesto por el artículo 9, apartado C, inciso g) de la Constitución Local, el Instituto contará con una Contraloría General, dotada de </w:t>
      </w:r>
      <w:r w:rsidRPr="00FA3092">
        <w:rPr>
          <w:rFonts w:ascii="Arial" w:hAnsi="Arial" w:cs="Arial"/>
        </w:rPr>
        <w:lastRenderedPageBreak/>
        <w:t>autonomía técnica y de gestión, que tendrá a su cargo la fiscalización de todos los ingresos y egresos del propio Instituto.</w:t>
      </w:r>
    </w:p>
    <w:p w:rsidR="007606A5" w:rsidRPr="00FA3092" w:rsidRDefault="009C53D3" w:rsidP="007606A5">
      <w:pPr>
        <w:pStyle w:val="Ttulo2"/>
        <w:rPr>
          <w:rFonts w:ascii="Arial" w:hAnsi="Arial" w:cs="Arial"/>
          <w:sz w:val="23"/>
        </w:rPr>
      </w:pPr>
      <w:r w:rsidRPr="00FA3092">
        <w:rPr>
          <w:rFonts w:ascii="Arial" w:hAnsi="Arial" w:cs="Arial"/>
          <w:sz w:val="23"/>
        </w:rPr>
        <w:t>Código de Ética</w:t>
      </w:r>
    </w:p>
    <w:p w:rsidR="00A0531C" w:rsidRPr="00FA3092" w:rsidRDefault="00A0531C" w:rsidP="00A0531C">
      <w:pPr>
        <w:rPr>
          <w:rFonts w:ascii="Arial" w:hAnsi="Arial" w:cs="Arial"/>
        </w:rPr>
      </w:pPr>
      <w:r w:rsidRPr="00FA3092">
        <w:rPr>
          <w:rFonts w:ascii="Arial" w:hAnsi="Arial" w:cs="Arial"/>
        </w:rPr>
        <w:t>El 29 de abril del 2023 se publicó en el Suplemento “C” al Periódico Oficial del Estado de Tabasco, edición 8415, el acuerdo CG/001/2023 emitido por la Contraloría General relativo al Código de Ética de las Personas Servidoras Públicas del Instituto.</w:t>
      </w:r>
    </w:p>
    <w:p w:rsidR="0064462F" w:rsidRPr="00FA3092" w:rsidRDefault="0064462F" w:rsidP="00DB67D4">
      <w:pPr>
        <w:pStyle w:val="Ttulo2"/>
        <w:rPr>
          <w:rFonts w:ascii="Arial" w:hAnsi="Arial" w:cs="Arial"/>
          <w:sz w:val="23"/>
        </w:rPr>
      </w:pPr>
      <w:r w:rsidRPr="00FA3092">
        <w:rPr>
          <w:rFonts w:ascii="Arial" w:hAnsi="Arial" w:cs="Arial"/>
          <w:sz w:val="23"/>
        </w:rPr>
        <w:t>Presentación del proyecto</w:t>
      </w:r>
    </w:p>
    <w:p w:rsidR="0064462F" w:rsidRPr="00FA3092" w:rsidRDefault="0064462F" w:rsidP="00A0531C">
      <w:pPr>
        <w:rPr>
          <w:rFonts w:ascii="Arial" w:hAnsi="Arial" w:cs="Arial"/>
        </w:rPr>
      </w:pPr>
      <w:r w:rsidRPr="00FA3092">
        <w:rPr>
          <w:rFonts w:ascii="Arial" w:hAnsi="Arial" w:cs="Arial"/>
        </w:rPr>
        <w:t xml:space="preserve">El 16 de febrero de 2024, la Contraloría General de este Instituto, mediante oficio CG/057/2024, remitió a la Secretaría Ejecutiva, el proyecto de Código de Conducta </w:t>
      </w:r>
      <w:r w:rsidR="00DB67D4" w:rsidRPr="00FA3092">
        <w:rPr>
          <w:rFonts w:ascii="Arial" w:hAnsi="Arial" w:cs="Arial"/>
        </w:rPr>
        <w:t>que contiene la forma en que las personas servidoras públicas aplicarán los principios, valores y reglas de integridad contenidas en el Código de Ética correspondiente.</w:t>
      </w:r>
      <w:r w:rsidRPr="00FA3092">
        <w:rPr>
          <w:rFonts w:ascii="Arial" w:hAnsi="Arial" w:cs="Arial"/>
        </w:rPr>
        <w:t xml:space="preserve"> Lo anterior de conformidad con el artículo décimo primero de los Lineamientos para la emisión del Código de Ética a que se refiere el artículo 16 de la Ley General de Responsabilidades Administrativas publicado por la Secretaría Ejecutiva del Sistema Nacional Anticorrupción en el Diario Oficial de la Federación de 12 de octubre de 2018.</w:t>
      </w:r>
    </w:p>
    <w:p w:rsidR="007606A5" w:rsidRPr="00FA3092" w:rsidRDefault="007606A5" w:rsidP="007606A5">
      <w:pPr>
        <w:pStyle w:val="Ttulo1"/>
        <w:rPr>
          <w:rFonts w:ascii="Arial" w:hAnsi="Arial" w:cs="Arial"/>
          <w:sz w:val="24"/>
          <w:szCs w:val="24"/>
        </w:rPr>
      </w:pPr>
      <w:r w:rsidRPr="00FA3092">
        <w:rPr>
          <w:rFonts w:ascii="Arial" w:hAnsi="Arial" w:cs="Arial"/>
          <w:sz w:val="24"/>
          <w:szCs w:val="24"/>
        </w:rPr>
        <w:t>Considerando</w:t>
      </w:r>
    </w:p>
    <w:p w:rsidR="007606A5" w:rsidRPr="00FA3092" w:rsidRDefault="007606A5" w:rsidP="007606A5">
      <w:pPr>
        <w:pStyle w:val="Ttulo2"/>
        <w:rPr>
          <w:rFonts w:ascii="Arial" w:hAnsi="Arial" w:cs="Arial"/>
          <w:sz w:val="23"/>
        </w:rPr>
      </w:pPr>
      <w:r w:rsidRPr="00FA3092">
        <w:rPr>
          <w:rFonts w:ascii="Arial" w:hAnsi="Arial" w:cs="Arial"/>
          <w:sz w:val="23"/>
        </w:rPr>
        <w:t xml:space="preserve">Fines del Instituto </w:t>
      </w:r>
    </w:p>
    <w:p w:rsidR="007606A5" w:rsidRPr="00FA3092" w:rsidRDefault="007606A5" w:rsidP="007606A5">
      <w:pPr>
        <w:rPr>
          <w:rFonts w:ascii="Arial" w:hAnsi="Arial" w:cs="Arial"/>
        </w:rPr>
      </w:pPr>
      <w:r w:rsidRPr="00FA3092">
        <w:rPr>
          <w:rFonts w:ascii="Arial" w:hAnsi="Arial" w:cs="Arial"/>
        </w:rPr>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7606A5" w:rsidRPr="00FA3092" w:rsidRDefault="007606A5" w:rsidP="007606A5">
      <w:pPr>
        <w:rPr>
          <w:rFonts w:ascii="Arial" w:hAnsi="Arial" w:cs="Arial"/>
        </w:rPr>
      </w:pPr>
      <w:r w:rsidRPr="00FA3092">
        <w:rPr>
          <w:rFonts w:ascii="Arial" w:hAnsi="Arial" w:cs="Arial"/>
        </w:rPr>
        <w:t xml:space="preserve">De acuerdo con el artículo 101 de la Ley Electoral, el Instituto tiene como finalidades: contribuir al desarrollo de la vida pública y democrática en el estado de Tabasco; preservar el fortalecimiento del régimen de partidos políticos; asegurar a las </w:t>
      </w:r>
      <w:r w:rsidRPr="00FA3092">
        <w:rPr>
          <w:rFonts w:ascii="Arial" w:hAnsi="Arial" w:cs="Arial"/>
        </w:rPr>
        <w:lastRenderedPageBreak/>
        <w:t>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7606A5" w:rsidRPr="00FA3092" w:rsidRDefault="007606A5" w:rsidP="007606A5">
      <w:pPr>
        <w:pStyle w:val="Ttulo2"/>
        <w:rPr>
          <w:rFonts w:ascii="Arial" w:hAnsi="Arial" w:cs="Arial"/>
          <w:sz w:val="23"/>
        </w:rPr>
      </w:pPr>
      <w:r w:rsidRPr="00FA3092">
        <w:rPr>
          <w:rFonts w:ascii="Arial" w:hAnsi="Arial" w:cs="Arial"/>
          <w:sz w:val="23"/>
        </w:rPr>
        <w:t xml:space="preserve">Órgano Superior de Dirección del Instituto </w:t>
      </w:r>
    </w:p>
    <w:p w:rsidR="007606A5" w:rsidRPr="00FA3092" w:rsidRDefault="007606A5" w:rsidP="007606A5">
      <w:pPr>
        <w:rPr>
          <w:rFonts w:ascii="Arial" w:hAnsi="Arial" w:cs="Arial"/>
        </w:rPr>
      </w:pPr>
      <w:r w:rsidRPr="00FA3092">
        <w:rPr>
          <w:rFonts w:ascii="Arial" w:hAnsi="Arial" w:cs="Arial"/>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rsidR="007606A5" w:rsidRPr="00FA3092" w:rsidRDefault="007606A5" w:rsidP="007606A5">
      <w:pPr>
        <w:pStyle w:val="Ttulo2"/>
        <w:rPr>
          <w:rFonts w:ascii="Arial" w:hAnsi="Arial" w:cs="Arial"/>
          <w:sz w:val="23"/>
        </w:rPr>
      </w:pPr>
      <w:r w:rsidRPr="00FA3092">
        <w:rPr>
          <w:rFonts w:ascii="Arial" w:hAnsi="Arial" w:cs="Arial"/>
          <w:sz w:val="23"/>
        </w:rPr>
        <w:t>Integración del Órgano de Dirección Superior</w:t>
      </w:r>
    </w:p>
    <w:p w:rsidR="007606A5" w:rsidRPr="00FA3092" w:rsidRDefault="007606A5" w:rsidP="007606A5">
      <w:pPr>
        <w:rPr>
          <w:rFonts w:ascii="Arial" w:hAnsi="Arial" w:cs="Arial"/>
        </w:rPr>
      </w:pPr>
      <w:r w:rsidRPr="00FA3092">
        <w:rPr>
          <w:rFonts w:ascii="Arial" w:hAnsi="Arial" w:cs="Arial"/>
        </w:rPr>
        <w:t>Que, los artículos 99 de la Ley General y 107 numeral 1 de la Ley Electoral, disponen que el Consejo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7606A5" w:rsidRPr="00FA3092" w:rsidRDefault="007606A5" w:rsidP="007606A5">
      <w:pPr>
        <w:pStyle w:val="Ttulo2"/>
        <w:rPr>
          <w:rFonts w:ascii="Arial" w:hAnsi="Arial" w:cs="Arial"/>
          <w:sz w:val="23"/>
        </w:rPr>
      </w:pPr>
      <w:r w:rsidRPr="00FA3092">
        <w:rPr>
          <w:rFonts w:ascii="Arial" w:hAnsi="Arial" w:cs="Arial"/>
          <w:sz w:val="23"/>
        </w:rPr>
        <w:t>Competencia del Consejo Estatal</w:t>
      </w:r>
    </w:p>
    <w:p w:rsidR="007606A5" w:rsidRPr="00FA3092" w:rsidRDefault="007606A5" w:rsidP="007606A5">
      <w:pPr>
        <w:rPr>
          <w:rFonts w:ascii="Arial" w:hAnsi="Arial" w:cs="Arial"/>
        </w:rPr>
      </w:pPr>
      <w:r w:rsidRPr="00FA3092">
        <w:rPr>
          <w:rFonts w:ascii="Arial" w:hAnsi="Arial" w:cs="Arial"/>
        </w:rPr>
        <w:t xml:space="preserve">Que, de conformidad con el artículo 115 numeral 1 </w:t>
      </w:r>
      <w:r w:rsidR="004035C4" w:rsidRPr="00FA3092">
        <w:rPr>
          <w:rFonts w:ascii="Arial" w:hAnsi="Arial" w:cs="Arial"/>
        </w:rPr>
        <w:t xml:space="preserve">fracción XXXVIII </w:t>
      </w:r>
      <w:r w:rsidRPr="00FA3092">
        <w:rPr>
          <w:rFonts w:ascii="Arial" w:hAnsi="Arial" w:cs="Arial"/>
        </w:rPr>
        <w:t xml:space="preserve">de la Ley Electoral, el Consejo Estatal es competente para </w:t>
      </w:r>
      <w:r w:rsidR="004035C4" w:rsidRPr="00FA3092">
        <w:rPr>
          <w:rFonts w:ascii="Arial" w:hAnsi="Arial" w:cs="Arial"/>
        </w:rPr>
        <w:t>aprobar y expedir los reglamentos internos necesarios para el debido ejercicio de las facultades y atribuciones del Instituto</w:t>
      </w:r>
      <w:r w:rsidRPr="00FA3092">
        <w:rPr>
          <w:rFonts w:ascii="Arial" w:hAnsi="Arial" w:cs="Arial"/>
        </w:rPr>
        <w:t>.</w:t>
      </w:r>
    </w:p>
    <w:p w:rsidR="007606A5" w:rsidRPr="00FA3092" w:rsidRDefault="007606A5" w:rsidP="007606A5">
      <w:pPr>
        <w:rPr>
          <w:rFonts w:ascii="Arial" w:hAnsi="Arial" w:cs="Arial"/>
        </w:rPr>
      </w:pPr>
      <w:r w:rsidRPr="00FA3092">
        <w:rPr>
          <w:rFonts w:ascii="Arial" w:hAnsi="Arial" w:cs="Arial"/>
        </w:rPr>
        <w:t xml:space="preserve">Acorde a lo anterior, el numeral 2 del artículo mencionado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w:t>
      </w:r>
      <w:r w:rsidRPr="00FA3092">
        <w:rPr>
          <w:rFonts w:ascii="Arial" w:hAnsi="Arial" w:cs="Arial"/>
        </w:rPr>
        <w:lastRenderedPageBreak/>
        <w:t>que corresponda, siempre en apego a sus facultades y a los principios rectores de la función electoral.</w:t>
      </w:r>
    </w:p>
    <w:p w:rsidR="007606A5" w:rsidRPr="00FA3092" w:rsidRDefault="007606A5" w:rsidP="007606A5">
      <w:pPr>
        <w:pStyle w:val="Ttulo2"/>
        <w:rPr>
          <w:rFonts w:ascii="Arial" w:hAnsi="Arial" w:cs="Arial"/>
          <w:sz w:val="23"/>
        </w:rPr>
      </w:pPr>
      <w:r w:rsidRPr="00FA3092">
        <w:rPr>
          <w:rFonts w:ascii="Arial" w:hAnsi="Arial" w:cs="Arial"/>
          <w:sz w:val="23"/>
        </w:rPr>
        <w:t>Contraloría General</w:t>
      </w:r>
    </w:p>
    <w:p w:rsidR="007606A5" w:rsidRPr="00FA3092" w:rsidRDefault="007606A5" w:rsidP="007606A5">
      <w:pPr>
        <w:rPr>
          <w:rFonts w:ascii="Arial" w:hAnsi="Arial" w:cs="Arial"/>
        </w:rPr>
      </w:pPr>
      <w:r w:rsidRPr="00FA3092">
        <w:rPr>
          <w:rFonts w:ascii="Arial" w:hAnsi="Arial" w:cs="Arial"/>
        </w:rPr>
        <w:t xml:space="preserve">Que, de conformidad con el artículo </w:t>
      </w:r>
      <w:r w:rsidR="009E6357" w:rsidRPr="00FA3092">
        <w:rPr>
          <w:rFonts w:ascii="Arial" w:hAnsi="Arial" w:cs="Arial"/>
        </w:rPr>
        <w:t>3</w:t>
      </w:r>
      <w:r w:rsidRPr="00FA3092">
        <w:rPr>
          <w:rFonts w:ascii="Arial" w:hAnsi="Arial" w:cs="Arial"/>
        </w:rPr>
        <w:t>, fracción XXI de la Ley General de Responsabilidades Administrativas, los órganos internos de control son las unidades administrativas a cargo de promover, evaluar y fortalecer el buen funcionamiento del control interno en los entes públicos, así como aquellas otras instancias de los órganos constitucionales autónomos que, conforme a sus respectivas leyes, sean competentes para aplicar las leyes en materia de responsabilidades de servidores públicos.</w:t>
      </w:r>
    </w:p>
    <w:p w:rsidR="007606A5" w:rsidRPr="00FA3092" w:rsidRDefault="007606A5" w:rsidP="007606A5">
      <w:pPr>
        <w:rPr>
          <w:rFonts w:ascii="Arial" w:hAnsi="Arial" w:cs="Arial"/>
        </w:rPr>
      </w:pPr>
      <w:r w:rsidRPr="00FA3092">
        <w:rPr>
          <w:rFonts w:ascii="Arial" w:hAnsi="Arial" w:cs="Arial"/>
        </w:rPr>
        <w:t>En ese contexto, los artículos 377 y 378, numeral 3 de la Ley Electoral, refieren que la Contraloría General es el órgano de control interno del Instituto, que tiene a su cargo, entre otras actividades, la fiscalización de todos los ingresos y egresos del propio Instituto; contando con la estructura orgánica, personal y recursos que apruebe el Consejo Estatal, a propuesta de su titular.</w:t>
      </w:r>
    </w:p>
    <w:p w:rsidR="007606A5" w:rsidRPr="00FA3092" w:rsidRDefault="007606A5" w:rsidP="007606A5">
      <w:pPr>
        <w:pStyle w:val="Ttulo2"/>
        <w:rPr>
          <w:rFonts w:ascii="Arial" w:hAnsi="Arial" w:cs="Arial"/>
          <w:sz w:val="23"/>
        </w:rPr>
      </w:pPr>
      <w:r w:rsidRPr="00FA3092">
        <w:rPr>
          <w:rFonts w:ascii="Arial" w:hAnsi="Arial" w:cs="Arial"/>
          <w:sz w:val="23"/>
        </w:rPr>
        <w:t>Facultades de la Contraloría General</w:t>
      </w:r>
    </w:p>
    <w:p w:rsidR="007606A5" w:rsidRPr="00FA3092" w:rsidRDefault="007606A5" w:rsidP="007606A5">
      <w:pPr>
        <w:rPr>
          <w:rFonts w:ascii="Arial" w:hAnsi="Arial" w:cs="Arial"/>
        </w:rPr>
      </w:pPr>
      <w:r w:rsidRPr="00FA3092">
        <w:rPr>
          <w:rFonts w:ascii="Arial" w:hAnsi="Arial" w:cs="Arial"/>
        </w:rPr>
        <w:t>Que, el artículo 381 numeral 1 de la Ley Electoral establece que la Contraloría General tendrá las siguientes facultades: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Fijar los criterios para la realización de las auditorías, procedimientos, métodos y sistemas necesarios para la revisión y fiscalización de los recursos a cargo de las áreas y órganos del Instituto;</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Establecer las normas, procedimientos, métodos y sistemas de contabilidad y de archivo, de los libros y documentos justificativos y comprobatorios del ingreso y del gasto, así como aquellos elementos que permitan la práctica idónea de las auditorías y revisiones, que realice en el cumplimiento de sus funciones;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Evaluar los informes de avance de la gestión financiera respecto de los programas autorizados y los relativos a procesos concluidos;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lastRenderedPageBreak/>
        <w:t>Evaluar el cumplimiento de los objetivos y metas fijadas en los programas de naturaleza administrativa contenidos en el presupuesto de egresos del Instituto Estatal;</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Verificar que las diversas áreas administrativas del Instituto Estatal que hubieren recibido, manejado, administrado o ejercido recursos, lo hagan conforme a la normatividad aplicable, los programas aprobados y montos autorizados, así como, en el caso de los egresos, con cargo a las partidas correspondientes y con apego a las disposiciones legales, reglamentarias y administrativas conducentes;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Revisar que las operaciones presupuestales que realice el Instituto Estatal se hagan con apego a las disposiciones legales y administrativas aplicables a estas materias;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Verificar las obras, bienes adquiridos o arrendados y servicios contratados, para comprobar que las inversiones y gastos autorizados se han aplicado, legal y eficientemente, al logro de los objetivos y metas de los programas aprobados;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Requerir a terceros que hubieran contratado bienes o servicios con el Instituto la información relacionada con la documentación justificativa y comprobatoria respectiva, a efecto de realizar las compulsas que correspondan;</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Solicitar y obtener la información necesaria para el cumplimiento de sus funciones. Por lo que hace a la información relativa a las operaciones de cualquier tipo proporcionada por las instituciones de crédito, les será aplicable a todos los servidores públicos de la propia Contraloría General, así como a los profesionales contratados para la práctica de auditorías, la obligación de guardar la reserva a que aluden las disposiciones normativas en materia de transparencia y acceso a la información pública;</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Emitir los lineamientos, instruir, desahogar y resolver los procedimientos administrativos respecto de las quejas que se presenten en contra de los servidores públicos del Instituto que se encuentren en el supuesto del numeral 3 del artículo 368 de la Ley Electoral, y llevar el registro de los servidores públicos sancionados;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lastRenderedPageBreak/>
        <w:t>Investigar, en el ámbito de su competencia, los actos u omisiones que impliquen alguna irregularidad o conducta ilícita en el ingreso, egreso, manejo, custodia y aplicación de fondos y recursos del Instituto;</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Recibir denuncias o quejas directamente relacionadas con el uso y disposición de los ingresos y recursos del Instituto por parte de los servidores públicos del mismo y desahogar los procedimientos a que haya lugar;</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Efectuar visitas a las sedes físicas de las áreas y órganos del Instituto para solicitar la exhibición de los libros y papeles indispensables para la realización de sus investigaciones, sujetándose a las formalidades respectivas;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Establecer los mecanismos de orientación y cursos de capacitación que resulten necesarios para que los servidores públicos del Instituto cumplan adecuadamente con sus responsabilidades administrativas;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Formular pliegos de observaciones en materia administrativa;</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Determinar los daños y perjuicios que afecten al Instituto en su patrimonio y fincar directamente a los responsables las indemnizaciones y sanciones pecuniarias correspondientes;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Fincar las responsabilidades e imponer las sanciones en términos de los lineamientos respectivos;</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Presentar a la aprobación del Consejo Estatal sus programas anuales de trabajo;</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Presentar al Consejo Estatal los informes previo y anual de resultados de su gestión, y acudir ante el mismo cuando así lo requiera la Consejera o Consejero Presidente;</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Participar, a través de su titular, con voz, pero sin voto, en las sesiones de la Junta Ejecutiva del Instituto, cuando por motivo del ejercicio de sus facultades así lo considere necesario la Consejera o Consejero Presidente;</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t>Recibir y resguardar las declaraciones patrimoniales que deban presentar los servidores públicos del Instituto, a partir del nivel de jefe de departamento, conforme a los formatos y procedimientos que establezca la propia Contraloría General. Serán aplicables en lo conducente las normas establecidas en la ley de la materia;</w:t>
      </w:r>
    </w:p>
    <w:p w:rsidR="007606A5" w:rsidRPr="00FA3092" w:rsidRDefault="007606A5" w:rsidP="007606A5">
      <w:pPr>
        <w:pStyle w:val="Prrafodelista"/>
        <w:numPr>
          <w:ilvl w:val="0"/>
          <w:numId w:val="2"/>
        </w:numPr>
        <w:ind w:left="720"/>
        <w:contextualSpacing w:val="0"/>
        <w:rPr>
          <w:rFonts w:ascii="Arial" w:hAnsi="Arial" w:cs="Arial"/>
        </w:rPr>
      </w:pPr>
      <w:r w:rsidRPr="00FA3092">
        <w:rPr>
          <w:rFonts w:ascii="Arial" w:hAnsi="Arial" w:cs="Arial"/>
        </w:rPr>
        <w:lastRenderedPageBreak/>
        <w:t>Intervenir en los procesos de entrega-recepción por inicio o conclusión de encargo de los servidores públicos que corresponda.</w:t>
      </w:r>
    </w:p>
    <w:p w:rsidR="007A3988" w:rsidRPr="00FA3092" w:rsidRDefault="007A3988" w:rsidP="003C3D66">
      <w:pPr>
        <w:pStyle w:val="Ttulo2"/>
        <w:rPr>
          <w:rFonts w:ascii="Arial" w:hAnsi="Arial" w:cs="Arial"/>
          <w:sz w:val="23"/>
        </w:rPr>
      </w:pPr>
      <w:r w:rsidRPr="00FA3092">
        <w:rPr>
          <w:rFonts w:ascii="Arial" w:hAnsi="Arial" w:cs="Arial"/>
          <w:sz w:val="23"/>
        </w:rPr>
        <w:t>Código de Ética</w:t>
      </w:r>
    </w:p>
    <w:p w:rsidR="007A3988" w:rsidRPr="00FA3092" w:rsidRDefault="007A3988" w:rsidP="007A3988">
      <w:pPr>
        <w:rPr>
          <w:rFonts w:ascii="Arial" w:hAnsi="Arial" w:cs="Arial"/>
        </w:rPr>
      </w:pPr>
      <w:r w:rsidRPr="00FA3092">
        <w:rPr>
          <w:rFonts w:ascii="Arial" w:hAnsi="Arial" w:cs="Arial"/>
        </w:rPr>
        <w:t>Que, la Ley General establece en su artículo 16 que las y los servidores públicos deberán observar el código de ética que al efecto sea emitido por el órgano interno de control, conforme a los lineamientos que emita el Sistema Nacional Anticorrupción, para que en su actuación impere una conducta digna que responda a las necesidades de la sociedad y que oriente su desempeño. Dicho código, deberá hacerse del conocimiento de las y los servidores públicos de la dependencia o entidad de que se trate, así como darle la máxima publicidad.</w:t>
      </w:r>
    </w:p>
    <w:p w:rsidR="005A230A" w:rsidRPr="00FA3092" w:rsidRDefault="005A230A" w:rsidP="005A230A">
      <w:pPr>
        <w:pStyle w:val="Ttulo2"/>
        <w:rPr>
          <w:rFonts w:ascii="Arial" w:hAnsi="Arial" w:cs="Arial"/>
          <w:sz w:val="23"/>
        </w:rPr>
      </w:pPr>
      <w:r w:rsidRPr="00FA3092">
        <w:rPr>
          <w:rFonts w:ascii="Arial" w:hAnsi="Arial" w:cs="Arial"/>
          <w:sz w:val="23"/>
        </w:rPr>
        <w:t>Sistema Estatal Anticorrupción</w:t>
      </w:r>
    </w:p>
    <w:p w:rsidR="005A230A" w:rsidRPr="00FA3092" w:rsidRDefault="005A230A" w:rsidP="005A230A">
      <w:pPr>
        <w:rPr>
          <w:rFonts w:ascii="Arial" w:hAnsi="Arial" w:cs="Arial"/>
        </w:rPr>
      </w:pPr>
      <w:r w:rsidRPr="00FA3092">
        <w:rPr>
          <w:rFonts w:ascii="Arial" w:hAnsi="Arial" w:cs="Arial"/>
        </w:rPr>
        <w:t>Que, de conformidad con el artículo 2 fracciones III y IV de la Ley Anticorrupción, dicho ordenamiento tiene como objetivos establecer las bases mínimas para la prevención de hechos de corrupción y faltas administrativas en todos los entes públicos del Estado de Tabasco y sus municipios; así como las directrices básicas que definan y ordenen la coordinación de los entes públicos y autoridades competentes para la planeación y generación de políticas públicas en materia de prevención, detección, control, sanción, disuasión y combate a la corrupción.</w:t>
      </w:r>
    </w:p>
    <w:p w:rsidR="005A230A" w:rsidRPr="00FA3092" w:rsidRDefault="005A230A" w:rsidP="005A230A">
      <w:pPr>
        <w:rPr>
          <w:rFonts w:ascii="Arial" w:hAnsi="Arial" w:cs="Arial"/>
        </w:rPr>
      </w:pPr>
      <w:r w:rsidRPr="00FA3092">
        <w:rPr>
          <w:rFonts w:ascii="Arial" w:hAnsi="Arial" w:cs="Arial"/>
        </w:rPr>
        <w:t>Asimismo, de acuerdo con el artículo 6 del ordenamiento en cita, el Sistema Estatal Anticorrupción tiene por objeto establecer principios, bases generales, políticas públicas, lineamientos y procedimientos de coordinación entre los entes públicos del Estado y los municipios, para la prevención, detección y sanción de faltas administrativas y hechos de corrupción, así como en la fiscalización y control de recursos públicos. Es una instancia cuya finalidad es establecer, articular y evaluar la política en la materia.</w:t>
      </w:r>
    </w:p>
    <w:p w:rsidR="005A230A" w:rsidRDefault="005A230A" w:rsidP="005A230A">
      <w:pPr>
        <w:rPr>
          <w:rFonts w:ascii="Arial" w:hAnsi="Arial" w:cs="Arial"/>
        </w:rPr>
      </w:pPr>
      <w:r w:rsidRPr="00FA3092">
        <w:rPr>
          <w:rFonts w:ascii="Arial" w:hAnsi="Arial" w:cs="Arial"/>
        </w:rPr>
        <w:t xml:space="preserve">En ese tenor, las políticas públicas que establezca el Comité Coordinador del Sistema Estatal deberán ser implementadas por todos los </w:t>
      </w:r>
      <w:r w:rsidR="00F163F2" w:rsidRPr="00FA3092">
        <w:rPr>
          <w:rFonts w:ascii="Arial" w:hAnsi="Arial" w:cs="Arial"/>
        </w:rPr>
        <w:t>entes públicos</w:t>
      </w:r>
      <w:r w:rsidR="00657BD1" w:rsidRPr="00FA3092">
        <w:rPr>
          <w:rFonts w:ascii="Arial" w:hAnsi="Arial" w:cs="Arial"/>
        </w:rPr>
        <w:t>, entre ellos, los órganos constitucionales autónomos.</w:t>
      </w:r>
    </w:p>
    <w:p w:rsidR="00FA3092" w:rsidRDefault="00FA3092" w:rsidP="005A230A">
      <w:pPr>
        <w:rPr>
          <w:rFonts w:ascii="Arial" w:hAnsi="Arial" w:cs="Arial"/>
        </w:rPr>
      </w:pPr>
    </w:p>
    <w:p w:rsidR="00FA3092" w:rsidRPr="00FA3092" w:rsidRDefault="00FA3092" w:rsidP="005A230A">
      <w:pPr>
        <w:rPr>
          <w:rFonts w:ascii="Arial" w:hAnsi="Arial" w:cs="Arial"/>
        </w:rPr>
      </w:pPr>
    </w:p>
    <w:p w:rsidR="009713ED" w:rsidRPr="00FA3092" w:rsidRDefault="009713ED" w:rsidP="009713ED">
      <w:pPr>
        <w:pStyle w:val="Ttulo2"/>
        <w:rPr>
          <w:rFonts w:ascii="Arial" w:hAnsi="Arial" w:cs="Arial"/>
          <w:sz w:val="23"/>
        </w:rPr>
      </w:pPr>
      <w:r w:rsidRPr="00FA3092">
        <w:rPr>
          <w:rFonts w:ascii="Arial" w:hAnsi="Arial" w:cs="Arial"/>
          <w:sz w:val="23"/>
        </w:rPr>
        <w:lastRenderedPageBreak/>
        <w:t>Comité Coordinador</w:t>
      </w:r>
    </w:p>
    <w:p w:rsidR="009713ED" w:rsidRPr="00FA3092" w:rsidRDefault="009713ED" w:rsidP="009713ED">
      <w:pPr>
        <w:rPr>
          <w:rFonts w:ascii="Arial" w:hAnsi="Arial" w:cs="Arial"/>
        </w:rPr>
      </w:pPr>
      <w:r w:rsidRPr="00FA3092">
        <w:rPr>
          <w:rFonts w:ascii="Arial" w:hAnsi="Arial" w:cs="Arial"/>
        </w:rPr>
        <w:t>Que, en términos del artículo 9 de la Ley Anticorrupción, el Comité Coordinador es la instancia responsable de establecer mecanismos de coordinación entre los integrantes del Sistema Estatal y de éste con el Sistema Nacional. Además, tendrá bajo su encargo el diseño, promoción, seguimiento y evaluación de las políticas públicas de combate a la corrupción.</w:t>
      </w:r>
    </w:p>
    <w:p w:rsidR="00F90627" w:rsidRPr="00FA3092" w:rsidRDefault="00F90627" w:rsidP="00F90627">
      <w:pPr>
        <w:pStyle w:val="Ttulo2"/>
        <w:rPr>
          <w:rFonts w:ascii="Arial" w:hAnsi="Arial" w:cs="Arial"/>
          <w:sz w:val="23"/>
        </w:rPr>
      </w:pPr>
      <w:r w:rsidRPr="00FA3092">
        <w:rPr>
          <w:rFonts w:ascii="Arial" w:hAnsi="Arial" w:cs="Arial"/>
          <w:sz w:val="23"/>
        </w:rPr>
        <w:t>Código de conducta</w:t>
      </w:r>
    </w:p>
    <w:p w:rsidR="00255A5D" w:rsidRPr="00FA3092" w:rsidRDefault="00255A5D" w:rsidP="00255A5D">
      <w:pPr>
        <w:rPr>
          <w:rFonts w:ascii="Arial" w:hAnsi="Arial" w:cs="Arial"/>
        </w:rPr>
      </w:pPr>
      <w:r w:rsidRPr="00FA3092">
        <w:rPr>
          <w:rFonts w:ascii="Arial" w:hAnsi="Arial" w:cs="Arial"/>
        </w:rPr>
        <w:t xml:space="preserve">Que, conforme al Eje 2 de la Política Estatal Anticorrupción denominado </w:t>
      </w:r>
      <w:r w:rsidRPr="00FA3092">
        <w:rPr>
          <w:rFonts w:ascii="Arial" w:hAnsi="Arial" w:cs="Arial"/>
          <w:b/>
        </w:rPr>
        <w:t>“Combatir la arbitrariedad y abuso del Poder Público</w:t>
      </w:r>
      <w:r w:rsidR="000417D1" w:rsidRPr="00FA3092">
        <w:rPr>
          <w:rFonts w:ascii="Arial" w:hAnsi="Arial" w:cs="Arial"/>
          <w:b/>
        </w:rPr>
        <w:t>”</w:t>
      </w:r>
      <w:r w:rsidRPr="00FA3092">
        <w:rPr>
          <w:rFonts w:ascii="Arial" w:hAnsi="Arial" w:cs="Arial"/>
        </w:rPr>
        <w:t xml:space="preserve">, </w:t>
      </w:r>
      <w:r w:rsidR="00BE381E" w:rsidRPr="00FA3092">
        <w:rPr>
          <w:rFonts w:ascii="Arial" w:hAnsi="Arial" w:cs="Arial"/>
        </w:rPr>
        <w:t>establecida por el Comité Coordinador</w:t>
      </w:r>
      <w:r w:rsidRPr="00FA3092">
        <w:rPr>
          <w:rFonts w:ascii="Arial" w:hAnsi="Arial" w:cs="Arial"/>
        </w:rPr>
        <w:t xml:space="preserve">, se </w:t>
      </w:r>
      <w:r w:rsidR="00BE381E" w:rsidRPr="00FA3092">
        <w:rPr>
          <w:rFonts w:ascii="Arial" w:hAnsi="Arial" w:cs="Arial"/>
        </w:rPr>
        <w:t xml:space="preserve">determinó </w:t>
      </w:r>
      <w:r w:rsidRPr="00FA3092">
        <w:rPr>
          <w:rFonts w:ascii="Arial" w:hAnsi="Arial" w:cs="Arial"/>
        </w:rPr>
        <w:t xml:space="preserve">como prioridad a corto plazo, impulsar la adopción y fortalecimiento de políticas de integridad y prevención de conflictos de interés, en los entes públicos, </w:t>
      </w:r>
      <w:r w:rsidR="0042504F" w:rsidRPr="00FA3092">
        <w:rPr>
          <w:rFonts w:ascii="Arial" w:hAnsi="Arial" w:cs="Arial"/>
        </w:rPr>
        <w:t xml:space="preserve">para ello se estableció como acción, </w:t>
      </w:r>
      <w:r w:rsidRPr="00FA3092">
        <w:rPr>
          <w:rFonts w:ascii="Arial" w:hAnsi="Arial" w:cs="Arial"/>
        </w:rPr>
        <w:t>la fijación de normas de conducta que prioricen los riesgos asociados a la corrupción en los procesos institucionales y que promuevan el interés público y la cultura de la transparencia.</w:t>
      </w:r>
    </w:p>
    <w:p w:rsidR="00C672DA" w:rsidRPr="00FA3092" w:rsidRDefault="00C672DA" w:rsidP="00255A5D">
      <w:pPr>
        <w:rPr>
          <w:rFonts w:ascii="Arial" w:hAnsi="Arial" w:cs="Arial"/>
        </w:rPr>
      </w:pPr>
      <w:r w:rsidRPr="00FA3092">
        <w:rPr>
          <w:rFonts w:ascii="Arial" w:hAnsi="Arial" w:cs="Arial"/>
        </w:rPr>
        <w:t>En ese contexto, el 29 de abril del 2023 se publicó en el Suplemento “C” al Periódico Oficial del Estado de Tabasco, edición 8415, el acuerdo CG/001/2023 emitido por la Contraloría General relativo al Código de Ética de las Personas Servidoras Públicas del Instituto, el cual en su artículo transitorio Tercero estableció la emisión del Código de Conducta de conformidad con la normatividad aplicable.</w:t>
      </w:r>
    </w:p>
    <w:p w:rsidR="007D4787" w:rsidRPr="00FA3092" w:rsidRDefault="00C672DA" w:rsidP="007D4787">
      <w:pPr>
        <w:rPr>
          <w:rFonts w:ascii="Arial" w:hAnsi="Arial" w:cs="Arial"/>
        </w:rPr>
      </w:pPr>
      <w:r w:rsidRPr="00FA3092">
        <w:rPr>
          <w:rFonts w:ascii="Arial" w:hAnsi="Arial" w:cs="Arial"/>
        </w:rPr>
        <w:t xml:space="preserve">Al respecto, el Código de Conducta </w:t>
      </w:r>
      <w:r w:rsidR="007D4787" w:rsidRPr="00FA3092">
        <w:rPr>
          <w:rFonts w:ascii="Arial" w:hAnsi="Arial" w:cs="Arial"/>
        </w:rPr>
        <w:t xml:space="preserve">propuesto por </w:t>
      </w:r>
      <w:r w:rsidRPr="00FA3092">
        <w:rPr>
          <w:rFonts w:ascii="Arial" w:hAnsi="Arial" w:cs="Arial"/>
        </w:rPr>
        <w:t>la Contraloría General</w:t>
      </w:r>
      <w:r w:rsidR="007D4787" w:rsidRPr="00FA3092">
        <w:rPr>
          <w:rFonts w:ascii="Arial" w:hAnsi="Arial" w:cs="Arial"/>
        </w:rPr>
        <w:t xml:space="preserve"> considera los principios de disciplina, legalidad, objetividad, profesionalismo, honradez, lealtad, imparcialidad, así como las directrices que rigen la actuación de las y los servidores públicos que deben observar en el desempeño de su empleo, cargo o comisión, en términos de la Ley General.</w:t>
      </w:r>
    </w:p>
    <w:p w:rsidR="00896458" w:rsidRPr="00FA3092" w:rsidRDefault="00896458" w:rsidP="00896458">
      <w:pPr>
        <w:rPr>
          <w:rFonts w:ascii="Arial" w:hAnsi="Arial" w:cs="Arial"/>
        </w:rPr>
      </w:pPr>
      <w:r w:rsidRPr="00FA3092">
        <w:rPr>
          <w:rFonts w:ascii="Arial" w:hAnsi="Arial" w:cs="Arial"/>
        </w:rPr>
        <w:t>Así, el objetivo de dicho ordenamiento es establecer de manera puntual y concreta los principios, valores y reglas de integridad que deberán observar las personas servidoras públicas del Instituto y a su vez fomentar y garantizar la ética en el servicio público, para el correcto, honorable y adecuado cumplimiento de sus atribuciones.</w:t>
      </w:r>
    </w:p>
    <w:p w:rsidR="007606A5" w:rsidRDefault="007606A5" w:rsidP="007606A5">
      <w:pPr>
        <w:rPr>
          <w:rFonts w:ascii="Arial" w:hAnsi="Arial" w:cs="Arial"/>
        </w:rPr>
      </w:pPr>
      <w:r w:rsidRPr="00FA3092">
        <w:rPr>
          <w:rFonts w:ascii="Arial" w:hAnsi="Arial" w:cs="Arial"/>
        </w:rPr>
        <w:t>Sobre la base de las consideraciones señaladas, este Consejo Estatal emite el siguiente:</w:t>
      </w:r>
    </w:p>
    <w:p w:rsidR="00FA3092" w:rsidRPr="00FA3092" w:rsidRDefault="00FA3092" w:rsidP="007606A5">
      <w:pPr>
        <w:rPr>
          <w:rFonts w:ascii="Arial" w:hAnsi="Arial" w:cs="Arial"/>
        </w:rPr>
      </w:pPr>
    </w:p>
    <w:p w:rsidR="007606A5" w:rsidRDefault="007606A5" w:rsidP="007606A5">
      <w:pPr>
        <w:pStyle w:val="Ttulo1"/>
        <w:rPr>
          <w:rFonts w:ascii="Arial" w:hAnsi="Arial" w:cs="Arial"/>
          <w:sz w:val="24"/>
          <w:szCs w:val="24"/>
        </w:rPr>
      </w:pPr>
      <w:r w:rsidRPr="00FA3092">
        <w:rPr>
          <w:rFonts w:ascii="Arial" w:hAnsi="Arial" w:cs="Arial"/>
          <w:sz w:val="24"/>
          <w:szCs w:val="24"/>
        </w:rPr>
        <w:lastRenderedPageBreak/>
        <w:t>Acuerdo</w:t>
      </w:r>
    </w:p>
    <w:p w:rsidR="007606A5" w:rsidRPr="00FA3092" w:rsidRDefault="007606A5" w:rsidP="007606A5">
      <w:pPr>
        <w:rPr>
          <w:rFonts w:ascii="Arial" w:hAnsi="Arial" w:cs="Arial"/>
        </w:rPr>
      </w:pPr>
      <w:r w:rsidRPr="00FA3092">
        <w:rPr>
          <w:rFonts w:ascii="Arial" w:hAnsi="Arial" w:cs="Arial"/>
          <w:b/>
        </w:rPr>
        <w:t>Primero.</w:t>
      </w:r>
      <w:r w:rsidRPr="00FA3092">
        <w:rPr>
          <w:rFonts w:ascii="Arial" w:hAnsi="Arial" w:cs="Arial"/>
        </w:rPr>
        <w:t xml:space="preserve"> </w:t>
      </w:r>
      <w:r w:rsidR="00E0485C" w:rsidRPr="00FA3092">
        <w:rPr>
          <w:rFonts w:ascii="Arial" w:hAnsi="Arial" w:cs="Arial"/>
        </w:rPr>
        <w:t xml:space="preserve">Se aprueba el Código de Conducta </w:t>
      </w:r>
      <w:r w:rsidRPr="00FA3092">
        <w:rPr>
          <w:rFonts w:ascii="Arial" w:hAnsi="Arial" w:cs="Arial"/>
        </w:rPr>
        <w:t xml:space="preserve">del Instituto Electoral y de Participación Ciudadana de Tabasco, </w:t>
      </w:r>
      <w:r w:rsidR="00E0485C" w:rsidRPr="00FA3092">
        <w:rPr>
          <w:rFonts w:ascii="Arial" w:hAnsi="Arial" w:cs="Arial"/>
        </w:rPr>
        <w:t xml:space="preserve">propuesto por la Contraloría General del propio Instituto, </w:t>
      </w:r>
      <w:r w:rsidRPr="00FA3092">
        <w:rPr>
          <w:rFonts w:ascii="Arial" w:hAnsi="Arial" w:cs="Arial"/>
        </w:rPr>
        <w:t>anexo a este acuerdo.</w:t>
      </w:r>
    </w:p>
    <w:p w:rsidR="007606A5" w:rsidRPr="00FA3092" w:rsidRDefault="007606A5" w:rsidP="007606A5">
      <w:pPr>
        <w:rPr>
          <w:rFonts w:ascii="Arial" w:hAnsi="Arial" w:cs="Arial"/>
        </w:rPr>
      </w:pPr>
      <w:r w:rsidRPr="00FA3092">
        <w:rPr>
          <w:rFonts w:ascii="Arial" w:hAnsi="Arial" w:cs="Arial"/>
          <w:b/>
        </w:rPr>
        <w:t>Segundo.</w:t>
      </w:r>
      <w:r w:rsidRPr="00FA3092">
        <w:rPr>
          <w:rFonts w:ascii="Arial" w:hAnsi="Arial" w:cs="Arial"/>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7606A5" w:rsidRPr="00FA3092" w:rsidRDefault="007606A5" w:rsidP="007606A5">
      <w:pPr>
        <w:rPr>
          <w:rFonts w:ascii="Arial" w:hAnsi="Arial" w:cs="Arial"/>
        </w:rPr>
      </w:pPr>
      <w:r w:rsidRPr="00FA3092">
        <w:rPr>
          <w:rFonts w:ascii="Arial" w:hAnsi="Arial" w:cs="Arial"/>
          <w:b/>
        </w:rPr>
        <w:t>Tercero.</w:t>
      </w:r>
      <w:r w:rsidRPr="00FA3092">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7606A5" w:rsidRPr="00FA3092" w:rsidRDefault="007606A5" w:rsidP="007606A5">
      <w:pPr>
        <w:rPr>
          <w:rFonts w:ascii="Arial" w:hAnsi="Arial" w:cs="Arial"/>
        </w:rPr>
      </w:pPr>
      <w:r w:rsidRPr="00FA3092">
        <w:rPr>
          <w:rFonts w:ascii="Arial" w:hAnsi="Arial" w:cs="Arial"/>
        </w:rPr>
        <w:t>El presente acuerdo fue</w:t>
      </w:r>
      <w:r w:rsidR="00FA3092">
        <w:rPr>
          <w:rFonts w:ascii="Arial" w:hAnsi="Arial" w:cs="Arial"/>
        </w:rPr>
        <w:t xml:space="preserve"> aprobado</w:t>
      </w:r>
      <w:r w:rsidRPr="00FA3092">
        <w:rPr>
          <w:rFonts w:ascii="Arial" w:hAnsi="Arial" w:cs="Arial"/>
        </w:rPr>
        <w:t xml:space="preserve"> en sesión </w:t>
      </w:r>
      <w:r w:rsidR="00FA3092">
        <w:rPr>
          <w:rFonts w:ascii="Arial" w:hAnsi="Arial" w:cs="Arial"/>
        </w:rPr>
        <w:t>ordinaria</w:t>
      </w:r>
      <w:r w:rsidRPr="00FA3092">
        <w:rPr>
          <w:rFonts w:ascii="Arial" w:hAnsi="Arial" w:cs="Arial"/>
        </w:rPr>
        <w:t xml:space="preserve"> efectuada el</w:t>
      </w:r>
      <w:r w:rsidR="00FA3092">
        <w:rPr>
          <w:rFonts w:ascii="Arial" w:hAnsi="Arial" w:cs="Arial"/>
        </w:rPr>
        <w:t xml:space="preserve"> veintisiete</w:t>
      </w:r>
      <w:r w:rsidRPr="00FA3092">
        <w:rPr>
          <w:rFonts w:ascii="Arial" w:hAnsi="Arial" w:cs="Arial"/>
        </w:rPr>
        <w:t xml:space="preserve"> de </w:t>
      </w:r>
      <w:r w:rsidR="00FA3092">
        <w:rPr>
          <w:rFonts w:ascii="Arial" w:hAnsi="Arial" w:cs="Arial"/>
        </w:rPr>
        <w:t>junio</w:t>
      </w:r>
      <w:r w:rsidRPr="00FA3092">
        <w:rPr>
          <w:rFonts w:ascii="Arial" w:hAnsi="Arial" w:cs="Arial"/>
        </w:rPr>
        <w:t xml:space="preserve"> del año dos mil veinticuatro, por votación </w:t>
      </w:r>
      <w:r w:rsidR="00FA3092">
        <w:rPr>
          <w:rFonts w:ascii="Arial" w:hAnsi="Arial" w:cs="Arial"/>
        </w:rPr>
        <w:t>unánime</w:t>
      </w:r>
      <w:r w:rsidRPr="00FA3092">
        <w:rPr>
          <w:rFonts w:ascii="Arial" w:hAnsi="Arial" w:cs="Arial"/>
        </w:rPr>
        <w:t xml:space="preserve"> de las y los Consejeros Electorales del Consejo Estatal del Instituto Electoral y de Participación Ciudadana de Tabasco: Dra. </w:t>
      </w:r>
      <w:proofErr w:type="spellStart"/>
      <w:r w:rsidRPr="00FA3092">
        <w:rPr>
          <w:rFonts w:ascii="Arial" w:hAnsi="Arial" w:cs="Arial"/>
        </w:rPr>
        <w:t>Rosselvy</w:t>
      </w:r>
      <w:proofErr w:type="spellEnd"/>
      <w:r w:rsidRPr="00FA3092">
        <w:rPr>
          <w:rFonts w:ascii="Arial" w:hAnsi="Arial" w:cs="Arial"/>
        </w:rPr>
        <w:t xml:space="preserve"> del Carmen Domínguez Arévalo, Licda. María Elvia Magaña Sandoval, Mtro. Juan Correa López, M.D. Víctor Humberto Mejía Naranjo, Lic. Hernán González Sala, Lic. Vladimir Hernández Venegas y la Consejera Presidenta, Mtra. Elizabeth Nava Gutiérrez.</w:t>
      </w:r>
    </w:p>
    <w:p w:rsidR="007606A5" w:rsidRDefault="007606A5" w:rsidP="007606A5">
      <w:pPr>
        <w:rPr>
          <w:rFonts w:ascii="Arial" w:hAnsi="Arial" w:cs="Arial"/>
        </w:rPr>
      </w:pPr>
    </w:p>
    <w:p w:rsidR="00FA3092" w:rsidRPr="00FA3092" w:rsidRDefault="00FA3092" w:rsidP="007606A5">
      <w:pPr>
        <w:rPr>
          <w:rFonts w:ascii="Arial" w:hAnsi="Arial" w:cs="Arial"/>
        </w:rPr>
      </w:pPr>
    </w:p>
    <w:p w:rsidR="00157627" w:rsidRPr="00FA3092" w:rsidRDefault="00157627" w:rsidP="007606A5">
      <w:pPr>
        <w:rPr>
          <w:rFonts w:ascii="Arial" w:hAnsi="Arial" w:cs="Arial"/>
        </w:rPr>
      </w:pPr>
    </w:p>
    <w:tbl>
      <w:tblPr>
        <w:tblStyle w:val="Tablaconcuadrcula"/>
        <w:tblW w:w="9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297"/>
        <w:gridCol w:w="4516"/>
      </w:tblGrid>
      <w:tr w:rsidR="00157627" w:rsidRPr="00FA3092" w:rsidTr="00FA3092">
        <w:trPr>
          <w:trHeight w:val="1128"/>
        </w:trPr>
        <w:tc>
          <w:tcPr>
            <w:tcW w:w="4464" w:type="dxa"/>
          </w:tcPr>
          <w:p w:rsidR="00157627" w:rsidRPr="00FA3092" w:rsidRDefault="00157627" w:rsidP="004C3C48">
            <w:pPr>
              <w:spacing w:before="0" w:after="0"/>
              <w:jc w:val="center"/>
              <w:rPr>
                <w:rFonts w:ascii="Arial" w:hAnsi="Arial" w:cs="Arial"/>
                <w:b/>
              </w:rPr>
            </w:pPr>
            <w:r w:rsidRPr="00FA3092">
              <w:rPr>
                <w:rFonts w:ascii="Arial" w:hAnsi="Arial" w:cs="Arial"/>
                <w:b/>
              </w:rPr>
              <w:t>MTRA. ELIZABETH NAVA GUTIÉRREZ</w:t>
            </w:r>
          </w:p>
          <w:p w:rsidR="00157627" w:rsidRPr="00FA3092" w:rsidRDefault="00157627" w:rsidP="004C3C48">
            <w:pPr>
              <w:spacing w:before="0" w:after="0"/>
              <w:jc w:val="center"/>
              <w:rPr>
                <w:rFonts w:ascii="Arial" w:hAnsi="Arial" w:cs="Arial"/>
                <w:b/>
              </w:rPr>
            </w:pPr>
            <w:r w:rsidRPr="00FA3092">
              <w:rPr>
                <w:rFonts w:ascii="Arial" w:hAnsi="Arial" w:cs="Arial"/>
                <w:b/>
              </w:rPr>
              <w:t>CONSEJERA PRESIDENTA</w:t>
            </w:r>
          </w:p>
        </w:tc>
        <w:tc>
          <w:tcPr>
            <w:tcW w:w="297" w:type="dxa"/>
          </w:tcPr>
          <w:p w:rsidR="00157627" w:rsidRPr="00FA3092" w:rsidRDefault="00157627" w:rsidP="004C3C48">
            <w:pPr>
              <w:spacing w:before="0" w:after="0"/>
              <w:rPr>
                <w:rFonts w:ascii="Arial" w:hAnsi="Arial" w:cs="Arial"/>
                <w:b/>
              </w:rPr>
            </w:pPr>
          </w:p>
        </w:tc>
        <w:tc>
          <w:tcPr>
            <w:tcW w:w="4516" w:type="dxa"/>
          </w:tcPr>
          <w:p w:rsidR="00157627" w:rsidRPr="00FA3092" w:rsidRDefault="00157627" w:rsidP="004C3C48">
            <w:pPr>
              <w:spacing w:before="0" w:after="0"/>
              <w:jc w:val="center"/>
              <w:rPr>
                <w:rFonts w:ascii="Arial" w:hAnsi="Arial" w:cs="Arial"/>
                <w:b/>
              </w:rPr>
            </w:pPr>
            <w:r w:rsidRPr="00FA3092">
              <w:rPr>
                <w:rFonts w:ascii="Arial" w:hAnsi="Arial" w:cs="Arial"/>
                <w:b/>
              </w:rPr>
              <w:t>LIC. JORGE ALBERTO ZAVALA FRÍAS</w:t>
            </w:r>
          </w:p>
          <w:p w:rsidR="00157627" w:rsidRPr="00FA3092" w:rsidRDefault="00157627" w:rsidP="004C3C48">
            <w:pPr>
              <w:spacing w:before="0" w:after="0"/>
              <w:jc w:val="center"/>
              <w:rPr>
                <w:rFonts w:ascii="Arial" w:hAnsi="Arial" w:cs="Arial"/>
                <w:b/>
              </w:rPr>
            </w:pPr>
            <w:r w:rsidRPr="00FA3092">
              <w:rPr>
                <w:rFonts w:ascii="Arial" w:hAnsi="Arial" w:cs="Arial"/>
                <w:b/>
              </w:rPr>
              <w:t>SECRETARIO DEL CONSEJO</w:t>
            </w:r>
          </w:p>
        </w:tc>
      </w:tr>
    </w:tbl>
    <w:p w:rsidR="00157627" w:rsidRPr="00FA3092" w:rsidRDefault="00157627" w:rsidP="007606A5">
      <w:pPr>
        <w:rPr>
          <w:rFonts w:ascii="Arial" w:hAnsi="Arial" w:cs="Arial"/>
        </w:rPr>
      </w:pPr>
    </w:p>
    <w:sectPr w:rsidR="00157627" w:rsidRPr="00FA3092" w:rsidSect="00FA3092">
      <w:headerReference w:type="even" r:id="rId7"/>
      <w:headerReference w:type="default" r:id="rId8"/>
      <w:footerReference w:type="even" r:id="rId9"/>
      <w:footerReference w:type="default" r:id="rId10"/>
      <w:headerReference w:type="first" r:id="rId11"/>
      <w:footerReference w:type="first" r:id="rId12"/>
      <w:pgSz w:w="12240" w:h="15840" w:code="1"/>
      <w:pgMar w:top="2694" w:right="1892"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7C50" w:rsidRDefault="00167C50" w:rsidP="00110AC1">
      <w:pPr>
        <w:spacing w:before="0" w:after="0" w:line="240" w:lineRule="auto"/>
      </w:pPr>
      <w:r>
        <w:separator/>
      </w:r>
    </w:p>
  </w:endnote>
  <w:endnote w:type="continuationSeparator" w:id="0">
    <w:p w:rsidR="00167C50" w:rsidRDefault="00167C50" w:rsidP="00110A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354FCC0-0062-4878-A682-696EF695F191}"/>
    <w:embedBold r:id="rId2" w:fontKey="{6B2C2523-9E41-43A5-B951-3EEEF0564BB6}"/>
  </w:font>
  <w:font w:name="Exo">
    <w:altName w:val="Times New Roman"/>
    <w:charset w:val="00"/>
    <w:family w:val="auto"/>
    <w:pitch w:val="variable"/>
    <w:sig w:usb0="A00000FF" w:usb1="4000204B" w:usb2="00000000" w:usb3="00000000" w:csb0="00000193" w:csb1="00000000"/>
    <w:embedRegular r:id="rId3" w:fontKey="{76298B18-3A15-4BAB-8908-5ACA21033DE5}"/>
    <w:embedBold r:id="rId4" w:fontKey="{BC7590FB-AEAF-4327-8566-B1A8D44BE430}"/>
  </w:font>
  <w:font w:name="Calibri Light">
    <w:panose1 w:val="020F0302020204030204"/>
    <w:charset w:val="00"/>
    <w:family w:val="swiss"/>
    <w:pitch w:val="variable"/>
    <w:sig w:usb0="E4002EFF" w:usb1="C000247B" w:usb2="00000009" w:usb3="00000000" w:csb0="000001FF" w:csb1="00000000"/>
    <w:embedRegular r:id="rId5" w:fontKey="{0FBD6FCA-2A7A-46CB-8CCF-BCAC91BEE13F}"/>
    <w:embedItalic r:id="rId6" w:fontKey="{F448E410-4047-41FC-B984-95D0F122E4F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1AD" w:rsidRDefault="000F21A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70548027"/>
      <w:docPartObj>
        <w:docPartGallery w:val="Page Numbers (Top of Page)"/>
        <w:docPartUnique/>
      </w:docPartObj>
    </w:sdtPr>
    <w:sdtEndPr/>
    <w:sdtContent>
      <w:p w:rsidR="00C052CB" w:rsidRPr="00C052CB" w:rsidRDefault="00C052CB" w:rsidP="00C052CB">
        <w:pPr>
          <w:pStyle w:val="Piedepgina"/>
          <w:jc w:val="right"/>
          <w:rPr>
            <w:color w:val="993366"/>
            <w:sz w:val="20"/>
            <w:szCs w:val="20"/>
          </w:rPr>
        </w:pPr>
        <w:r w:rsidRPr="0084107C">
          <w:rPr>
            <w:b/>
            <w:bCs/>
            <w:color w:val="993366"/>
          </w:rPr>
          <w:t xml:space="preserve">Página </w:t>
        </w:r>
        <w:r w:rsidRPr="0084107C">
          <w:rPr>
            <w:b/>
            <w:bCs/>
            <w:color w:val="993366"/>
          </w:rPr>
          <w:fldChar w:fldCharType="begin"/>
        </w:r>
        <w:r w:rsidRPr="0084107C">
          <w:rPr>
            <w:b/>
            <w:bCs/>
            <w:color w:val="993366"/>
          </w:rPr>
          <w:instrText>PAGE</w:instrText>
        </w:r>
        <w:r w:rsidRPr="0084107C">
          <w:rPr>
            <w:b/>
            <w:bCs/>
            <w:color w:val="993366"/>
          </w:rPr>
          <w:fldChar w:fldCharType="separate"/>
        </w:r>
        <w:r w:rsidR="000F21AD">
          <w:rPr>
            <w:b/>
            <w:bCs/>
            <w:noProof/>
            <w:color w:val="993366"/>
          </w:rPr>
          <w:t>2</w:t>
        </w:r>
        <w:r w:rsidRPr="0084107C">
          <w:rPr>
            <w:b/>
            <w:bCs/>
            <w:color w:val="993366"/>
          </w:rPr>
          <w:fldChar w:fldCharType="end"/>
        </w:r>
        <w:r w:rsidRPr="0084107C">
          <w:rPr>
            <w:b/>
            <w:bCs/>
            <w:color w:val="993366"/>
          </w:rPr>
          <w:t xml:space="preserve"> | </w:t>
        </w:r>
        <w:r w:rsidRPr="0084107C">
          <w:rPr>
            <w:b/>
            <w:bCs/>
            <w:color w:val="993366"/>
          </w:rPr>
          <w:fldChar w:fldCharType="begin"/>
        </w:r>
        <w:r w:rsidRPr="0084107C">
          <w:rPr>
            <w:b/>
            <w:bCs/>
            <w:color w:val="993366"/>
          </w:rPr>
          <w:instrText>NUMPAGES</w:instrText>
        </w:r>
        <w:r w:rsidRPr="0084107C">
          <w:rPr>
            <w:b/>
            <w:bCs/>
            <w:color w:val="993366"/>
          </w:rPr>
          <w:fldChar w:fldCharType="separate"/>
        </w:r>
        <w:r w:rsidR="000F21AD">
          <w:rPr>
            <w:b/>
            <w:bCs/>
            <w:noProof/>
            <w:color w:val="993366"/>
          </w:rPr>
          <w:t>9</w:t>
        </w:r>
        <w:r w:rsidRPr="0084107C">
          <w:rPr>
            <w:b/>
            <w:bCs/>
            <w:color w:val="993366"/>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1AD" w:rsidRDefault="000F21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7C50" w:rsidRDefault="00167C50" w:rsidP="00110AC1">
      <w:pPr>
        <w:spacing w:before="0" w:after="0" w:line="240" w:lineRule="auto"/>
      </w:pPr>
      <w:r>
        <w:separator/>
      </w:r>
    </w:p>
  </w:footnote>
  <w:footnote w:type="continuationSeparator" w:id="0">
    <w:p w:rsidR="00167C50" w:rsidRDefault="00167C50" w:rsidP="00110AC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1AD" w:rsidRDefault="000F21A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110AC1" w:rsidRPr="00063338" w:rsidTr="00C16644">
      <w:tc>
        <w:tcPr>
          <w:tcW w:w="1418" w:type="dxa"/>
        </w:tcPr>
        <w:p w:rsidR="00110AC1" w:rsidRPr="00063338" w:rsidRDefault="00110AC1" w:rsidP="00110AC1">
          <w:pPr>
            <w:pStyle w:val="Encabezado"/>
            <w:ind w:left="-170"/>
          </w:pPr>
          <w:r>
            <w:rPr>
              <w:b/>
              <w:noProof/>
              <w:sz w:val="32"/>
              <w:lang w:eastAsia="es-MX"/>
            </w:rPr>
            <w:drawing>
              <wp:inline distT="0" distB="0" distL="0" distR="0" wp14:anchorId="53BCF792" wp14:editId="13728E88">
                <wp:extent cx="1014331" cy="1199403"/>
                <wp:effectExtent l="0" t="0" r="0" b="1270"/>
                <wp:docPr id="3" name="Imagen 3"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110AC1" w:rsidRPr="00FA6047" w:rsidRDefault="00110AC1" w:rsidP="00110AC1">
          <w:pPr>
            <w:pStyle w:val="Encabezado"/>
            <w:spacing w:before="720"/>
            <w:jc w:val="center"/>
            <w:rPr>
              <w:rFonts w:ascii="Arial" w:hAnsi="Arial" w:cs="Arial"/>
              <w:b/>
              <w:bCs/>
              <w:sz w:val="25"/>
              <w:szCs w:val="25"/>
            </w:rPr>
          </w:pPr>
          <w:r w:rsidRPr="00FA6047">
            <w:rPr>
              <w:rFonts w:ascii="Arial" w:hAnsi="Arial" w:cs="Arial"/>
              <w:b/>
              <w:bCs/>
              <w:sz w:val="25"/>
              <w:szCs w:val="25"/>
            </w:rPr>
            <w:t>INSTITUTO ELECTORAL Y DE PARTICIPACIÓN CIUDADANA DE TABASCO</w:t>
          </w:r>
        </w:p>
        <w:p w:rsidR="00110AC1" w:rsidRPr="00063338" w:rsidRDefault="00110AC1" w:rsidP="00110AC1">
          <w:pPr>
            <w:pStyle w:val="Encabezado"/>
            <w:jc w:val="center"/>
          </w:pPr>
          <w:r w:rsidRPr="00FA6047">
            <w:rPr>
              <w:rFonts w:ascii="Arial" w:hAnsi="Arial" w:cs="Arial"/>
              <w:sz w:val="26"/>
              <w:szCs w:val="26"/>
            </w:rPr>
            <w:t>CONSEJO ESTATAL</w:t>
          </w:r>
        </w:p>
      </w:tc>
      <w:tc>
        <w:tcPr>
          <w:tcW w:w="1701" w:type="dxa"/>
        </w:tcPr>
        <w:p w:rsidR="00110AC1" w:rsidRPr="00063338" w:rsidRDefault="00110AC1" w:rsidP="00110AC1">
          <w:pPr>
            <w:pStyle w:val="Encabezado"/>
            <w:spacing w:before="480"/>
          </w:pPr>
          <w:r>
            <w:rPr>
              <w:noProof/>
              <w:lang w:eastAsia="es-MX"/>
            </w:rPr>
            <w:drawing>
              <wp:inline distT="0" distB="0" distL="0" distR="0" wp14:anchorId="2CD2BFDD" wp14:editId="2C174D90">
                <wp:extent cx="921600" cy="756000"/>
                <wp:effectExtent l="0" t="0" r="0" b="6350"/>
                <wp:docPr id="4" name="Imagen 4"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70035" name="Imagen 216570035"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rsidR="00110AC1" w:rsidRPr="00FA3092" w:rsidRDefault="00FA3092" w:rsidP="00FA3092">
    <w:pPr>
      <w:pStyle w:val="Encabezado"/>
      <w:tabs>
        <w:tab w:val="clear" w:pos="4419"/>
        <w:tab w:val="clear" w:pos="8838"/>
        <w:tab w:val="left" w:pos="6045"/>
      </w:tabs>
      <w:jc w:val="right"/>
      <w:rPr>
        <w:rFonts w:ascii="Arial" w:hAnsi="Arial" w:cs="Arial"/>
        <w:b/>
        <w:sz w:val="24"/>
        <w:szCs w:val="24"/>
      </w:rPr>
    </w:pPr>
    <w:r>
      <w:tab/>
    </w:r>
    <w:r w:rsidR="000F21AD">
      <w:rPr>
        <w:rFonts w:ascii="Arial" w:hAnsi="Arial" w:cs="Arial"/>
        <w:b/>
        <w:sz w:val="24"/>
        <w:szCs w:val="24"/>
      </w:rPr>
      <w:t>CE/2024/083</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1AD" w:rsidRDefault="000F21A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07F7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2180581F"/>
    <w:multiLevelType w:val="hybridMultilevel"/>
    <w:tmpl w:val="AA2E36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3572887"/>
    <w:multiLevelType w:val="hybridMultilevel"/>
    <w:tmpl w:val="7A6042C2"/>
    <w:lvl w:ilvl="0" w:tplc="C6040C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A5"/>
    <w:rsid w:val="000417D1"/>
    <w:rsid w:val="0007076C"/>
    <w:rsid w:val="000D4091"/>
    <w:rsid w:val="000E2F03"/>
    <w:rsid w:val="000F21AD"/>
    <w:rsid w:val="00110AC1"/>
    <w:rsid w:val="00157627"/>
    <w:rsid w:val="00167C50"/>
    <w:rsid w:val="001971CB"/>
    <w:rsid w:val="002067C2"/>
    <w:rsid w:val="002368F2"/>
    <w:rsid w:val="00255A5D"/>
    <w:rsid w:val="002C1AB6"/>
    <w:rsid w:val="003C3D66"/>
    <w:rsid w:val="003F0DF2"/>
    <w:rsid w:val="003F1868"/>
    <w:rsid w:val="004035C4"/>
    <w:rsid w:val="004233AF"/>
    <w:rsid w:val="0042504F"/>
    <w:rsid w:val="00450176"/>
    <w:rsid w:val="00451A0D"/>
    <w:rsid w:val="00461F11"/>
    <w:rsid w:val="00494ED9"/>
    <w:rsid w:val="004B6238"/>
    <w:rsid w:val="004C2DA1"/>
    <w:rsid w:val="00545540"/>
    <w:rsid w:val="005A230A"/>
    <w:rsid w:val="00636B4D"/>
    <w:rsid w:val="0064462F"/>
    <w:rsid w:val="00657BD1"/>
    <w:rsid w:val="00681807"/>
    <w:rsid w:val="007562A5"/>
    <w:rsid w:val="007606A5"/>
    <w:rsid w:val="007A3988"/>
    <w:rsid w:val="007A53FF"/>
    <w:rsid w:val="007B1E70"/>
    <w:rsid w:val="007D4787"/>
    <w:rsid w:val="007E1430"/>
    <w:rsid w:val="00807B79"/>
    <w:rsid w:val="00896458"/>
    <w:rsid w:val="00952D3F"/>
    <w:rsid w:val="009713ED"/>
    <w:rsid w:val="009C53D3"/>
    <w:rsid w:val="009E6357"/>
    <w:rsid w:val="00A0531C"/>
    <w:rsid w:val="00A138BD"/>
    <w:rsid w:val="00B076FA"/>
    <w:rsid w:val="00BE381E"/>
    <w:rsid w:val="00C052CB"/>
    <w:rsid w:val="00C16BCA"/>
    <w:rsid w:val="00C672DA"/>
    <w:rsid w:val="00CA0035"/>
    <w:rsid w:val="00D40255"/>
    <w:rsid w:val="00D64869"/>
    <w:rsid w:val="00DB67D4"/>
    <w:rsid w:val="00DB75D8"/>
    <w:rsid w:val="00DE0CF7"/>
    <w:rsid w:val="00E0485C"/>
    <w:rsid w:val="00E42D56"/>
    <w:rsid w:val="00EB5DA6"/>
    <w:rsid w:val="00EE7A4D"/>
    <w:rsid w:val="00F13AC6"/>
    <w:rsid w:val="00F163F2"/>
    <w:rsid w:val="00F90627"/>
    <w:rsid w:val="00FA3092"/>
    <w:rsid w:val="00FD49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DD645"/>
  <w15:chartTrackingRefBased/>
  <w15:docId w15:val="{6ED816AD-BC42-4ABC-93F0-10AF01106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6A5"/>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7606A5"/>
    <w:pPr>
      <w:numPr>
        <w:numId w:val="3"/>
      </w:numPr>
      <w:spacing w:before="480" w:after="360"/>
      <w:jc w:val="center"/>
      <w:outlineLvl w:val="0"/>
    </w:pPr>
    <w:rPr>
      <w:b/>
      <w:sz w:val="28"/>
    </w:rPr>
  </w:style>
  <w:style w:type="paragraph" w:styleId="Ttulo2">
    <w:name w:val="heading 2"/>
    <w:basedOn w:val="Normal"/>
    <w:next w:val="Normal"/>
    <w:link w:val="Ttulo2Car"/>
    <w:uiPriority w:val="9"/>
    <w:unhideWhenUsed/>
    <w:qFormat/>
    <w:rsid w:val="007606A5"/>
    <w:pPr>
      <w:numPr>
        <w:ilvl w:val="1"/>
        <w:numId w:val="3"/>
      </w:numPr>
      <w:spacing w:before="480"/>
      <w:outlineLvl w:val="1"/>
    </w:pPr>
    <w:rPr>
      <w:b/>
      <w:sz w:val="24"/>
    </w:rPr>
  </w:style>
  <w:style w:type="paragraph" w:styleId="Ttulo3">
    <w:name w:val="heading 3"/>
    <w:basedOn w:val="Normal"/>
    <w:next w:val="Normal"/>
    <w:link w:val="Ttulo3Car"/>
    <w:uiPriority w:val="9"/>
    <w:semiHidden/>
    <w:unhideWhenUsed/>
    <w:qFormat/>
    <w:rsid w:val="00545540"/>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45540"/>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45540"/>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45540"/>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45540"/>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4554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4554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06A5"/>
    <w:rPr>
      <w:rFonts w:ascii="Exo" w:hAnsi="Exo"/>
      <w:b/>
      <w:sz w:val="28"/>
      <w:szCs w:val="23"/>
    </w:rPr>
  </w:style>
  <w:style w:type="character" w:customStyle="1" w:styleId="Ttulo2Car">
    <w:name w:val="Título 2 Car"/>
    <w:basedOn w:val="Fuentedeprrafopredeter"/>
    <w:link w:val="Ttulo2"/>
    <w:uiPriority w:val="9"/>
    <w:rsid w:val="007606A5"/>
    <w:rPr>
      <w:rFonts w:ascii="Exo" w:hAnsi="Exo"/>
      <w:b/>
      <w:sz w:val="24"/>
      <w:szCs w:val="23"/>
    </w:rPr>
  </w:style>
  <w:style w:type="paragraph" w:styleId="Prrafodelista">
    <w:name w:val="List Paragraph"/>
    <w:basedOn w:val="Normal"/>
    <w:uiPriority w:val="34"/>
    <w:qFormat/>
    <w:rsid w:val="007606A5"/>
    <w:pPr>
      <w:ind w:left="720"/>
      <w:contextualSpacing/>
    </w:pPr>
  </w:style>
  <w:style w:type="paragraph" w:styleId="Encabezado">
    <w:name w:val="header"/>
    <w:basedOn w:val="Normal"/>
    <w:link w:val="EncabezadoCar"/>
    <w:uiPriority w:val="99"/>
    <w:unhideWhenUsed/>
    <w:rsid w:val="00110AC1"/>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110AC1"/>
    <w:rPr>
      <w:rFonts w:ascii="Exo" w:hAnsi="Exo"/>
      <w:sz w:val="23"/>
      <w:szCs w:val="23"/>
    </w:rPr>
  </w:style>
  <w:style w:type="paragraph" w:styleId="Piedepgina">
    <w:name w:val="footer"/>
    <w:basedOn w:val="Normal"/>
    <w:link w:val="PiedepginaCar"/>
    <w:uiPriority w:val="99"/>
    <w:unhideWhenUsed/>
    <w:rsid w:val="00110AC1"/>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110AC1"/>
    <w:rPr>
      <w:rFonts w:ascii="Exo" w:hAnsi="Exo"/>
      <w:sz w:val="23"/>
      <w:szCs w:val="23"/>
    </w:rPr>
  </w:style>
  <w:style w:type="table" w:styleId="Tablaconcuadrcula">
    <w:name w:val="Table Grid"/>
    <w:basedOn w:val="Tablanormal"/>
    <w:uiPriority w:val="39"/>
    <w:rsid w:val="00110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545540"/>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545540"/>
    <w:rPr>
      <w:rFonts w:asciiTheme="majorHAnsi" w:eastAsiaTheme="majorEastAsia" w:hAnsiTheme="majorHAnsi" w:cstheme="majorBidi"/>
      <w:i/>
      <w:iCs/>
      <w:color w:val="2E74B5" w:themeColor="accent1" w:themeShade="BF"/>
      <w:sz w:val="23"/>
      <w:szCs w:val="23"/>
    </w:rPr>
  </w:style>
  <w:style w:type="character" w:customStyle="1" w:styleId="Ttulo5Car">
    <w:name w:val="Título 5 Car"/>
    <w:basedOn w:val="Fuentedeprrafopredeter"/>
    <w:link w:val="Ttulo5"/>
    <w:uiPriority w:val="9"/>
    <w:semiHidden/>
    <w:rsid w:val="00545540"/>
    <w:rPr>
      <w:rFonts w:asciiTheme="majorHAnsi" w:eastAsiaTheme="majorEastAsia" w:hAnsiTheme="majorHAnsi" w:cstheme="majorBidi"/>
      <w:color w:val="2E74B5" w:themeColor="accent1" w:themeShade="BF"/>
      <w:sz w:val="23"/>
      <w:szCs w:val="23"/>
    </w:rPr>
  </w:style>
  <w:style w:type="character" w:customStyle="1" w:styleId="Ttulo6Car">
    <w:name w:val="Título 6 Car"/>
    <w:basedOn w:val="Fuentedeprrafopredeter"/>
    <w:link w:val="Ttulo6"/>
    <w:uiPriority w:val="9"/>
    <w:semiHidden/>
    <w:rsid w:val="00545540"/>
    <w:rPr>
      <w:rFonts w:asciiTheme="majorHAnsi" w:eastAsiaTheme="majorEastAsia" w:hAnsiTheme="majorHAnsi" w:cstheme="majorBidi"/>
      <w:color w:val="1F4D78" w:themeColor="accent1" w:themeShade="7F"/>
      <w:sz w:val="23"/>
      <w:szCs w:val="23"/>
    </w:rPr>
  </w:style>
  <w:style w:type="character" w:customStyle="1" w:styleId="Ttulo7Car">
    <w:name w:val="Título 7 Car"/>
    <w:basedOn w:val="Fuentedeprrafopredeter"/>
    <w:link w:val="Ttulo7"/>
    <w:uiPriority w:val="9"/>
    <w:semiHidden/>
    <w:rsid w:val="00545540"/>
    <w:rPr>
      <w:rFonts w:asciiTheme="majorHAnsi" w:eastAsiaTheme="majorEastAsia" w:hAnsiTheme="majorHAnsi" w:cstheme="majorBidi"/>
      <w:i/>
      <w:iCs/>
      <w:color w:val="1F4D78" w:themeColor="accent1" w:themeShade="7F"/>
      <w:sz w:val="23"/>
      <w:szCs w:val="23"/>
    </w:rPr>
  </w:style>
  <w:style w:type="character" w:customStyle="1" w:styleId="Ttulo8Car">
    <w:name w:val="Título 8 Car"/>
    <w:basedOn w:val="Fuentedeprrafopredeter"/>
    <w:link w:val="Ttulo8"/>
    <w:uiPriority w:val="9"/>
    <w:semiHidden/>
    <w:rsid w:val="005455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4554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9</Pages>
  <Words>2621</Words>
  <Characters>14417</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Silverio Henández Hernández</cp:lastModifiedBy>
  <cp:revision>43</cp:revision>
  <dcterms:created xsi:type="dcterms:W3CDTF">2024-04-19T02:07:00Z</dcterms:created>
  <dcterms:modified xsi:type="dcterms:W3CDTF">2024-06-29T18:36:00Z</dcterms:modified>
</cp:coreProperties>
</file>