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684" w:rsidRPr="008F7508" w:rsidRDefault="00696684" w:rsidP="00696684">
      <w:pPr>
        <w:spacing w:after="0"/>
        <w:jc w:val="center"/>
        <w:rPr>
          <w:rFonts w:ascii="Arial" w:hAnsi="Arial" w:cs="Arial"/>
          <w:b/>
          <w:sz w:val="28"/>
          <w:szCs w:val="28"/>
          <w:lang w:val="es-ES"/>
        </w:rPr>
      </w:pPr>
      <w:r w:rsidRPr="008F7508">
        <w:rPr>
          <w:rFonts w:ascii="Arial" w:hAnsi="Arial" w:cs="Arial"/>
          <w:b/>
          <w:sz w:val="28"/>
          <w:szCs w:val="28"/>
          <w:lang w:val="es-ES"/>
        </w:rPr>
        <w:t>SESIÓN EXTRAORDINARIA</w:t>
      </w:r>
      <w:r w:rsidR="00A27885" w:rsidRPr="008F7508">
        <w:rPr>
          <w:rFonts w:ascii="Arial" w:hAnsi="Arial" w:cs="Arial"/>
          <w:b/>
          <w:sz w:val="28"/>
          <w:szCs w:val="28"/>
          <w:lang w:val="es-ES"/>
        </w:rPr>
        <w:t xml:space="preserve"> </w:t>
      </w:r>
    </w:p>
    <w:p w:rsidR="00696684" w:rsidRPr="008F7508" w:rsidRDefault="008F7508" w:rsidP="00696684">
      <w:pPr>
        <w:spacing w:after="0"/>
        <w:jc w:val="center"/>
        <w:rPr>
          <w:rFonts w:ascii="Arial" w:hAnsi="Arial" w:cs="Arial"/>
          <w:sz w:val="28"/>
          <w:szCs w:val="28"/>
          <w:lang w:val="es-ES"/>
        </w:rPr>
      </w:pPr>
      <w:r w:rsidRPr="008F7508">
        <w:rPr>
          <w:rFonts w:ascii="Arial" w:hAnsi="Arial" w:cs="Arial"/>
          <w:sz w:val="28"/>
          <w:szCs w:val="28"/>
          <w:lang w:val="es-ES"/>
        </w:rPr>
        <w:t>SABADO</w:t>
      </w:r>
      <w:r w:rsidR="00E91638" w:rsidRPr="008F7508">
        <w:rPr>
          <w:rFonts w:ascii="Arial" w:hAnsi="Arial" w:cs="Arial"/>
          <w:sz w:val="28"/>
          <w:szCs w:val="28"/>
          <w:lang w:val="es-ES"/>
        </w:rPr>
        <w:t xml:space="preserve">, </w:t>
      </w:r>
      <w:r w:rsidRPr="008F7508">
        <w:rPr>
          <w:rFonts w:ascii="Arial" w:hAnsi="Arial" w:cs="Arial"/>
          <w:sz w:val="28"/>
          <w:szCs w:val="28"/>
          <w:lang w:val="es-ES"/>
        </w:rPr>
        <w:t>27</w:t>
      </w:r>
      <w:r w:rsidR="00584A86" w:rsidRPr="008F7508">
        <w:rPr>
          <w:rFonts w:ascii="Arial" w:hAnsi="Arial" w:cs="Arial"/>
          <w:sz w:val="28"/>
          <w:szCs w:val="28"/>
          <w:lang w:val="es-ES"/>
        </w:rPr>
        <w:t xml:space="preserve"> DE ENERO</w:t>
      </w:r>
      <w:r w:rsidR="00696684" w:rsidRPr="008F7508">
        <w:rPr>
          <w:rFonts w:ascii="Arial" w:hAnsi="Arial" w:cs="Arial"/>
          <w:sz w:val="28"/>
          <w:szCs w:val="28"/>
          <w:lang w:val="es-ES"/>
        </w:rPr>
        <w:t xml:space="preserve"> DE 202</w:t>
      </w:r>
      <w:r w:rsidR="00584A86" w:rsidRPr="008F7508">
        <w:rPr>
          <w:rFonts w:ascii="Arial" w:hAnsi="Arial" w:cs="Arial"/>
          <w:sz w:val="28"/>
          <w:szCs w:val="28"/>
          <w:lang w:val="es-ES"/>
        </w:rPr>
        <w:t>4</w:t>
      </w:r>
    </w:p>
    <w:p w:rsidR="00696684" w:rsidRPr="008F7508" w:rsidRDefault="00E95CCC" w:rsidP="00696684">
      <w:pPr>
        <w:spacing w:after="0"/>
        <w:jc w:val="center"/>
        <w:rPr>
          <w:rFonts w:ascii="Arial" w:hAnsi="Arial" w:cs="Arial"/>
          <w:b/>
          <w:sz w:val="28"/>
          <w:szCs w:val="28"/>
          <w:lang w:val="es-ES"/>
        </w:rPr>
      </w:pPr>
      <w:r w:rsidRPr="008F7508">
        <w:rPr>
          <w:rFonts w:ascii="Arial" w:hAnsi="Arial" w:cs="Arial"/>
          <w:b/>
          <w:sz w:val="28"/>
          <w:szCs w:val="28"/>
          <w:lang w:val="es-ES"/>
        </w:rPr>
        <w:t>1</w:t>
      </w:r>
      <w:r w:rsidR="008F7508" w:rsidRPr="008F7508">
        <w:rPr>
          <w:rFonts w:ascii="Arial" w:hAnsi="Arial" w:cs="Arial"/>
          <w:b/>
          <w:sz w:val="28"/>
          <w:szCs w:val="28"/>
          <w:lang w:val="es-ES"/>
        </w:rPr>
        <w:t>2</w:t>
      </w:r>
      <w:r w:rsidR="00696684" w:rsidRPr="008F7508">
        <w:rPr>
          <w:rFonts w:ascii="Arial" w:hAnsi="Arial" w:cs="Arial"/>
          <w:b/>
          <w:sz w:val="28"/>
          <w:szCs w:val="28"/>
          <w:lang w:val="es-ES"/>
        </w:rPr>
        <w:t>:00 HORAS</w:t>
      </w:r>
    </w:p>
    <w:p w:rsidR="00696684" w:rsidRPr="008F7508" w:rsidRDefault="00696684" w:rsidP="00696684">
      <w:pPr>
        <w:spacing w:after="0"/>
        <w:jc w:val="center"/>
        <w:rPr>
          <w:rFonts w:ascii="Arial" w:hAnsi="Arial" w:cs="Arial"/>
          <w:sz w:val="28"/>
          <w:szCs w:val="28"/>
          <w:lang w:val="es-ES"/>
        </w:rPr>
      </w:pPr>
    </w:p>
    <w:p w:rsidR="00696684" w:rsidRPr="008F7508" w:rsidRDefault="00696684" w:rsidP="00696684">
      <w:pPr>
        <w:jc w:val="center"/>
        <w:rPr>
          <w:rFonts w:ascii="Arial" w:hAnsi="Arial" w:cs="Arial"/>
          <w:b/>
          <w:sz w:val="28"/>
          <w:szCs w:val="28"/>
        </w:rPr>
      </w:pPr>
      <w:r w:rsidRPr="008F7508">
        <w:rPr>
          <w:rFonts w:ascii="Arial" w:hAnsi="Arial" w:cs="Arial"/>
          <w:b/>
          <w:sz w:val="28"/>
          <w:szCs w:val="28"/>
        </w:rPr>
        <w:t>ORDEN DEL DÍA</w:t>
      </w:r>
    </w:p>
    <w:p w:rsidR="00696684" w:rsidRPr="008F7508" w:rsidRDefault="00696684" w:rsidP="00696684">
      <w:pPr>
        <w:spacing w:after="0"/>
        <w:jc w:val="center"/>
        <w:rPr>
          <w:lang w:val="es-ES"/>
        </w:rPr>
      </w:pPr>
    </w:p>
    <w:p w:rsidR="00696684" w:rsidRPr="008F7508" w:rsidRDefault="00696684" w:rsidP="003F38B6">
      <w:pPr>
        <w:pStyle w:val="Prrafodelista"/>
        <w:numPr>
          <w:ilvl w:val="0"/>
          <w:numId w:val="4"/>
        </w:numPr>
        <w:spacing w:before="240" w:after="240" w:line="276" w:lineRule="auto"/>
        <w:ind w:left="357" w:hanging="357"/>
        <w:contextualSpacing w:val="0"/>
        <w:rPr>
          <w:rFonts w:ascii="Arial" w:hAnsi="Arial" w:cs="Arial"/>
          <w:sz w:val="24"/>
          <w:szCs w:val="24"/>
          <w:lang w:val="es-ES"/>
        </w:rPr>
      </w:pPr>
      <w:r w:rsidRPr="008F7508">
        <w:rPr>
          <w:rFonts w:ascii="Arial" w:hAnsi="Arial" w:cs="Arial"/>
          <w:sz w:val="24"/>
          <w:szCs w:val="24"/>
          <w:lang w:val="es-ES"/>
        </w:rPr>
        <w:t>Lista de asistencia</w:t>
      </w:r>
    </w:p>
    <w:p w:rsidR="00696684" w:rsidRPr="008F7508" w:rsidRDefault="00696684" w:rsidP="003F38B6">
      <w:pPr>
        <w:pStyle w:val="Prrafodelista"/>
        <w:numPr>
          <w:ilvl w:val="0"/>
          <w:numId w:val="4"/>
        </w:numPr>
        <w:spacing w:before="240" w:after="240" w:line="276" w:lineRule="auto"/>
        <w:ind w:left="426" w:hanging="426"/>
        <w:contextualSpacing w:val="0"/>
        <w:jc w:val="both"/>
        <w:rPr>
          <w:rFonts w:ascii="Arial" w:hAnsi="Arial" w:cs="Arial"/>
          <w:sz w:val="24"/>
          <w:szCs w:val="24"/>
        </w:rPr>
      </w:pPr>
      <w:r w:rsidRPr="008F7508">
        <w:rPr>
          <w:rFonts w:ascii="Arial" w:hAnsi="Arial" w:cs="Arial"/>
          <w:sz w:val="24"/>
          <w:szCs w:val="24"/>
        </w:rPr>
        <w:t xml:space="preserve">Declaración de quórum; </w:t>
      </w:r>
    </w:p>
    <w:p w:rsidR="00E95CCC" w:rsidRPr="008F7508" w:rsidRDefault="00696684" w:rsidP="007C45A6">
      <w:pPr>
        <w:pStyle w:val="Prrafodelista"/>
        <w:numPr>
          <w:ilvl w:val="0"/>
          <w:numId w:val="4"/>
        </w:numPr>
        <w:spacing w:before="240" w:after="240" w:line="276" w:lineRule="auto"/>
        <w:ind w:left="357" w:hanging="357"/>
        <w:contextualSpacing w:val="0"/>
        <w:rPr>
          <w:rFonts w:ascii="Arial" w:hAnsi="Arial" w:cs="Arial"/>
          <w:b/>
          <w:sz w:val="24"/>
          <w:szCs w:val="24"/>
        </w:rPr>
      </w:pPr>
      <w:r w:rsidRPr="008F7508">
        <w:rPr>
          <w:rFonts w:ascii="Arial" w:hAnsi="Arial" w:cs="Arial"/>
          <w:sz w:val="24"/>
          <w:szCs w:val="24"/>
          <w:lang w:val="es-ES"/>
        </w:rPr>
        <w:t>Aprobación del orden del día</w:t>
      </w:r>
      <w:r w:rsidR="00DF2A8F" w:rsidRPr="008F7508">
        <w:rPr>
          <w:rFonts w:ascii="Arial" w:hAnsi="Arial" w:cs="Arial"/>
          <w:sz w:val="24"/>
          <w:szCs w:val="24"/>
          <w:lang w:val="es-ES"/>
        </w:rPr>
        <w:t>;</w:t>
      </w:r>
      <w:bookmarkStart w:id="0" w:name="_GoBack"/>
      <w:bookmarkEnd w:id="0"/>
    </w:p>
    <w:p w:rsidR="00116456" w:rsidRPr="008F7508" w:rsidRDefault="00116456" w:rsidP="00116456">
      <w:pPr>
        <w:pStyle w:val="Prrafodelista"/>
        <w:numPr>
          <w:ilvl w:val="0"/>
          <w:numId w:val="4"/>
        </w:numPr>
        <w:spacing w:before="240" w:after="240" w:line="276" w:lineRule="auto"/>
        <w:contextualSpacing w:val="0"/>
        <w:jc w:val="both"/>
        <w:rPr>
          <w:rFonts w:ascii="Arial" w:hAnsi="Arial" w:cs="Arial"/>
          <w:sz w:val="24"/>
          <w:szCs w:val="24"/>
        </w:rPr>
      </w:pPr>
      <w:r w:rsidRPr="008F7508">
        <w:rPr>
          <w:rFonts w:ascii="Arial" w:hAnsi="Arial" w:cs="Arial"/>
          <w:sz w:val="24"/>
          <w:szCs w:val="24"/>
        </w:rPr>
        <w:t>Presentación y aprobación, en su caso, del proyecto de acuerdo que emite el Consejo Estatal del Instituto Electoral y de Participación Ciudadana de Tabasco, mediante el cual aprueba el registro de las plataformas electorales presentadas por los partidos políticos nacionales acreditados ante el propio Consejo Estatal con motivo del Proceso Electoral Local Ordinario 2023 – 2024</w:t>
      </w:r>
      <w:r w:rsidR="008F7508">
        <w:rPr>
          <w:rFonts w:ascii="Arial" w:hAnsi="Arial" w:cs="Arial"/>
          <w:sz w:val="24"/>
          <w:szCs w:val="24"/>
        </w:rPr>
        <w:t>;</w:t>
      </w:r>
    </w:p>
    <w:p w:rsidR="00116456" w:rsidRPr="008F7508" w:rsidRDefault="00116456" w:rsidP="00116456">
      <w:pPr>
        <w:pStyle w:val="Prrafodelista"/>
        <w:numPr>
          <w:ilvl w:val="0"/>
          <w:numId w:val="4"/>
        </w:numPr>
        <w:spacing w:before="240" w:after="240" w:line="276" w:lineRule="auto"/>
        <w:contextualSpacing w:val="0"/>
        <w:jc w:val="both"/>
        <w:rPr>
          <w:rFonts w:ascii="Arial" w:hAnsi="Arial" w:cs="Arial"/>
          <w:sz w:val="24"/>
          <w:szCs w:val="24"/>
        </w:rPr>
      </w:pPr>
      <w:r w:rsidRPr="008F7508">
        <w:rPr>
          <w:rFonts w:ascii="Arial" w:hAnsi="Arial" w:cs="Arial"/>
          <w:sz w:val="24"/>
          <w:szCs w:val="24"/>
        </w:rPr>
        <w:t>Presentación y aprobación, en su caso, del proyecto de acuerdo que emite el Consejo Estatal del Instituto Electoral y de Participación Ciudadana de Tabasco, mediante el cual sustituye a las Consejerías Electorales que quedaron vacantes en los Consejos Electorales Distritales con motivo del Proceso Electoral Local Ordinario 2023 – 2024</w:t>
      </w:r>
      <w:r w:rsidR="008F7508">
        <w:rPr>
          <w:rFonts w:ascii="Arial" w:hAnsi="Arial" w:cs="Arial"/>
          <w:sz w:val="24"/>
          <w:szCs w:val="24"/>
        </w:rPr>
        <w:t>;</w:t>
      </w:r>
    </w:p>
    <w:p w:rsidR="00116456" w:rsidRPr="008F7508" w:rsidRDefault="00116456" w:rsidP="00116456">
      <w:pPr>
        <w:pStyle w:val="Prrafodelista"/>
        <w:numPr>
          <w:ilvl w:val="0"/>
          <w:numId w:val="4"/>
        </w:numPr>
        <w:spacing w:before="240" w:after="240" w:line="276" w:lineRule="auto"/>
        <w:contextualSpacing w:val="0"/>
        <w:jc w:val="both"/>
        <w:rPr>
          <w:rFonts w:ascii="Arial" w:hAnsi="Arial" w:cs="Arial"/>
          <w:sz w:val="24"/>
          <w:szCs w:val="24"/>
        </w:rPr>
      </w:pPr>
      <w:r w:rsidRPr="008F7508">
        <w:rPr>
          <w:rFonts w:ascii="Arial" w:hAnsi="Arial" w:cs="Arial"/>
          <w:sz w:val="24"/>
          <w:szCs w:val="24"/>
        </w:rPr>
        <w:t xml:space="preserve">Presentación y aprobación, en su caso, de los proyectos que, a propuesta de la Secretaría Ejecutiva, emite el Consejo Estatal del Instituto Electoral y de Participación Ciudadana de Tabasco en los Procedimientos Especiales Sancionadores siguientes: </w:t>
      </w:r>
    </w:p>
    <w:p w:rsidR="00116456" w:rsidRPr="008F7508" w:rsidRDefault="00116456" w:rsidP="00116456">
      <w:pPr>
        <w:pStyle w:val="Prrafodelista"/>
        <w:numPr>
          <w:ilvl w:val="1"/>
          <w:numId w:val="4"/>
        </w:numPr>
        <w:spacing w:before="240" w:after="240" w:line="276" w:lineRule="auto"/>
        <w:contextualSpacing w:val="0"/>
        <w:jc w:val="both"/>
        <w:rPr>
          <w:rFonts w:ascii="Arial" w:hAnsi="Arial" w:cs="Arial"/>
          <w:sz w:val="24"/>
          <w:szCs w:val="24"/>
        </w:rPr>
      </w:pPr>
      <w:r w:rsidRPr="008F7508">
        <w:rPr>
          <w:rFonts w:ascii="Arial" w:hAnsi="Arial" w:cs="Arial"/>
          <w:sz w:val="24"/>
          <w:szCs w:val="24"/>
        </w:rPr>
        <w:t>PES/011/2022 por la que se declara la existencia de actos de violencia política contra la mujer en razón de género atribuidos a las cuentas de Facebook “</w:t>
      </w:r>
      <w:proofErr w:type="spellStart"/>
      <w:r w:rsidRPr="008F7508">
        <w:rPr>
          <w:rFonts w:ascii="Arial" w:hAnsi="Arial" w:cs="Arial"/>
          <w:sz w:val="24"/>
          <w:szCs w:val="24"/>
        </w:rPr>
        <w:t>Ignasio</w:t>
      </w:r>
      <w:proofErr w:type="spellEnd"/>
      <w:r w:rsidRPr="008F7508">
        <w:rPr>
          <w:rFonts w:ascii="Arial" w:hAnsi="Arial" w:cs="Arial"/>
          <w:sz w:val="24"/>
          <w:szCs w:val="24"/>
        </w:rPr>
        <w:t xml:space="preserve"> </w:t>
      </w:r>
      <w:proofErr w:type="spellStart"/>
      <w:r w:rsidRPr="008F7508">
        <w:rPr>
          <w:rFonts w:ascii="Arial" w:hAnsi="Arial" w:cs="Arial"/>
          <w:sz w:val="24"/>
          <w:szCs w:val="24"/>
        </w:rPr>
        <w:t>Domingues</w:t>
      </w:r>
      <w:proofErr w:type="spellEnd"/>
      <w:r w:rsidRPr="008F7508">
        <w:rPr>
          <w:rFonts w:ascii="Arial" w:hAnsi="Arial" w:cs="Arial"/>
          <w:sz w:val="24"/>
          <w:szCs w:val="24"/>
        </w:rPr>
        <w:t>” y “</w:t>
      </w:r>
      <w:proofErr w:type="spellStart"/>
      <w:r w:rsidRPr="008F7508">
        <w:rPr>
          <w:rFonts w:ascii="Arial" w:hAnsi="Arial" w:cs="Arial"/>
          <w:sz w:val="24"/>
          <w:szCs w:val="24"/>
        </w:rPr>
        <w:t>Nanci</w:t>
      </w:r>
      <w:proofErr w:type="spellEnd"/>
      <w:r w:rsidRPr="008F7508">
        <w:rPr>
          <w:rFonts w:ascii="Arial" w:hAnsi="Arial" w:cs="Arial"/>
          <w:sz w:val="24"/>
          <w:szCs w:val="24"/>
        </w:rPr>
        <w:t xml:space="preserve"> </w:t>
      </w:r>
      <w:proofErr w:type="spellStart"/>
      <w:r w:rsidRPr="008F7508">
        <w:rPr>
          <w:rFonts w:ascii="Arial" w:hAnsi="Arial" w:cs="Arial"/>
          <w:sz w:val="24"/>
          <w:szCs w:val="24"/>
        </w:rPr>
        <w:t>Canepa</w:t>
      </w:r>
      <w:proofErr w:type="spellEnd"/>
      <w:r w:rsidRPr="008F7508">
        <w:rPr>
          <w:rFonts w:ascii="Arial" w:hAnsi="Arial" w:cs="Arial"/>
          <w:sz w:val="24"/>
          <w:szCs w:val="24"/>
        </w:rPr>
        <w:t xml:space="preserve"> </w:t>
      </w:r>
      <w:proofErr w:type="spellStart"/>
      <w:r w:rsidRPr="008F7508">
        <w:rPr>
          <w:rFonts w:ascii="Arial" w:hAnsi="Arial" w:cs="Arial"/>
          <w:sz w:val="24"/>
          <w:szCs w:val="24"/>
        </w:rPr>
        <w:t>Perez</w:t>
      </w:r>
      <w:proofErr w:type="spellEnd"/>
      <w:r w:rsidRPr="008F7508">
        <w:rPr>
          <w:rFonts w:ascii="Arial" w:hAnsi="Arial" w:cs="Arial"/>
          <w:sz w:val="24"/>
          <w:szCs w:val="24"/>
        </w:rPr>
        <w:t>”;</w:t>
      </w:r>
    </w:p>
    <w:p w:rsidR="00116456" w:rsidRPr="008F7508" w:rsidRDefault="00116456" w:rsidP="00116456">
      <w:pPr>
        <w:pStyle w:val="Prrafodelista"/>
        <w:numPr>
          <w:ilvl w:val="1"/>
          <w:numId w:val="4"/>
        </w:numPr>
        <w:spacing w:before="240" w:after="240" w:line="276" w:lineRule="auto"/>
        <w:contextualSpacing w:val="0"/>
        <w:jc w:val="both"/>
        <w:rPr>
          <w:rFonts w:ascii="Arial" w:hAnsi="Arial" w:cs="Arial"/>
          <w:sz w:val="24"/>
          <w:szCs w:val="24"/>
        </w:rPr>
      </w:pPr>
      <w:r w:rsidRPr="008F7508">
        <w:rPr>
          <w:rFonts w:ascii="Arial" w:hAnsi="Arial" w:cs="Arial"/>
          <w:sz w:val="24"/>
          <w:szCs w:val="24"/>
        </w:rPr>
        <w:t xml:space="preserve">PES/029/2023 por la que se declara la inexistencia de actos anticipados de campaña y la omisión en el deber de cuidado atribuidos a Lorena </w:t>
      </w:r>
      <w:proofErr w:type="spellStart"/>
      <w:r w:rsidRPr="008F7508">
        <w:rPr>
          <w:rFonts w:ascii="Arial" w:hAnsi="Arial" w:cs="Arial"/>
          <w:sz w:val="24"/>
          <w:szCs w:val="24"/>
        </w:rPr>
        <w:t>Beaurregard</w:t>
      </w:r>
      <w:proofErr w:type="spellEnd"/>
      <w:r w:rsidRPr="008F7508">
        <w:rPr>
          <w:rFonts w:ascii="Arial" w:hAnsi="Arial" w:cs="Arial"/>
          <w:sz w:val="24"/>
          <w:szCs w:val="24"/>
        </w:rPr>
        <w:t xml:space="preserve"> de los Santos y al Partido Acción Nacional, respectivamente;</w:t>
      </w:r>
    </w:p>
    <w:p w:rsidR="00116456" w:rsidRPr="008F7508" w:rsidRDefault="00116456" w:rsidP="00116456">
      <w:pPr>
        <w:pStyle w:val="Prrafodelista"/>
        <w:numPr>
          <w:ilvl w:val="1"/>
          <w:numId w:val="4"/>
        </w:numPr>
        <w:spacing w:before="240" w:after="240" w:line="276" w:lineRule="auto"/>
        <w:contextualSpacing w:val="0"/>
        <w:jc w:val="both"/>
        <w:rPr>
          <w:rFonts w:ascii="Arial" w:hAnsi="Arial" w:cs="Arial"/>
          <w:sz w:val="24"/>
          <w:szCs w:val="24"/>
        </w:rPr>
      </w:pPr>
      <w:r w:rsidRPr="008F7508">
        <w:rPr>
          <w:rFonts w:ascii="Arial" w:hAnsi="Arial" w:cs="Arial"/>
          <w:sz w:val="24"/>
          <w:szCs w:val="24"/>
        </w:rPr>
        <w:t xml:space="preserve">PES/001/2024 por la que se declara la inexistencia de los actos anticipados de campaña y la omisión en el deber de cuidado atribuidos a María Inés de la Fuente </w:t>
      </w:r>
      <w:proofErr w:type="spellStart"/>
      <w:r w:rsidRPr="008F7508">
        <w:rPr>
          <w:rFonts w:ascii="Arial" w:hAnsi="Arial" w:cs="Arial"/>
          <w:sz w:val="24"/>
          <w:szCs w:val="24"/>
        </w:rPr>
        <w:t>Dagdug</w:t>
      </w:r>
      <w:proofErr w:type="spellEnd"/>
      <w:r w:rsidRPr="008F7508">
        <w:rPr>
          <w:rFonts w:ascii="Arial" w:hAnsi="Arial" w:cs="Arial"/>
          <w:sz w:val="24"/>
          <w:szCs w:val="24"/>
        </w:rPr>
        <w:t xml:space="preserve"> y al Partido Movimiento Ciudadano, respectivamente; </w:t>
      </w:r>
    </w:p>
    <w:p w:rsidR="00116456" w:rsidRPr="008F7508" w:rsidRDefault="00116456" w:rsidP="00116456">
      <w:pPr>
        <w:pStyle w:val="Prrafodelista"/>
        <w:numPr>
          <w:ilvl w:val="1"/>
          <w:numId w:val="4"/>
        </w:numPr>
        <w:spacing w:before="240" w:after="240" w:line="276" w:lineRule="auto"/>
        <w:contextualSpacing w:val="0"/>
        <w:jc w:val="both"/>
        <w:rPr>
          <w:rFonts w:ascii="Arial" w:hAnsi="Arial" w:cs="Arial"/>
          <w:sz w:val="24"/>
          <w:szCs w:val="24"/>
        </w:rPr>
      </w:pPr>
      <w:r w:rsidRPr="008F7508">
        <w:rPr>
          <w:rFonts w:ascii="Arial" w:hAnsi="Arial" w:cs="Arial"/>
          <w:sz w:val="24"/>
          <w:szCs w:val="24"/>
        </w:rPr>
        <w:t xml:space="preserve">PES/028/2023, por la que se declara la inexistencia de la vulneración a las disposiciones en materia de propaganda de precampaña; actos anticipados de campaña, y uso indebido de recursos públicos, atribuidos a Javier </w:t>
      </w:r>
      <w:proofErr w:type="spellStart"/>
      <w:r w:rsidRPr="008F7508">
        <w:rPr>
          <w:rFonts w:ascii="Arial" w:hAnsi="Arial" w:cs="Arial"/>
          <w:sz w:val="24"/>
          <w:szCs w:val="24"/>
        </w:rPr>
        <w:t>May</w:t>
      </w:r>
      <w:proofErr w:type="spellEnd"/>
      <w:r w:rsidRPr="008F7508">
        <w:rPr>
          <w:rFonts w:ascii="Arial" w:hAnsi="Arial" w:cs="Arial"/>
          <w:sz w:val="24"/>
          <w:szCs w:val="24"/>
        </w:rPr>
        <w:t xml:space="preserve"> Rodríguez y la omisión en el deber de cuidado al Partido Morena</w:t>
      </w:r>
    </w:p>
    <w:p w:rsidR="00696684" w:rsidRPr="008F7508" w:rsidRDefault="00696684" w:rsidP="003F38B6">
      <w:pPr>
        <w:pStyle w:val="Prrafodelista"/>
        <w:numPr>
          <w:ilvl w:val="0"/>
          <w:numId w:val="4"/>
        </w:numPr>
        <w:spacing w:before="240" w:after="240" w:line="276" w:lineRule="auto"/>
        <w:ind w:left="357" w:hanging="357"/>
        <w:contextualSpacing w:val="0"/>
        <w:jc w:val="both"/>
        <w:rPr>
          <w:rFonts w:ascii="Arial" w:hAnsi="Arial" w:cs="Arial"/>
          <w:sz w:val="24"/>
          <w:szCs w:val="24"/>
          <w:lang w:val="es-ES"/>
        </w:rPr>
      </w:pPr>
      <w:r w:rsidRPr="008F7508">
        <w:rPr>
          <w:rFonts w:ascii="Arial" w:hAnsi="Arial" w:cs="Arial"/>
          <w:sz w:val="24"/>
          <w:szCs w:val="24"/>
          <w:lang w:val="es-ES"/>
        </w:rPr>
        <w:t>Clausura</w:t>
      </w:r>
      <w:r w:rsidR="00922E38" w:rsidRPr="008F7508">
        <w:rPr>
          <w:rFonts w:ascii="Arial" w:hAnsi="Arial" w:cs="Arial"/>
          <w:sz w:val="24"/>
          <w:szCs w:val="24"/>
          <w:lang w:val="es-ES"/>
        </w:rPr>
        <w:t>.</w:t>
      </w:r>
    </w:p>
    <w:p w:rsidR="000E2683" w:rsidRPr="008F7508" w:rsidRDefault="000E2683" w:rsidP="000E2683">
      <w:pPr>
        <w:jc w:val="center"/>
        <w:rPr>
          <w:rFonts w:ascii="Arial" w:hAnsi="Arial" w:cs="Arial"/>
          <w:b/>
          <w:sz w:val="24"/>
          <w:szCs w:val="24"/>
        </w:rPr>
      </w:pPr>
    </w:p>
    <w:p w:rsidR="006C7510" w:rsidRPr="008F7508" w:rsidRDefault="006C7510" w:rsidP="000E2683">
      <w:pPr>
        <w:jc w:val="center"/>
        <w:rPr>
          <w:rFonts w:ascii="Arial" w:hAnsi="Arial" w:cs="Arial"/>
          <w:b/>
          <w:sz w:val="24"/>
          <w:szCs w:val="24"/>
        </w:rPr>
      </w:pPr>
    </w:p>
    <w:p w:rsidR="000E2683" w:rsidRPr="008F7508" w:rsidRDefault="000E2683" w:rsidP="000E2683">
      <w:pPr>
        <w:spacing w:before="240" w:after="240"/>
        <w:jc w:val="both"/>
        <w:rPr>
          <w:rFonts w:ascii="Arial" w:hAnsi="Arial" w:cs="Arial"/>
          <w:sz w:val="24"/>
          <w:szCs w:val="24"/>
        </w:rPr>
      </w:pPr>
    </w:p>
    <w:sectPr w:rsidR="000E2683" w:rsidRPr="008F7508" w:rsidSect="000E2683">
      <w:headerReference w:type="default" r:id="rId8"/>
      <w:pgSz w:w="12240" w:h="15840" w:code="1"/>
      <w:pgMar w:top="1418"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470" w:rsidRDefault="00B87470" w:rsidP="000E2683">
      <w:pPr>
        <w:spacing w:after="0" w:line="240" w:lineRule="auto"/>
      </w:pPr>
      <w:r>
        <w:separator/>
      </w:r>
    </w:p>
  </w:endnote>
  <w:endnote w:type="continuationSeparator" w:id="0">
    <w:p w:rsidR="00B87470" w:rsidRDefault="00B87470" w:rsidP="000E2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470" w:rsidRDefault="00B87470" w:rsidP="000E2683">
      <w:pPr>
        <w:spacing w:after="0" w:line="240" w:lineRule="auto"/>
      </w:pPr>
      <w:r>
        <w:separator/>
      </w:r>
    </w:p>
  </w:footnote>
  <w:footnote w:type="continuationSeparator" w:id="0">
    <w:p w:rsidR="00B87470" w:rsidRDefault="00B87470" w:rsidP="000E2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0E2683" w:rsidRPr="007958A0" w:rsidTr="00710E0F">
      <w:tc>
        <w:tcPr>
          <w:tcW w:w="1418" w:type="dxa"/>
        </w:tcPr>
        <w:p w:rsidR="000E2683" w:rsidRPr="007958A0" w:rsidRDefault="000E2683" w:rsidP="000E2683">
          <w:pPr>
            <w:pStyle w:val="Encabezado"/>
            <w:ind w:left="-170"/>
            <w:rPr>
              <w:rFonts w:ascii="Calisto MT" w:hAnsi="Calisto MT"/>
            </w:rPr>
          </w:pPr>
          <w:r>
            <w:rPr>
              <w:b/>
              <w:noProof/>
              <w:sz w:val="32"/>
              <w:lang w:eastAsia="es-MX"/>
            </w:rPr>
            <w:drawing>
              <wp:inline distT="0" distB="0" distL="0" distR="0" wp14:anchorId="78742DC3" wp14:editId="1C0C8023">
                <wp:extent cx="1014331" cy="1199403"/>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rsidR="000E2683" w:rsidRPr="000E2683" w:rsidRDefault="000E2683" w:rsidP="000E2683">
          <w:pPr>
            <w:pStyle w:val="Encabezado"/>
            <w:spacing w:before="720"/>
            <w:jc w:val="center"/>
            <w:rPr>
              <w:rFonts w:ascii="Arial" w:hAnsi="Arial" w:cs="Arial"/>
              <w:b/>
              <w:bCs/>
              <w:sz w:val="25"/>
              <w:szCs w:val="25"/>
            </w:rPr>
          </w:pPr>
          <w:r w:rsidRPr="000E2683">
            <w:rPr>
              <w:rFonts w:ascii="Arial" w:hAnsi="Arial" w:cs="Arial"/>
              <w:b/>
              <w:bCs/>
              <w:sz w:val="25"/>
              <w:szCs w:val="25"/>
            </w:rPr>
            <w:t>INSTITUTO ELECTORAL Y DE PARTICIPACIÓN CIUDADANA DE TABASCO</w:t>
          </w:r>
        </w:p>
        <w:p w:rsidR="000E2683" w:rsidRPr="00F43C7F" w:rsidRDefault="000E2683" w:rsidP="000E2683">
          <w:pPr>
            <w:pStyle w:val="Encabezado"/>
            <w:jc w:val="center"/>
          </w:pPr>
          <w:r w:rsidRPr="000E2683">
            <w:rPr>
              <w:rFonts w:ascii="Arial" w:hAnsi="Arial" w:cs="Arial"/>
              <w:sz w:val="26"/>
              <w:szCs w:val="26"/>
            </w:rPr>
            <w:t>CONSEJO ESTATAL</w:t>
          </w:r>
        </w:p>
      </w:tc>
      <w:tc>
        <w:tcPr>
          <w:tcW w:w="1701" w:type="dxa"/>
        </w:tcPr>
        <w:p w:rsidR="000E2683" w:rsidRPr="007958A0" w:rsidRDefault="000E2683" w:rsidP="000E2683">
          <w:pPr>
            <w:pStyle w:val="Encabezado"/>
            <w:spacing w:before="480"/>
            <w:rPr>
              <w:rFonts w:ascii="Calisto MT" w:hAnsi="Calisto MT"/>
            </w:rPr>
          </w:pPr>
          <w:r>
            <w:rPr>
              <w:rFonts w:ascii="Calisto MT" w:hAnsi="Calisto MT"/>
              <w:noProof/>
              <w:lang w:eastAsia="es-MX"/>
            </w:rPr>
            <w:drawing>
              <wp:inline distT="0" distB="0" distL="0" distR="0">
                <wp:extent cx="942975" cy="774065"/>
                <wp:effectExtent l="0" t="0" r="9525"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EPCT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2975" cy="774065"/>
                        </a:xfrm>
                        <a:prstGeom prst="rect">
                          <a:avLst/>
                        </a:prstGeom>
                      </pic:spPr>
                    </pic:pic>
                  </a:graphicData>
                </a:graphic>
              </wp:inline>
            </w:drawing>
          </w:r>
        </w:p>
      </w:tc>
    </w:tr>
  </w:tbl>
  <w:p w:rsidR="000E2683" w:rsidRDefault="000E268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4563"/>
    <w:multiLevelType w:val="hybridMultilevel"/>
    <w:tmpl w:val="5B7C33A6"/>
    <w:lvl w:ilvl="0" w:tplc="D4D8012A">
      <w:start w:val="1"/>
      <w:numFmt w:val="decimal"/>
      <w:lvlText w:val="%1."/>
      <w:lvlJc w:val="left"/>
      <w:pPr>
        <w:ind w:left="36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085636A"/>
    <w:multiLevelType w:val="hybridMultilevel"/>
    <w:tmpl w:val="2124D5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4DF5FF3"/>
    <w:multiLevelType w:val="hybridMultilevel"/>
    <w:tmpl w:val="6CA8C4B2"/>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B345E38"/>
    <w:multiLevelType w:val="hybridMultilevel"/>
    <w:tmpl w:val="497EDD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AC14491"/>
    <w:multiLevelType w:val="hybridMultilevel"/>
    <w:tmpl w:val="EC8C7AF6"/>
    <w:lvl w:ilvl="0" w:tplc="8B56DC7A">
      <w:start w:val="1"/>
      <w:numFmt w:val="decimal"/>
      <w:lvlText w:val="%1."/>
      <w:lvlJc w:val="left"/>
      <w:pPr>
        <w:ind w:left="720" w:hanging="360"/>
      </w:pPr>
      <w:rPr>
        <w:rFonts w:hint="default"/>
      </w:rPr>
    </w:lvl>
    <w:lvl w:ilvl="1" w:tplc="B150E71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83"/>
    <w:rsid w:val="00070988"/>
    <w:rsid w:val="000E2683"/>
    <w:rsid w:val="00116456"/>
    <w:rsid w:val="00237A1D"/>
    <w:rsid w:val="003F38B6"/>
    <w:rsid w:val="00464C36"/>
    <w:rsid w:val="004C0186"/>
    <w:rsid w:val="004F21F9"/>
    <w:rsid w:val="00584A86"/>
    <w:rsid w:val="005B6D2C"/>
    <w:rsid w:val="006201F7"/>
    <w:rsid w:val="00696684"/>
    <w:rsid w:val="006C7510"/>
    <w:rsid w:val="0070549D"/>
    <w:rsid w:val="008F7508"/>
    <w:rsid w:val="00922E38"/>
    <w:rsid w:val="00A27885"/>
    <w:rsid w:val="00B87470"/>
    <w:rsid w:val="00CB0DCA"/>
    <w:rsid w:val="00D1597F"/>
    <w:rsid w:val="00DF2A8F"/>
    <w:rsid w:val="00E27B95"/>
    <w:rsid w:val="00E91638"/>
    <w:rsid w:val="00E95CCC"/>
    <w:rsid w:val="00EC7F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E642B96"/>
  <w15:chartTrackingRefBased/>
  <w15:docId w15:val="{BB23A953-09D6-4267-BEBD-BF2C853C3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2683"/>
    <w:pPr>
      <w:ind w:left="720"/>
      <w:contextualSpacing/>
    </w:pPr>
  </w:style>
  <w:style w:type="paragraph" w:styleId="Encabezado">
    <w:name w:val="header"/>
    <w:basedOn w:val="Normal"/>
    <w:link w:val="EncabezadoCar"/>
    <w:uiPriority w:val="99"/>
    <w:unhideWhenUsed/>
    <w:rsid w:val="000E26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2683"/>
  </w:style>
  <w:style w:type="paragraph" w:styleId="Piedepgina">
    <w:name w:val="footer"/>
    <w:basedOn w:val="Normal"/>
    <w:link w:val="PiedepginaCar"/>
    <w:uiPriority w:val="99"/>
    <w:unhideWhenUsed/>
    <w:rsid w:val="000E26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2683"/>
  </w:style>
  <w:style w:type="table" w:styleId="Tablaconcuadrcula">
    <w:name w:val="Table Grid"/>
    <w:basedOn w:val="Tablanormal"/>
    <w:uiPriority w:val="39"/>
    <w:rsid w:val="000E2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E27B95"/>
    <w:pPr>
      <w:spacing w:before="240" w:after="240" w:line="288" w:lineRule="auto"/>
      <w:jc w:val="both"/>
    </w:pPr>
    <w:rPr>
      <w:rFonts w:asciiTheme="majorHAnsi" w:hAnsiTheme="majorHAnsi" w:cstheme="majorHAnsi"/>
      <w:b/>
      <w:kern w:val="2"/>
      <w:sz w:val="24"/>
      <w:szCs w:val="24"/>
      <w14:ligatures w14:val="standardContextual"/>
    </w:rPr>
  </w:style>
  <w:style w:type="character" w:customStyle="1" w:styleId="TtuloCar">
    <w:name w:val="Título Car"/>
    <w:basedOn w:val="Fuentedeprrafopredeter"/>
    <w:link w:val="Ttulo"/>
    <w:uiPriority w:val="10"/>
    <w:rsid w:val="00E27B95"/>
    <w:rPr>
      <w:rFonts w:asciiTheme="majorHAnsi" w:hAnsiTheme="majorHAnsi" w:cstheme="majorHAnsi"/>
      <w:b/>
      <w:kern w:val="2"/>
      <w:sz w:val="24"/>
      <w:szCs w:val="24"/>
      <w14:ligatures w14:val="standardContextual"/>
    </w:rPr>
  </w:style>
  <w:style w:type="paragraph" w:styleId="Sinespaciado">
    <w:name w:val="No Spacing"/>
    <w:basedOn w:val="Normal"/>
    <w:uiPriority w:val="1"/>
    <w:qFormat/>
    <w:rsid w:val="00E95CCC"/>
    <w:pPr>
      <w:spacing w:before="240" w:after="240" w:line="288" w:lineRule="auto"/>
      <w:jc w:val="both"/>
    </w:pPr>
    <w:rPr>
      <w:rFonts w:ascii="Arial" w:hAnsi="Arial" w:cs="Arial"/>
      <w:sz w:val="23"/>
      <w:szCs w:val="23"/>
      <w:lang w:val="es-ES"/>
    </w:rPr>
  </w:style>
  <w:style w:type="paragraph" w:styleId="Textodeglobo">
    <w:name w:val="Balloon Text"/>
    <w:basedOn w:val="Normal"/>
    <w:link w:val="TextodegloboCar"/>
    <w:uiPriority w:val="99"/>
    <w:semiHidden/>
    <w:unhideWhenUsed/>
    <w:rsid w:val="004F21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21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4DA5D-9F44-4DF7-8859-C44DDEF7D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314</Words>
  <Characters>1733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17</cp:revision>
  <cp:lastPrinted>2024-01-25T17:38:00Z</cp:lastPrinted>
  <dcterms:created xsi:type="dcterms:W3CDTF">2023-11-23T17:42:00Z</dcterms:created>
  <dcterms:modified xsi:type="dcterms:W3CDTF">2024-01-25T17:44:00Z</dcterms:modified>
</cp:coreProperties>
</file>