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B21" w:rsidRPr="00564B15" w:rsidRDefault="00B15293" w:rsidP="00D40B21">
      <w:pPr>
        <w:rPr>
          <w:rFonts w:ascii="Arial" w:hAnsi="Arial" w:cs="Arial"/>
          <w:b/>
          <w:sz w:val="24"/>
          <w:szCs w:val="24"/>
        </w:rPr>
      </w:pPr>
      <w:r w:rsidRPr="00564B15">
        <w:rPr>
          <w:rFonts w:ascii="Arial" w:hAnsi="Arial" w:cs="Arial"/>
          <w:b/>
          <w:sz w:val="24"/>
          <w:szCs w:val="24"/>
        </w:rPr>
        <w:t>ACUERDO QUE EMITE EL CONSEJO ESTATAL DEL INSTITUTO ELECTORAL Y DE PARTICIPACIÓN CIUDADANA DE TABASCO, MEDIANTE EL CUAL DA RESPUESTA AL ESCRITO PRESENTADO POR EL CIUDADANO JUAN JOSÉ AGUILAR MORALES, POR EL QUE SOLICITA SU PARTICIPACIÓN PARA LA ELECCIÓN A LA GUBERNATURA DEL ESTADO CON MOTIVO DEL PROCESO ELECTORAL LOCAL ORDINARIO 2023 – 2024</w:t>
      </w:r>
    </w:p>
    <w:p w:rsidR="00122690" w:rsidRDefault="00122690" w:rsidP="00D40B21"/>
    <w:p w:rsidR="000C2B6B" w:rsidRDefault="00D40B21" w:rsidP="00D40B21">
      <w:pPr>
        <w:rPr>
          <w:rFonts w:ascii="Arial" w:hAnsi="Arial" w:cs="Arial"/>
        </w:rPr>
      </w:pPr>
      <w:r w:rsidRPr="00564B15">
        <w:rPr>
          <w:rFonts w:ascii="Arial" w:hAnsi="Arial" w:cs="Arial"/>
        </w:rPr>
        <w:t>Para efectos del presente acuerdo se usarán las abreviaturas y definiciones siguientes:</w:t>
      </w:r>
    </w:p>
    <w:p w:rsidR="00B15293" w:rsidRPr="00564B15" w:rsidRDefault="00B15293" w:rsidP="00D40B21">
      <w:pPr>
        <w:rPr>
          <w:rFonts w:ascii="Arial" w:hAnsi="Arial" w:cs="Arial"/>
        </w:rPr>
      </w:pP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129"/>
        <w:gridCol w:w="4532"/>
      </w:tblGrid>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Consejo Estatal:</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Consejo Estatal del Instituto Electoral y de Participación Ciudadana de Tabasco.</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Constitución Federal:</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Constitución Política de los Estados Unidos Mexicanos.</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Constitución Local:</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Constitución Política del Estado Libre y Soberano de Tabasco.</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INE:</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Instituto Nacional Electoral.</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Instituto:</w:t>
            </w:r>
          </w:p>
        </w:tc>
        <w:tc>
          <w:tcPr>
            <w:tcW w:w="2958" w:type="pct"/>
            <w:shd w:val="clear" w:color="auto" w:fill="auto"/>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Instituto Electoral y de Participación Ciudadana de Tabasco.</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Ley de Partidos:</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Ley General de Partidos Políticos.</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Ley Electoral:</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Ley Electoral y de Partidos Políticos del Estado de Tabasco.</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Ley General:</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Ley General de Instituciones y Procedimientos Electorales.</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Organismo electoral:</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 xml:space="preserve">Organismo(s) público(s) local(es) electoral(es). </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Proceso Electoral:</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Proceso Electoral Local Ordinario 2023-2024.</w:t>
            </w:r>
          </w:p>
        </w:tc>
      </w:tr>
      <w:tr w:rsidR="00122690" w:rsidRPr="00DD6934" w:rsidTr="00E376C3">
        <w:trPr>
          <w:trHeight w:val="624"/>
          <w:jc w:val="center"/>
        </w:trPr>
        <w:tc>
          <w:tcPr>
            <w:tcW w:w="2042" w:type="pct"/>
            <w:shd w:val="clear" w:color="auto" w:fill="auto"/>
            <w:vAlign w:val="center"/>
          </w:tcPr>
          <w:p w:rsidR="00122690" w:rsidRPr="00564B15" w:rsidRDefault="00122690" w:rsidP="00E376C3">
            <w:pPr>
              <w:widowControl w:val="0"/>
              <w:spacing w:before="60" w:after="60"/>
              <w:ind w:left="57"/>
              <w:jc w:val="right"/>
              <w:rPr>
                <w:rFonts w:ascii="Arial" w:hAnsi="Arial" w:cs="Arial"/>
                <w:b/>
                <w:sz w:val="20"/>
                <w:szCs w:val="20"/>
              </w:rPr>
            </w:pPr>
            <w:r w:rsidRPr="00564B15">
              <w:rPr>
                <w:rFonts w:ascii="Arial" w:hAnsi="Arial" w:cs="Arial"/>
                <w:b/>
                <w:sz w:val="20"/>
                <w:szCs w:val="20"/>
              </w:rPr>
              <w:t>Secretaría Ejecutiva:</w:t>
            </w:r>
          </w:p>
        </w:tc>
        <w:tc>
          <w:tcPr>
            <w:tcW w:w="2958" w:type="pct"/>
            <w:shd w:val="clear" w:color="auto" w:fill="auto"/>
            <w:vAlign w:val="center"/>
          </w:tcPr>
          <w:p w:rsidR="00122690" w:rsidRPr="00564B15" w:rsidRDefault="00122690" w:rsidP="00E376C3">
            <w:pPr>
              <w:widowControl w:val="0"/>
              <w:spacing w:before="60" w:after="60"/>
              <w:ind w:left="57"/>
              <w:rPr>
                <w:rFonts w:ascii="Arial" w:hAnsi="Arial" w:cs="Arial"/>
                <w:sz w:val="20"/>
                <w:szCs w:val="20"/>
              </w:rPr>
            </w:pPr>
            <w:r w:rsidRPr="00564B15">
              <w:rPr>
                <w:rFonts w:ascii="Arial" w:hAnsi="Arial" w:cs="Arial"/>
                <w:sz w:val="20"/>
                <w:szCs w:val="20"/>
              </w:rPr>
              <w:t>Secretaría Ejecutiva del Instituto Electoral y de Participación Ciudadana de Tabasco.</w:t>
            </w:r>
          </w:p>
        </w:tc>
      </w:tr>
    </w:tbl>
    <w:p w:rsidR="000077A0" w:rsidRPr="00564B15" w:rsidRDefault="000077A0" w:rsidP="000077A0">
      <w:pPr>
        <w:pStyle w:val="Ttulo1"/>
        <w:rPr>
          <w:rFonts w:ascii="Arial" w:hAnsi="Arial" w:cs="Arial"/>
          <w:sz w:val="24"/>
          <w:szCs w:val="24"/>
        </w:rPr>
      </w:pPr>
      <w:r w:rsidRPr="00564B15">
        <w:rPr>
          <w:rFonts w:ascii="Arial" w:hAnsi="Arial" w:cs="Arial"/>
          <w:sz w:val="24"/>
          <w:szCs w:val="24"/>
        </w:rPr>
        <w:lastRenderedPageBreak/>
        <w:t>Antecedentes</w:t>
      </w:r>
    </w:p>
    <w:p w:rsidR="00A0127C" w:rsidRPr="00564B15" w:rsidRDefault="00A0127C" w:rsidP="003414CF">
      <w:pPr>
        <w:pStyle w:val="Ttulo2"/>
        <w:rPr>
          <w:rFonts w:ascii="Arial" w:hAnsi="Arial" w:cs="Arial"/>
          <w:sz w:val="23"/>
        </w:rPr>
      </w:pPr>
      <w:r w:rsidRPr="00564B15">
        <w:rPr>
          <w:rFonts w:ascii="Arial" w:hAnsi="Arial" w:cs="Arial"/>
          <w:sz w:val="23"/>
        </w:rPr>
        <w:t>Homologación de plazos y fechas en los procesos electorales locales concurrentes</w:t>
      </w:r>
    </w:p>
    <w:p w:rsidR="00A0127C" w:rsidRPr="00564B15" w:rsidRDefault="00A0127C" w:rsidP="00A0127C">
      <w:pPr>
        <w:rPr>
          <w:rFonts w:ascii="Arial" w:hAnsi="Arial" w:cs="Arial"/>
        </w:rPr>
      </w:pPr>
      <w:r w:rsidRPr="00564B15">
        <w:rPr>
          <w:rFonts w:ascii="Arial" w:hAnsi="Arial" w:cs="Arial"/>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rsidR="00A0127C" w:rsidRPr="00564B15" w:rsidRDefault="00A0127C" w:rsidP="003414CF">
      <w:pPr>
        <w:pStyle w:val="Ttulo2"/>
        <w:rPr>
          <w:rFonts w:ascii="Arial" w:hAnsi="Arial" w:cs="Arial"/>
          <w:sz w:val="23"/>
        </w:rPr>
      </w:pPr>
      <w:r w:rsidRPr="00564B15">
        <w:rPr>
          <w:rFonts w:ascii="Arial" w:hAnsi="Arial" w:cs="Arial"/>
          <w:sz w:val="23"/>
        </w:rPr>
        <w:t xml:space="preserve">Plan integral y calendario de coordinación </w:t>
      </w:r>
    </w:p>
    <w:p w:rsidR="00A0127C" w:rsidRPr="00564B15" w:rsidRDefault="00A0127C" w:rsidP="00A0127C">
      <w:pPr>
        <w:rPr>
          <w:rFonts w:ascii="Arial" w:hAnsi="Arial" w:cs="Arial"/>
        </w:rPr>
      </w:pPr>
      <w:r w:rsidRPr="00564B15">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rsidR="00A0127C" w:rsidRPr="00564B15" w:rsidRDefault="00A0127C" w:rsidP="003414CF">
      <w:pPr>
        <w:pStyle w:val="Ttulo2"/>
        <w:rPr>
          <w:rFonts w:ascii="Arial" w:hAnsi="Arial" w:cs="Arial"/>
          <w:sz w:val="23"/>
        </w:rPr>
      </w:pPr>
      <w:r w:rsidRPr="00564B15">
        <w:rPr>
          <w:rFonts w:ascii="Arial" w:hAnsi="Arial" w:cs="Arial"/>
          <w:sz w:val="23"/>
        </w:rPr>
        <w:t>Calendario electoral</w:t>
      </w:r>
    </w:p>
    <w:p w:rsidR="00A0127C" w:rsidRPr="00564B15" w:rsidRDefault="00A0127C" w:rsidP="00A0127C">
      <w:pPr>
        <w:rPr>
          <w:rFonts w:ascii="Arial" w:hAnsi="Arial" w:cs="Arial"/>
        </w:rPr>
      </w:pPr>
      <w:r w:rsidRPr="00564B15">
        <w:rPr>
          <w:rFonts w:ascii="Arial" w:hAnsi="Arial" w:cs="Arial"/>
        </w:rPr>
        <w:t>El 29 de septiembre de 2023, el Consejo Estatal aprobó el acuerdo CE/2023/021 relativo al calendario electoral para el Proceso Electoral.</w:t>
      </w:r>
    </w:p>
    <w:p w:rsidR="00D40B21" w:rsidRPr="00564B15" w:rsidRDefault="00D40B21" w:rsidP="003414CF">
      <w:pPr>
        <w:pStyle w:val="Ttulo2"/>
        <w:rPr>
          <w:rFonts w:ascii="Arial" w:hAnsi="Arial" w:cs="Arial"/>
          <w:sz w:val="23"/>
        </w:rPr>
      </w:pPr>
      <w:r w:rsidRPr="00564B15">
        <w:rPr>
          <w:rFonts w:ascii="Arial" w:hAnsi="Arial" w:cs="Arial"/>
          <w:sz w:val="23"/>
        </w:rPr>
        <w:t>Inicio del Proceso Electoral</w:t>
      </w:r>
    </w:p>
    <w:p w:rsidR="00D40B21" w:rsidRDefault="00D40B21" w:rsidP="00D40B21">
      <w:pPr>
        <w:rPr>
          <w:rFonts w:ascii="Arial" w:hAnsi="Arial" w:cs="Arial"/>
        </w:rPr>
      </w:pPr>
      <w:r w:rsidRPr="00564B15">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rsidR="00D40B21" w:rsidRPr="00564B15" w:rsidRDefault="00D40B21" w:rsidP="003414CF">
      <w:pPr>
        <w:pStyle w:val="Ttulo2"/>
        <w:rPr>
          <w:rFonts w:ascii="Arial" w:hAnsi="Arial" w:cs="Arial"/>
          <w:sz w:val="23"/>
        </w:rPr>
      </w:pPr>
      <w:r w:rsidRPr="00564B15">
        <w:rPr>
          <w:rFonts w:ascii="Arial" w:hAnsi="Arial" w:cs="Arial"/>
          <w:sz w:val="23"/>
        </w:rPr>
        <w:t>Convocatoria para la renovación del Poder Ejecutivo, Legislativo y los Ayuntamientos</w:t>
      </w:r>
    </w:p>
    <w:p w:rsidR="00D40B21" w:rsidRPr="00564B15" w:rsidRDefault="00D40B21" w:rsidP="00D40B21">
      <w:pPr>
        <w:rPr>
          <w:rFonts w:ascii="Arial" w:hAnsi="Arial" w:cs="Arial"/>
        </w:rPr>
      </w:pPr>
      <w:r w:rsidRPr="00564B15">
        <w:rPr>
          <w:rFonts w:ascii="Arial" w:hAnsi="Arial" w:cs="Arial"/>
        </w:rPr>
        <w:t>El 20 de octubre de 2023, mediante acuerdo CE/2023/035, el Consejo Estatal expidió la convocatoria para renovar a las y los integrantes de los Poderes Ejecutivo, Legislativo y los Ayuntamientos del Estado con motivo del Proceso Electoral.</w:t>
      </w:r>
    </w:p>
    <w:p w:rsidR="00A0127C" w:rsidRPr="00564B15" w:rsidRDefault="00A0127C" w:rsidP="003414CF">
      <w:pPr>
        <w:pStyle w:val="Ttulo2"/>
        <w:rPr>
          <w:rFonts w:ascii="Arial" w:hAnsi="Arial" w:cs="Arial"/>
          <w:sz w:val="23"/>
        </w:rPr>
      </w:pPr>
      <w:r w:rsidRPr="00564B15">
        <w:rPr>
          <w:rFonts w:ascii="Arial" w:hAnsi="Arial" w:cs="Arial"/>
          <w:sz w:val="23"/>
        </w:rPr>
        <w:lastRenderedPageBreak/>
        <w:t>Periodo para la obtención del apoyo de la ciudadanía</w:t>
      </w:r>
    </w:p>
    <w:p w:rsidR="00A0127C" w:rsidRPr="00564B15" w:rsidRDefault="00A0127C" w:rsidP="00A0127C">
      <w:pPr>
        <w:rPr>
          <w:rFonts w:ascii="Arial" w:hAnsi="Arial" w:cs="Arial"/>
        </w:rPr>
      </w:pPr>
      <w:r w:rsidRPr="00564B15">
        <w:rPr>
          <w:rFonts w:ascii="Arial" w:hAnsi="Arial" w:cs="Arial"/>
        </w:rPr>
        <w:t xml:space="preserve">Por su parte, el artículo 286, numeral 1 de la Ley Electoral prevé que, en la Convocatoria para la renovación del Poder Ejecutivo, Legislativo y los Ayuntamientos se señalará el inicio del plazo para recabar el apoyo ciudadano correspondiente. En ese tenor, de acuerdo con el Plan Integral y los calendarios de coordinación de los Procesos Electorales Locales concurrentes con el Federal 2023 – 2024, los períodos para la obtención del apoyo de la ciudadanía fueron los siguientes: </w:t>
      </w:r>
      <w:r w:rsidR="00D61DDE">
        <w:rPr>
          <w:rFonts w:ascii="Arial" w:hAnsi="Arial" w:cs="Arial"/>
          <w:b/>
        </w:rPr>
        <w:t xml:space="preserve">del 15 de noviembre </w:t>
      </w:r>
      <w:r w:rsidRPr="00564B15">
        <w:rPr>
          <w:rFonts w:ascii="Arial" w:hAnsi="Arial" w:cs="Arial"/>
          <w:b/>
        </w:rPr>
        <w:t>de 2023 al 3 de enero de 2024,</w:t>
      </w:r>
      <w:r w:rsidRPr="00564B15">
        <w:rPr>
          <w:rFonts w:ascii="Arial" w:hAnsi="Arial" w:cs="Arial"/>
        </w:rPr>
        <w:t xml:space="preserve"> tratándose de la candidatura independiente a la Gubernatura; y, del 5 de diciembre de 2023 al 3 de enero de 2024, para las candidaturas independientes a Diputaciones locales y Presidencias Municipales.</w:t>
      </w:r>
    </w:p>
    <w:p w:rsidR="00D40B21" w:rsidRPr="00564B15" w:rsidRDefault="00D40B21" w:rsidP="003414CF">
      <w:pPr>
        <w:pStyle w:val="Ttulo2"/>
        <w:rPr>
          <w:rFonts w:ascii="Arial" w:hAnsi="Arial" w:cs="Arial"/>
          <w:sz w:val="23"/>
        </w:rPr>
      </w:pPr>
      <w:r w:rsidRPr="00564B15">
        <w:rPr>
          <w:rFonts w:ascii="Arial" w:hAnsi="Arial" w:cs="Arial"/>
          <w:sz w:val="23"/>
        </w:rPr>
        <w:t>Jornada electoral</w:t>
      </w:r>
    </w:p>
    <w:p w:rsidR="00D40B21" w:rsidRPr="00564B15" w:rsidRDefault="00D40B21" w:rsidP="00D40B21">
      <w:pPr>
        <w:rPr>
          <w:rFonts w:ascii="Arial" w:hAnsi="Arial" w:cs="Arial"/>
        </w:rPr>
      </w:pPr>
      <w:r w:rsidRPr="00564B15">
        <w:rPr>
          <w:rFonts w:ascii="Arial" w:hAnsi="Arial" w:cs="Arial"/>
        </w:rPr>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rsidR="00D40B21" w:rsidRPr="00564B15" w:rsidRDefault="00D40B21" w:rsidP="000077A0">
      <w:pPr>
        <w:pStyle w:val="Ttulo1"/>
        <w:rPr>
          <w:rFonts w:ascii="Arial" w:hAnsi="Arial" w:cs="Arial"/>
          <w:sz w:val="24"/>
          <w:szCs w:val="24"/>
        </w:rPr>
      </w:pPr>
      <w:r w:rsidRPr="00564B15">
        <w:rPr>
          <w:rFonts w:ascii="Arial" w:hAnsi="Arial" w:cs="Arial"/>
          <w:sz w:val="24"/>
          <w:szCs w:val="24"/>
        </w:rPr>
        <w:t>Considerando</w:t>
      </w:r>
      <w:bookmarkStart w:id="0" w:name="_GoBack"/>
      <w:bookmarkEnd w:id="0"/>
    </w:p>
    <w:p w:rsidR="00D40B21" w:rsidRPr="00564B15" w:rsidRDefault="00D40B21" w:rsidP="003414CF">
      <w:pPr>
        <w:pStyle w:val="Ttulo2"/>
        <w:rPr>
          <w:rFonts w:ascii="Arial" w:hAnsi="Arial" w:cs="Arial"/>
          <w:sz w:val="23"/>
        </w:rPr>
      </w:pPr>
      <w:r w:rsidRPr="00564B15">
        <w:rPr>
          <w:rFonts w:ascii="Arial" w:hAnsi="Arial" w:cs="Arial"/>
          <w:sz w:val="23"/>
        </w:rPr>
        <w:t xml:space="preserve">Fines del Instituto </w:t>
      </w:r>
    </w:p>
    <w:p w:rsidR="00D40B21" w:rsidRPr="00564B15" w:rsidRDefault="00D40B21" w:rsidP="00D40B21">
      <w:pPr>
        <w:rPr>
          <w:rFonts w:ascii="Arial" w:hAnsi="Arial" w:cs="Arial"/>
        </w:rPr>
      </w:pPr>
      <w:r w:rsidRPr="00564B15">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D40B21" w:rsidRPr="00564B15" w:rsidRDefault="00D40B21" w:rsidP="00D40B21">
      <w:pPr>
        <w:rPr>
          <w:rFonts w:ascii="Arial" w:hAnsi="Arial" w:cs="Arial"/>
        </w:rPr>
      </w:pPr>
      <w:r w:rsidRPr="00564B15">
        <w:rPr>
          <w:rFonts w:ascii="Arial" w:hAnsi="Arial" w:cs="Arial"/>
        </w:rPr>
        <w:t xml:space="preserve">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w:t>
      </w:r>
      <w:r w:rsidRPr="00564B15">
        <w:rPr>
          <w:rFonts w:ascii="Arial" w:hAnsi="Arial" w:cs="Arial"/>
        </w:rPr>
        <w:lastRenderedPageBreak/>
        <w:t>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D40B21" w:rsidRPr="00564B15" w:rsidRDefault="00D40B21" w:rsidP="003414CF">
      <w:pPr>
        <w:pStyle w:val="Ttulo2"/>
        <w:rPr>
          <w:rFonts w:ascii="Arial" w:hAnsi="Arial" w:cs="Arial"/>
          <w:sz w:val="23"/>
        </w:rPr>
      </w:pPr>
      <w:r w:rsidRPr="00564B15">
        <w:rPr>
          <w:rFonts w:ascii="Arial" w:hAnsi="Arial" w:cs="Arial"/>
          <w:sz w:val="23"/>
        </w:rPr>
        <w:t xml:space="preserve">Órgano Superior de Dirección del Instituto </w:t>
      </w:r>
    </w:p>
    <w:p w:rsidR="00D40B21" w:rsidRPr="00564B15" w:rsidRDefault="00D40B21" w:rsidP="00D40B21">
      <w:pPr>
        <w:rPr>
          <w:rFonts w:ascii="Arial" w:hAnsi="Arial" w:cs="Arial"/>
        </w:rPr>
      </w:pPr>
      <w:r w:rsidRPr="00564B15">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D40B21" w:rsidRPr="00564B15" w:rsidRDefault="00D40B21" w:rsidP="003414CF">
      <w:pPr>
        <w:pStyle w:val="Ttulo2"/>
        <w:rPr>
          <w:rFonts w:ascii="Arial" w:hAnsi="Arial" w:cs="Arial"/>
          <w:sz w:val="23"/>
        </w:rPr>
      </w:pPr>
      <w:r w:rsidRPr="00564B15">
        <w:rPr>
          <w:rFonts w:ascii="Arial" w:hAnsi="Arial" w:cs="Arial"/>
          <w:sz w:val="23"/>
        </w:rPr>
        <w:t>Integración del Órgano de Dirección Superior</w:t>
      </w:r>
    </w:p>
    <w:p w:rsidR="00D40B21" w:rsidRPr="00564B15" w:rsidRDefault="00D40B21" w:rsidP="00D40B21">
      <w:pPr>
        <w:rPr>
          <w:rFonts w:ascii="Arial" w:hAnsi="Arial" w:cs="Arial"/>
        </w:rPr>
      </w:pPr>
      <w:r w:rsidRPr="00564B15">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D40B21" w:rsidRPr="00564B15" w:rsidRDefault="00D40B21" w:rsidP="003414CF">
      <w:pPr>
        <w:pStyle w:val="Ttulo2"/>
        <w:rPr>
          <w:rFonts w:ascii="Arial" w:hAnsi="Arial" w:cs="Arial"/>
          <w:sz w:val="23"/>
        </w:rPr>
      </w:pPr>
      <w:r w:rsidRPr="00564B15">
        <w:rPr>
          <w:rFonts w:ascii="Arial" w:hAnsi="Arial" w:cs="Arial"/>
          <w:sz w:val="23"/>
        </w:rPr>
        <w:t>Competencia del Consejo Estatal</w:t>
      </w:r>
    </w:p>
    <w:p w:rsidR="00D40B21" w:rsidRPr="00564B15" w:rsidRDefault="00D40B21" w:rsidP="00D40B21">
      <w:pPr>
        <w:rPr>
          <w:rFonts w:ascii="Arial" w:hAnsi="Arial" w:cs="Arial"/>
        </w:rPr>
      </w:pPr>
      <w:r w:rsidRPr="00564B15">
        <w:rPr>
          <w:rFonts w:ascii="Arial" w:hAnsi="Arial" w:cs="Arial"/>
        </w:rPr>
        <w:t>Que, de conformidad con el artículo 115 numeral 1, fracción XX de la Ley Electoral, corresponde al Consejo Estatal, registrar las candidaturas a Gobernadora o Gobernador del Estado.</w:t>
      </w:r>
    </w:p>
    <w:p w:rsidR="00D40B21" w:rsidRPr="00564B15" w:rsidRDefault="00D40B21" w:rsidP="00D40B21">
      <w:pPr>
        <w:rPr>
          <w:rFonts w:ascii="Arial" w:hAnsi="Arial" w:cs="Arial"/>
        </w:rPr>
      </w:pPr>
      <w:r w:rsidRPr="00564B15">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D40B21" w:rsidRPr="00564B15" w:rsidRDefault="00D40B21" w:rsidP="003414CF">
      <w:pPr>
        <w:pStyle w:val="Ttulo2"/>
        <w:rPr>
          <w:rFonts w:ascii="Arial" w:hAnsi="Arial" w:cs="Arial"/>
          <w:sz w:val="23"/>
        </w:rPr>
      </w:pPr>
      <w:r w:rsidRPr="00564B15">
        <w:rPr>
          <w:rFonts w:ascii="Arial" w:hAnsi="Arial" w:cs="Arial"/>
          <w:sz w:val="23"/>
        </w:rPr>
        <w:lastRenderedPageBreak/>
        <w:t>Derecho de la ciudadanía a votar y ser votada</w:t>
      </w:r>
    </w:p>
    <w:p w:rsidR="00D40B21" w:rsidRPr="00564B15" w:rsidRDefault="00D40B21" w:rsidP="00D40B21">
      <w:pPr>
        <w:rPr>
          <w:rFonts w:ascii="Arial" w:hAnsi="Arial" w:cs="Arial"/>
        </w:rPr>
      </w:pPr>
      <w:r w:rsidRPr="00564B15">
        <w:rPr>
          <w:rFonts w:ascii="Arial" w:hAnsi="Arial" w:cs="Arial"/>
        </w:rPr>
        <w:t>Que, los artículos 35 fracciones I y II de la Constitución Federal, 7 fracción I de la Constitución Local y 5 numerales 1 y 3 de la Ley Electoral disponen que votar en las elecciones constituye un derecho y una obligación, que se ejerce para integrar los órganos de elección popular del Estado y de los municipios. Asimismo, es derecho de la ciudadanía ser votada para todos los puestos de elección popular, teniendo las calidades que establece la ley de la materia y solicitar su registro de manera independiente, cuando cumplan los requisitos, condiciones y términos que determine la propia Ley.</w:t>
      </w:r>
    </w:p>
    <w:p w:rsidR="00D40B21" w:rsidRPr="00564B15" w:rsidRDefault="00D40B21" w:rsidP="003414CF">
      <w:pPr>
        <w:pStyle w:val="Ttulo2"/>
        <w:rPr>
          <w:rFonts w:ascii="Arial" w:hAnsi="Arial" w:cs="Arial"/>
          <w:sz w:val="23"/>
        </w:rPr>
      </w:pPr>
      <w:r w:rsidRPr="00564B15">
        <w:rPr>
          <w:rFonts w:ascii="Arial" w:hAnsi="Arial" w:cs="Arial"/>
          <w:sz w:val="23"/>
        </w:rPr>
        <w:t>Fines de los partidos políticos</w:t>
      </w:r>
    </w:p>
    <w:p w:rsidR="00D40B21" w:rsidRPr="00564B15" w:rsidRDefault="00D40B21" w:rsidP="00D40B21">
      <w:pPr>
        <w:rPr>
          <w:rFonts w:ascii="Arial" w:hAnsi="Arial" w:cs="Arial"/>
        </w:rPr>
      </w:pPr>
      <w:r w:rsidRPr="00564B15">
        <w:rPr>
          <w:rFonts w:ascii="Arial" w:hAnsi="Arial" w:cs="Arial"/>
        </w:rPr>
        <w:t>Que, en términos de los artículos 41 base I de la Constitución Federal, 9 apartado A, fracción I párrafo segundo de la Constitución Local, 85 numeral 5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rsidR="00D40B21" w:rsidRPr="00564B15" w:rsidRDefault="00D40B21" w:rsidP="003414CF">
      <w:pPr>
        <w:pStyle w:val="Ttulo2"/>
        <w:rPr>
          <w:rFonts w:ascii="Arial" w:hAnsi="Arial" w:cs="Arial"/>
          <w:sz w:val="23"/>
        </w:rPr>
      </w:pPr>
      <w:r w:rsidRPr="00564B15">
        <w:rPr>
          <w:rFonts w:ascii="Arial" w:hAnsi="Arial" w:cs="Arial"/>
          <w:sz w:val="23"/>
        </w:rPr>
        <w:t>Participación de partidos políticos nacionales en elecciones locales</w:t>
      </w:r>
    </w:p>
    <w:p w:rsidR="00D40B21" w:rsidRPr="00564B15" w:rsidRDefault="00D40B21" w:rsidP="00D40B21">
      <w:pPr>
        <w:rPr>
          <w:rFonts w:ascii="Arial" w:hAnsi="Arial" w:cs="Arial"/>
        </w:rPr>
      </w:pPr>
      <w:r w:rsidRPr="00564B15">
        <w:rPr>
          <w:rFonts w:ascii="Arial" w:hAnsi="Arial" w:cs="Arial"/>
        </w:rPr>
        <w:t>Que, los artículos 34 numeral 1 y 35 numeral 1 de la Ley Electoral disponen que se consideran partidos políticos nacionales aquellos que cuenten con registro ante el INE, y partidos políticos locales aquellos que cuenten con el registro correspondiente ante el Instituto, los cuales tendrán derecho a participar en las elecciones locales, cuando acrediten previamente ante el Consejo Estatal que se encuentran registrados, presentando la constancia respectiva.</w:t>
      </w:r>
    </w:p>
    <w:p w:rsidR="00D40B21" w:rsidRPr="00564B15" w:rsidRDefault="00D40B21" w:rsidP="003414CF">
      <w:pPr>
        <w:pStyle w:val="Ttulo2"/>
        <w:rPr>
          <w:rFonts w:ascii="Arial" w:hAnsi="Arial" w:cs="Arial"/>
          <w:sz w:val="23"/>
        </w:rPr>
      </w:pPr>
      <w:r w:rsidRPr="00564B15">
        <w:rPr>
          <w:rFonts w:ascii="Arial" w:hAnsi="Arial" w:cs="Arial"/>
          <w:sz w:val="23"/>
        </w:rPr>
        <w:t>Facultad de los partidos políticos de postular candidaturas</w:t>
      </w:r>
    </w:p>
    <w:p w:rsidR="00D40B21" w:rsidRPr="00564B15" w:rsidRDefault="00D40B21" w:rsidP="00D40B21">
      <w:pPr>
        <w:rPr>
          <w:rFonts w:ascii="Arial" w:hAnsi="Arial" w:cs="Arial"/>
        </w:rPr>
      </w:pPr>
      <w:r w:rsidRPr="00564B15">
        <w:rPr>
          <w:rFonts w:ascii="Arial" w:hAnsi="Arial" w:cs="Arial"/>
        </w:rPr>
        <w:t xml:space="preserve">Que el artículo 9 apartado A, fracción I de la Constitución Local dispone que los partidos políticos son entidades de interés público, cuya participación en el proceso electoral, con el </w:t>
      </w:r>
      <w:r w:rsidRPr="00564B15">
        <w:rPr>
          <w:rFonts w:ascii="Arial" w:hAnsi="Arial" w:cs="Arial"/>
        </w:rPr>
        <w:lastRenderedPageBreak/>
        <w:t>fin de postular candidatos, se encuentra determinada en la Ley Electoral, conforme lo señalado en el artículo 85, numeral 5 de la Ley de Partidos.</w:t>
      </w:r>
    </w:p>
    <w:p w:rsidR="00D40B21" w:rsidRPr="00564B15" w:rsidRDefault="00D40B21" w:rsidP="00D40B21">
      <w:pPr>
        <w:rPr>
          <w:rFonts w:ascii="Arial" w:hAnsi="Arial" w:cs="Arial"/>
        </w:rPr>
      </w:pPr>
      <w:r w:rsidRPr="00564B15">
        <w:rPr>
          <w:rFonts w:ascii="Arial" w:hAnsi="Arial" w:cs="Arial"/>
        </w:rPr>
        <w:t>Por su parte, el artículo 53 numeral 1 fracciones II y V de la Ley Electoral establece como derecho de los partidos políticos participar en las elecciones conforme a lo dispuesto en la Base I del artículo 41 de la Constitución Federal, la Ley Electoral, la Ley General, la Ley de Partidos y demás disposiciones en la materia; además de organizar procesos internos para seleccionar y postular candidatas y candidatos por sí mismos, en coaliciones, o en común con otros partidos políticos, a las elecciones locales en los términos de la Ley Electoral y sus estatutos.</w:t>
      </w:r>
    </w:p>
    <w:p w:rsidR="00D40B21" w:rsidRPr="00564B15" w:rsidRDefault="00D40B21" w:rsidP="003414CF">
      <w:pPr>
        <w:pStyle w:val="Ttulo2"/>
        <w:rPr>
          <w:rFonts w:ascii="Arial" w:hAnsi="Arial" w:cs="Arial"/>
          <w:sz w:val="23"/>
        </w:rPr>
      </w:pPr>
      <w:r w:rsidRPr="00564B15">
        <w:rPr>
          <w:rFonts w:ascii="Arial" w:hAnsi="Arial" w:cs="Arial"/>
          <w:sz w:val="23"/>
        </w:rPr>
        <w:t>Regulación de las candidaturas independientes</w:t>
      </w:r>
    </w:p>
    <w:p w:rsidR="00D40B21" w:rsidRPr="00564B15" w:rsidRDefault="00D40B21" w:rsidP="00D40B21">
      <w:pPr>
        <w:rPr>
          <w:rFonts w:ascii="Arial" w:hAnsi="Arial" w:cs="Arial"/>
        </w:rPr>
      </w:pPr>
      <w:r w:rsidRPr="00564B15">
        <w:rPr>
          <w:rFonts w:ascii="Arial" w:hAnsi="Arial" w:cs="Arial"/>
        </w:rPr>
        <w:t>Que, el artículo 280 numeral 4 de la Ley Electoral establece que, el derecho de la ciudadanía de solicitar su registro para cargos de elección popular de manera independiente a los partidos políticos se sujetará a los requisitos, condiciones y términos establecidos en la Constitución Federal, la Constitución local, la Ley General y en la mencionada Ley.</w:t>
      </w:r>
    </w:p>
    <w:p w:rsidR="00D40B21" w:rsidRPr="00564B15" w:rsidRDefault="00D40B21" w:rsidP="003414CF">
      <w:pPr>
        <w:pStyle w:val="Ttulo2"/>
        <w:rPr>
          <w:rFonts w:ascii="Arial" w:hAnsi="Arial" w:cs="Arial"/>
          <w:sz w:val="23"/>
        </w:rPr>
      </w:pPr>
      <w:r w:rsidRPr="00564B15">
        <w:rPr>
          <w:rFonts w:ascii="Arial" w:hAnsi="Arial" w:cs="Arial"/>
          <w:sz w:val="23"/>
        </w:rPr>
        <w:t>Derecho a registrar candidaturas</w:t>
      </w:r>
    </w:p>
    <w:p w:rsidR="00D40B21" w:rsidRPr="00564B15" w:rsidRDefault="00D40B21" w:rsidP="00D40B21">
      <w:pPr>
        <w:rPr>
          <w:rFonts w:ascii="Arial" w:hAnsi="Arial" w:cs="Arial"/>
        </w:rPr>
      </w:pPr>
      <w:r w:rsidRPr="00564B15">
        <w:rPr>
          <w:rFonts w:ascii="Arial" w:hAnsi="Arial" w:cs="Arial"/>
        </w:rPr>
        <w:t>Que, de conformidad con el artículo 281 numerales 1 y 2 de la Ley Electoral sólo se registrará una candidatura independiente para cada cargo de elección popular por el principio de mayoría relativa. El registro será individual, por fórmula o planilla, según corresponda. Asimismo, en caso de existir más de una persona aspirante, fórmula o planilla a un mismo cargo de elección popular, será registrada la que obtenga el mayor número de respaldos de la ciudadanía, en cantidad superior al porcentaje señalado para cada cargo.</w:t>
      </w:r>
    </w:p>
    <w:p w:rsidR="00D40B21" w:rsidRPr="00564B15" w:rsidRDefault="00D40B21" w:rsidP="00D40B21">
      <w:pPr>
        <w:rPr>
          <w:rFonts w:ascii="Arial" w:hAnsi="Arial" w:cs="Arial"/>
        </w:rPr>
      </w:pPr>
      <w:r w:rsidRPr="00564B15">
        <w:rPr>
          <w:rFonts w:ascii="Arial" w:hAnsi="Arial" w:cs="Arial"/>
        </w:rPr>
        <w:t xml:space="preserve">Asimismo, como lo establece el numeral 3 del artículo 281 de la Ley Electoral, las candidaturas independientes tendrán los mismos derechos y obligaciones que las postuladas por partidos políticos, con las particularidades y salvedades que la Ley Electoral establece. </w:t>
      </w:r>
    </w:p>
    <w:p w:rsidR="00D40B21" w:rsidRPr="00564B15" w:rsidRDefault="0016642E" w:rsidP="003414CF">
      <w:pPr>
        <w:pStyle w:val="Ttulo2"/>
        <w:rPr>
          <w:rFonts w:ascii="Arial" w:hAnsi="Arial" w:cs="Arial"/>
          <w:sz w:val="23"/>
        </w:rPr>
      </w:pPr>
      <w:r w:rsidRPr="00564B15">
        <w:rPr>
          <w:rFonts w:ascii="Arial" w:hAnsi="Arial" w:cs="Arial"/>
          <w:sz w:val="23"/>
        </w:rPr>
        <w:t>Escrito ciudadano</w:t>
      </w:r>
    </w:p>
    <w:p w:rsidR="0016642E" w:rsidRPr="00564B15" w:rsidRDefault="0016642E" w:rsidP="00D40B21">
      <w:pPr>
        <w:rPr>
          <w:rFonts w:ascii="Arial" w:hAnsi="Arial" w:cs="Arial"/>
        </w:rPr>
      </w:pPr>
      <w:r w:rsidRPr="00564B15">
        <w:rPr>
          <w:rFonts w:ascii="Arial" w:hAnsi="Arial" w:cs="Arial"/>
        </w:rPr>
        <w:t xml:space="preserve">Que, el 8 de marzo de la presente anualidad, el ciudadano Juan José Aguilar Morales manifestó a este Instituto su intención de participar en la elección de la Gubernatura de </w:t>
      </w:r>
      <w:r w:rsidRPr="00564B15">
        <w:rPr>
          <w:rFonts w:ascii="Arial" w:hAnsi="Arial" w:cs="Arial"/>
        </w:rPr>
        <w:lastRenderedPageBreak/>
        <w:t>Tabasco durante el presente Proceso Electoral. Para tal efecto agregó su credencial para votar con fotografía expedida por el INE.</w:t>
      </w:r>
    </w:p>
    <w:p w:rsidR="0016642E" w:rsidRPr="00564B15" w:rsidRDefault="0016642E" w:rsidP="003414CF">
      <w:pPr>
        <w:pStyle w:val="Ttulo2"/>
        <w:rPr>
          <w:rFonts w:ascii="Arial" w:hAnsi="Arial" w:cs="Arial"/>
          <w:sz w:val="23"/>
        </w:rPr>
      </w:pPr>
      <w:r w:rsidRPr="00564B15">
        <w:rPr>
          <w:rFonts w:ascii="Arial" w:hAnsi="Arial" w:cs="Arial"/>
          <w:sz w:val="23"/>
        </w:rPr>
        <w:t>Respuesta</w:t>
      </w:r>
    </w:p>
    <w:p w:rsidR="0016642E" w:rsidRPr="00564B15" w:rsidRDefault="0016642E" w:rsidP="0016642E">
      <w:pPr>
        <w:rPr>
          <w:rFonts w:ascii="Arial" w:hAnsi="Arial" w:cs="Arial"/>
        </w:rPr>
      </w:pPr>
      <w:r w:rsidRPr="00564B15">
        <w:rPr>
          <w:rFonts w:ascii="Arial" w:hAnsi="Arial" w:cs="Arial"/>
        </w:rPr>
        <w:t>Que, considerando la solicitud que antecede, este Consejo Estatal con la finalidad de atender, conforme al artículo 8º de la Constitución Federal, el derecho de petición del solicitante, procede a dar respuesta a la solicitud de reconocimiento de su candidatura y la de su planilla, como candidatos no registrados para la elección de presidencia municipal y regidurías para el municipio de Centro, Tabasco, de acuerdo con lo siguiente:</w:t>
      </w:r>
    </w:p>
    <w:p w:rsidR="0016642E" w:rsidRPr="00564B15" w:rsidRDefault="0016642E" w:rsidP="0016642E">
      <w:pPr>
        <w:rPr>
          <w:rFonts w:ascii="Arial" w:hAnsi="Arial" w:cs="Arial"/>
        </w:rPr>
      </w:pPr>
      <w:r w:rsidRPr="00564B15">
        <w:rPr>
          <w:rFonts w:ascii="Arial" w:hAnsi="Arial" w:cs="Arial"/>
        </w:rPr>
        <w:t>El artículo 35, fracción II de la Constitución Federal, establece que, la ciudadanía tiene, entre otros derechos, el de ser votada en condiciones de paridad para todos los cargos de elección popular, teniendo las calidades que establezca la ley. Asimismo, refiere que,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rsidR="0016642E" w:rsidRPr="00564B15" w:rsidRDefault="0016642E" w:rsidP="0016642E">
      <w:pPr>
        <w:rPr>
          <w:rFonts w:ascii="Arial" w:hAnsi="Arial" w:cs="Arial"/>
        </w:rPr>
      </w:pPr>
      <w:r w:rsidRPr="00564B15">
        <w:rPr>
          <w:rFonts w:ascii="Arial" w:hAnsi="Arial" w:cs="Arial"/>
        </w:rPr>
        <w:t xml:space="preserve">En correspondencia a lo anterior, la Constitución Local establece en su artículo 7, el derecho de los partidos políticos a solicitar el registro de candidaturas ante las autoridades electorales y el de la ciudadanía que de manera independiente desee participar; en ambos casos, refiere que, para solicitar el registro se deberá cumplir con los requisitos, condiciones y términos que establezca la ley. </w:t>
      </w:r>
    </w:p>
    <w:p w:rsidR="0016642E" w:rsidRPr="00564B15" w:rsidRDefault="0016642E" w:rsidP="0016642E">
      <w:pPr>
        <w:rPr>
          <w:rFonts w:ascii="Arial" w:hAnsi="Arial" w:cs="Arial"/>
        </w:rPr>
      </w:pPr>
      <w:r w:rsidRPr="00564B15">
        <w:rPr>
          <w:rFonts w:ascii="Arial" w:hAnsi="Arial" w:cs="Arial"/>
        </w:rPr>
        <w:t>Por su parte, la Ley Electoral en su artículo 5, numeral 3, segundo párrafo, señala el derecho de las ciudadanas y los ciudadanos de ser votados para todos los puestos de elección popular, teniendo las calidades que establece la ley de la materia y solicitar su registro de manera independiente, cuando cumplan los requisitos, condiciones y términos que determine la propia ley.</w:t>
      </w:r>
    </w:p>
    <w:p w:rsidR="0016642E" w:rsidRPr="00564B15" w:rsidRDefault="0016642E" w:rsidP="0016642E">
      <w:pPr>
        <w:rPr>
          <w:rFonts w:ascii="Arial" w:hAnsi="Arial" w:cs="Arial"/>
        </w:rPr>
      </w:pPr>
      <w:r w:rsidRPr="00564B15">
        <w:rPr>
          <w:rFonts w:ascii="Arial" w:hAnsi="Arial" w:cs="Arial"/>
        </w:rPr>
        <w:t>Asimismo, el artículo 185, numeral 1 de la Ley Electoral, determina que, corresponde exclusivamente a los partidos políticos el derecho de solicitar el registro de candidatas y candidatos a cargos de elección popular, sin perjuicio del registro de candidaturas independientes en los términos de la mencionada ley.</w:t>
      </w:r>
    </w:p>
    <w:p w:rsidR="009B656A" w:rsidRPr="00564B15" w:rsidRDefault="009B656A" w:rsidP="009B656A">
      <w:pPr>
        <w:rPr>
          <w:rFonts w:ascii="Arial" w:hAnsi="Arial" w:cs="Arial"/>
        </w:rPr>
      </w:pPr>
      <w:r w:rsidRPr="00564B15">
        <w:rPr>
          <w:rFonts w:ascii="Arial" w:hAnsi="Arial" w:cs="Arial"/>
        </w:rPr>
        <w:t xml:space="preserve">Conforme a la regulación normativa mencionada, se desprende que, el régimen electoral en vigor sólo reconoce a aquellas candidaturas que son postuladas por los partidos políticos </w:t>
      </w:r>
      <w:r w:rsidRPr="00564B15">
        <w:rPr>
          <w:rFonts w:ascii="Arial" w:hAnsi="Arial" w:cs="Arial"/>
        </w:rPr>
        <w:lastRenderedPageBreak/>
        <w:t>y a las independientes, éstas últimas conformadas por ciudadanas y ciudadanos, que reunieron los requisitos que establece el artículo 300 de la Ley Electoral.</w:t>
      </w:r>
    </w:p>
    <w:p w:rsidR="009B656A" w:rsidRPr="00564B15" w:rsidRDefault="009B656A" w:rsidP="0016642E">
      <w:pPr>
        <w:rPr>
          <w:rFonts w:ascii="Arial" w:hAnsi="Arial" w:cs="Arial"/>
        </w:rPr>
      </w:pPr>
      <w:r w:rsidRPr="00564B15">
        <w:rPr>
          <w:rFonts w:ascii="Arial" w:hAnsi="Arial" w:cs="Arial"/>
        </w:rPr>
        <w:t xml:space="preserve">En el caso de las candidaturas independientes, el artículo 287 de la Ley Electoral dispone que las y los ciudadanos que pretendan postular su candidatura independiente a un cargo de elección popular del orden local deberán informarlo al Instituto por escrito en el formato que éste determine y ésta manifestación se realizará a partir del día siguiente al en que se emita la Convocatoria y hasta la fecha señalada como inicio del periodo para recabar el apoyo ciudadano, ante el Secretario Ejecutivo del propio Instituto. En ese tenor, el período para que las personas interesadas realizaran su manifestación transcurrió del 7 de octubre al 15 de noviembre del año 2023. </w:t>
      </w:r>
    </w:p>
    <w:p w:rsidR="009B656A" w:rsidRPr="00564B15" w:rsidRDefault="009B656A" w:rsidP="0016642E">
      <w:pPr>
        <w:rPr>
          <w:rFonts w:ascii="Arial" w:hAnsi="Arial" w:cs="Arial"/>
        </w:rPr>
      </w:pPr>
      <w:r w:rsidRPr="00564B15">
        <w:rPr>
          <w:rFonts w:ascii="Arial" w:hAnsi="Arial" w:cs="Arial"/>
        </w:rPr>
        <w:t xml:space="preserve">Adicionalmente al requisito anterior, las personas interesadas en contender en una candidatura independiente, deberán realizar los actos tendentes a recabar el apoyo de la ciudadanía de conformidad con el artículo 288 de la Ley Electoral. </w:t>
      </w:r>
    </w:p>
    <w:p w:rsidR="009B656A" w:rsidRPr="00564B15" w:rsidRDefault="009B656A" w:rsidP="009B656A">
      <w:pPr>
        <w:rPr>
          <w:rFonts w:ascii="Arial" w:hAnsi="Arial" w:cs="Arial"/>
        </w:rPr>
      </w:pPr>
      <w:r w:rsidRPr="00564B15">
        <w:rPr>
          <w:rFonts w:ascii="Arial" w:hAnsi="Arial" w:cs="Arial"/>
        </w:rPr>
        <w:t>En ese contexto,</w:t>
      </w:r>
      <w:r w:rsidR="009F2835" w:rsidRPr="00564B15">
        <w:rPr>
          <w:rFonts w:ascii="Arial" w:hAnsi="Arial" w:cs="Arial"/>
        </w:rPr>
        <w:t xml:space="preserve"> si de forma equivalente, la solicitud del interesado </w:t>
      </w:r>
      <w:r w:rsidR="00D57612" w:rsidRPr="00564B15">
        <w:rPr>
          <w:rFonts w:ascii="Arial" w:hAnsi="Arial" w:cs="Arial"/>
        </w:rPr>
        <w:t xml:space="preserve">se considera </w:t>
      </w:r>
      <w:r w:rsidR="009F2835" w:rsidRPr="00564B15">
        <w:rPr>
          <w:rFonts w:ascii="Arial" w:hAnsi="Arial" w:cs="Arial"/>
        </w:rPr>
        <w:t xml:space="preserve">como </w:t>
      </w:r>
      <w:r w:rsidRPr="00564B15">
        <w:rPr>
          <w:rFonts w:ascii="Arial" w:hAnsi="Arial" w:cs="Arial"/>
        </w:rPr>
        <w:t>la manifestación de participar en la elecc</w:t>
      </w:r>
      <w:r w:rsidR="00C77545" w:rsidRPr="00564B15">
        <w:rPr>
          <w:rFonts w:ascii="Arial" w:hAnsi="Arial" w:cs="Arial"/>
        </w:rPr>
        <w:t>ión a la Gubernatura del Estado</w:t>
      </w:r>
      <w:r w:rsidRPr="00564B15">
        <w:rPr>
          <w:rFonts w:ascii="Arial" w:hAnsi="Arial" w:cs="Arial"/>
        </w:rPr>
        <w:t xml:space="preserve"> a través de una candidatura independiente, </w:t>
      </w:r>
      <w:r w:rsidR="00D57612" w:rsidRPr="00564B15">
        <w:rPr>
          <w:rFonts w:ascii="Arial" w:hAnsi="Arial" w:cs="Arial"/>
        </w:rPr>
        <w:t xml:space="preserve">esta </w:t>
      </w:r>
      <w:r w:rsidRPr="00564B15">
        <w:rPr>
          <w:rFonts w:ascii="Arial" w:hAnsi="Arial" w:cs="Arial"/>
        </w:rPr>
        <w:t>fue presentada de forma extemporánea, por lo que, este Consejo Estatal considera improcedente la solicitud formulada por Juan José Aguilar Morales.</w:t>
      </w:r>
    </w:p>
    <w:p w:rsidR="009B656A" w:rsidRPr="00564B15" w:rsidRDefault="009B656A" w:rsidP="009B656A">
      <w:pPr>
        <w:rPr>
          <w:rFonts w:ascii="Arial" w:hAnsi="Arial" w:cs="Arial"/>
        </w:rPr>
      </w:pPr>
      <w:r w:rsidRPr="00564B15">
        <w:rPr>
          <w:rFonts w:ascii="Arial" w:hAnsi="Arial" w:cs="Arial"/>
        </w:rPr>
        <w:t>Además, el registro de personas candidatas por una vía distinta a las que establece la Ley, afectaría los derechos de aquellas personas que, se postularon por la vía de los partidos políticos o de forma independiente, pues éstas se sujetaron a los requisitos y reglas para contender válidamente en una elección, como las formas de realización de los procesos de selección y postulación de cada candidatura, la atribución de las autoridades electorales para revisar, verificar, y fiscalizar el origen y monto de los recursos utilizados en la promoción y obtención del voto, las reglas y plazos para realizar las precampañas y las campañas electorales.</w:t>
      </w:r>
    </w:p>
    <w:p w:rsidR="00D40B21" w:rsidRDefault="00D40B21" w:rsidP="00D40B21">
      <w:pPr>
        <w:rPr>
          <w:rFonts w:ascii="Arial" w:hAnsi="Arial" w:cs="Arial"/>
        </w:rPr>
      </w:pPr>
      <w:r w:rsidRPr="00564B15">
        <w:rPr>
          <w:rFonts w:ascii="Arial" w:hAnsi="Arial" w:cs="Arial"/>
        </w:rPr>
        <w:t>Sobre la base de las consideraciones señaladas, este Consejo Estatal emite el siguiente:</w:t>
      </w:r>
    </w:p>
    <w:p w:rsidR="00146E9B" w:rsidRDefault="00146E9B" w:rsidP="00D40B21">
      <w:pPr>
        <w:rPr>
          <w:rFonts w:ascii="Arial" w:hAnsi="Arial" w:cs="Arial"/>
        </w:rPr>
      </w:pPr>
    </w:p>
    <w:p w:rsidR="00146E9B" w:rsidRDefault="00146E9B" w:rsidP="00D40B21">
      <w:pPr>
        <w:rPr>
          <w:rFonts w:ascii="Arial" w:hAnsi="Arial" w:cs="Arial"/>
        </w:rPr>
      </w:pPr>
    </w:p>
    <w:p w:rsidR="00146E9B" w:rsidRPr="00564B15" w:rsidRDefault="00146E9B" w:rsidP="00D40B21">
      <w:pPr>
        <w:rPr>
          <w:rFonts w:ascii="Arial" w:hAnsi="Arial" w:cs="Arial"/>
        </w:rPr>
      </w:pPr>
    </w:p>
    <w:p w:rsidR="00D40B21" w:rsidRPr="00564B15" w:rsidRDefault="00D40B21" w:rsidP="00657FD6">
      <w:pPr>
        <w:pStyle w:val="Ttulo1"/>
        <w:rPr>
          <w:rFonts w:ascii="Arial" w:hAnsi="Arial" w:cs="Arial"/>
          <w:sz w:val="24"/>
          <w:szCs w:val="24"/>
        </w:rPr>
      </w:pPr>
      <w:r w:rsidRPr="00564B15">
        <w:rPr>
          <w:rFonts w:ascii="Arial" w:hAnsi="Arial" w:cs="Arial"/>
          <w:sz w:val="24"/>
          <w:szCs w:val="24"/>
        </w:rPr>
        <w:lastRenderedPageBreak/>
        <w:t>Acuerdo</w:t>
      </w:r>
    </w:p>
    <w:p w:rsidR="009B656A" w:rsidRPr="00564B15" w:rsidRDefault="00D40B21" w:rsidP="009B656A">
      <w:pPr>
        <w:rPr>
          <w:rFonts w:ascii="Arial" w:hAnsi="Arial" w:cs="Arial"/>
        </w:rPr>
      </w:pPr>
      <w:r w:rsidRPr="00564B15">
        <w:rPr>
          <w:rFonts w:ascii="Arial" w:hAnsi="Arial" w:cs="Arial"/>
          <w:b/>
          <w:bCs/>
        </w:rPr>
        <w:t>Primero.</w:t>
      </w:r>
      <w:r w:rsidRPr="00564B15">
        <w:rPr>
          <w:rFonts w:ascii="Arial" w:hAnsi="Arial" w:cs="Arial"/>
        </w:rPr>
        <w:t xml:space="preserve"> Se </w:t>
      </w:r>
      <w:r w:rsidR="009B656A" w:rsidRPr="00564B15">
        <w:rPr>
          <w:rFonts w:ascii="Arial" w:hAnsi="Arial" w:cs="Arial"/>
        </w:rPr>
        <w:t>declara improcedente la solicitud de Juan José Aguilar Morales formulada mediante escrito de 8 de marzo de la presente anualidad, relativa a participar en la elección de la Gubernatura de Tabasco en el Proceso Electoral Local Ordinario 2023 – 2024.</w:t>
      </w:r>
    </w:p>
    <w:p w:rsidR="009B656A" w:rsidRPr="00564B15" w:rsidRDefault="009B656A" w:rsidP="009B656A">
      <w:pPr>
        <w:rPr>
          <w:rFonts w:ascii="Arial" w:hAnsi="Arial" w:cs="Arial"/>
        </w:rPr>
      </w:pPr>
      <w:r w:rsidRPr="00564B15">
        <w:rPr>
          <w:rFonts w:ascii="Arial" w:hAnsi="Arial" w:cs="Arial"/>
          <w:b/>
        </w:rPr>
        <w:t>Segundo.</w:t>
      </w:r>
      <w:r w:rsidRPr="00564B15">
        <w:rPr>
          <w:rFonts w:ascii="Arial" w:hAnsi="Arial" w:cs="Arial"/>
        </w:rPr>
        <w:t xml:space="preserve"> Se instruye a la Secretaría Ejecutiva notifique </w:t>
      </w:r>
      <w:r w:rsidR="00E03486" w:rsidRPr="00564B15">
        <w:rPr>
          <w:rFonts w:ascii="Arial" w:hAnsi="Arial" w:cs="Arial"/>
        </w:rPr>
        <w:t>al interesado el contenido del presente acuerdo.</w:t>
      </w:r>
    </w:p>
    <w:p w:rsidR="00E03486" w:rsidRPr="00564B15" w:rsidRDefault="00E03486" w:rsidP="00E03486">
      <w:pPr>
        <w:rPr>
          <w:rFonts w:ascii="Arial" w:hAnsi="Arial" w:cs="Arial"/>
        </w:rPr>
      </w:pPr>
      <w:r w:rsidRPr="00564B15">
        <w:rPr>
          <w:rFonts w:ascii="Arial" w:hAnsi="Arial" w:cs="Arial"/>
          <w:b/>
          <w:bCs/>
        </w:rPr>
        <w:t xml:space="preserve">Tercero. </w:t>
      </w:r>
      <w:r w:rsidRPr="00564B15">
        <w:rPr>
          <w:rFonts w:ascii="Arial" w:hAnsi="Arial" w:cs="Arial"/>
          <w:bCs/>
        </w:rPr>
        <w:t>S</w:t>
      </w:r>
      <w:r w:rsidRPr="00564B15">
        <w:rPr>
          <w:rFonts w:ascii="Arial" w:hAnsi="Arial" w:cs="Arial"/>
        </w:rPr>
        <w:t>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E03486" w:rsidRPr="00564B15" w:rsidRDefault="00E03486" w:rsidP="00E03486">
      <w:pPr>
        <w:rPr>
          <w:rFonts w:ascii="Arial" w:hAnsi="Arial" w:cs="Arial"/>
        </w:rPr>
      </w:pPr>
      <w:r w:rsidRPr="00564B15">
        <w:rPr>
          <w:rFonts w:ascii="Arial" w:hAnsi="Arial" w:cs="Arial"/>
          <w:b/>
        </w:rPr>
        <w:t>Cuarto.</w:t>
      </w:r>
      <w:r w:rsidRPr="00564B15">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E03486" w:rsidRPr="00564B15" w:rsidRDefault="00E03486" w:rsidP="00E03486">
      <w:pPr>
        <w:rPr>
          <w:rFonts w:ascii="Arial" w:hAnsi="Arial" w:cs="Arial"/>
        </w:rPr>
      </w:pPr>
      <w:r w:rsidRPr="00564B15">
        <w:rPr>
          <w:rFonts w:ascii="Arial" w:hAnsi="Arial" w:cs="Arial"/>
        </w:rPr>
        <w:t>El presente acuerdo fue</w:t>
      </w:r>
      <w:r w:rsidR="00564B15">
        <w:rPr>
          <w:rFonts w:ascii="Arial" w:hAnsi="Arial" w:cs="Arial"/>
        </w:rPr>
        <w:t xml:space="preserve"> aprobado</w:t>
      </w:r>
      <w:r w:rsidRPr="00564B15">
        <w:rPr>
          <w:rFonts w:ascii="Arial" w:hAnsi="Arial" w:cs="Arial"/>
        </w:rPr>
        <w:t xml:space="preserve"> en sesión </w:t>
      </w:r>
      <w:r w:rsidR="00564B15">
        <w:rPr>
          <w:rFonts w:ascii="Arial" w:hAnsi="Arial" w:cs="Arial"/>
        </w:rPr>
        <w:t>Extraordinaria Urgente</w:t>
      </w:r>
      <w:r w:rsidRPr="00564B15">
        <w:rPr>
          <w:rFonts w:ascii="Arial" w:hAnsi="Arial" w:cs="Arial"/>
        </w:rPr>
        <w:t xml:space="preserve"> efectuada el </w:t>
      </w:r>
      <w:r w:rsidR="00564B15">
        <w:rPr>
          <w:rFonts w:ascii="Arial" w:hAnsi="Arial" w:cs="Arial"/>
        </w:rPr>
        <w:t>quince</w:t>
      </w:r>
      <w:r w:rsidRPr="00564B15">
        <w:rPr>
          <w:rFonts w:ascii="Arial" w:hAnsi="Arial" w:cs="Arial"/>
        </w:rPr>
        <w:t xml:space="preserve"> de </w:t>
      </w:r>
      <w:r w:rsidR="00564B15">
        <w:rPr>
          <w:rFonts w:ascii="Arial" w:hAnsi="Arial" w:cs="Arial"/>
        </w:rPr>
        <w:t>marzo</w:t>
      </w:r>
      <w:r w:rsidRPr="00564B15">
        <w:rPr>
          <w:rFonts w:ascii="Arial" w:hAnsi="Arial" w:cs="Arial"/>
        </w:rPr>
        <w:t xml:space="preserve"> del año dos mil veinticuatro, por votación </w:t>
      </w:r>
      <w:r w:rsidR="00146E9B">
        <w:rPr>
          <w:rFonts w:ascii="Arial" w:hAnsi="Arial" w:cs="Arial"/>
        </w:rPr>
        <w:t>unánime</w:t>
      </w:r>
      <w:r w:rsidRPr="00564B15">
        <w:rPr>
          <w:rFonts w:ascii="Arial" w:hAnsi="Arial" w:cs="Arial"/>
        </w:rPr>
        <w:t xml:space="preserve"> de las y los Consejeros Electorales del Consejo Estatal del Instituto Electoral y de Participación Ciudadana de Tabasco: Dra. </w:t>
      </w:r>
      <w:proofErr w:type="spellStart"/>
      <w:r w:rsidRPr="00564B15">
        <w:rPr>
          <w:rFonts w:ascii="Arial" w:hAnsi="Arial" w:cs="Arial"/>
        </w:rPr>
        <w:t>Rosselvy</w:t>
      </w:r>
      <w:proofErr w:type="spellEnd"/>
      <w:r w:rsidRPr="00564B15">
        <w:rPr>
          <w:rFonts w:ascii="Arial" w:hAnsi="Arial" w:cs="Arial"/>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rsidR="00E03486" w:rsidRDefault="00E03486" w:rsidP="00E03486">
      <w:pPr>
        <w:rPr>
          <w:rFonts w:ascii="Arial" w:hAnsi="Arial" w:cs="Arial"/>
        </w:rPr>
      </w:pPr>
    </w:p>
    <w:p w:rsidR="00146E9B" w:rsidRDefault="00146E9B" w:rsidP="00E03486">
      <w:pPr>
        <w:rPr>
          <w:rFonts w:ascii="Arial" w:hAnsi="Arial" w:cs="Arial"/>
        </w:rPr>
      </w:pPr>
    </w:p>
    <w:p w:rsidR="00146E9B" w:rsidRDefault="00146E9B" w:rsidP="00E03486">
      <w:pPr>
        <w:rPr>
          <w:rFonts w:ascii="Arial" w:hAnsi="Arial" w:cs="Arial"/>
        </w:rPr>
      </w:pPr>
    </w:p>
    <w:tbl>
      <w:tblPr>
        <w:tblStyle w:val="Tablaconcuadrcula"/>
        <w:tblW w:w="9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296"/>
        <w:gridCol w:w="4760"/>
      </w:tblGrid>
      <w:tr w:rsidR="00E03486" w:rsidRPr="00564B15" w:rsidTr="00564B15">
        <w:trPr>
          <w:trHeight w:val="1096"/>
        </w:trPr>
        <w:tc>
          <w:tcPr>
            <w:tcW w:w="4453" w:type="dxa"/>
          </w:tcPr>
          <w:p w:rsidR="00E03486" w:rsidRPr="00564B15" w:rsidRDefault="00E03486" w:rsidP="00E376C3">
            <w:pPr>
              <w:spacing w:before="0" w:after="0"/>
              <w:jc w:val="center"/>
              <w:rPr>
                <w:rFonts w:ascii="Arial" w:hAnsi="Arial" w:cs="Arial"/>
                <w:b/>
              </w:rPr>
            </w:pPr>
            <w:r w:rsidRPr="00564B15">
              <w:rPr>
                <w:rFonts w:ascii="Arial" w:hAnsi="Arial" w:cs="Arial"/>
                <w:b/>
              </w:rPr>
              <w:t>MTRA. ELIZABETH NAVA GUTIÉRREZ</w:t>
            </w:r>
          </w:p>
          <w:p w:rsidR="00E03486" w:rsidRPr="00564B15" w:rsidRDefault="00E03486" w:rsidP="00E376C3">
            <w:pPr>
              <w:spacing w:before="0" w:after="0"/>
              <w:jc w:val="center"/>
              <w:rPr>
                <w:rFonts w:ascii="Arial" w:hAnsi="Arial" w:cs="Arial"/>
                <w:b/>
              </w:rPr>
            </w:pPr>
            <w:r w:rsidRPr="00564B15">
              <w:rPr>
                <w:rFonts w:ascii="Arial" w:hAnsi="Arial" w:cs="Arial"/>
                <w:b/>
              </w:rPr>
              <w:t>CONSEJERA PRESIDENTA</w:t>
            </w:r>
          </w:p>
        </w:tc>
        <w:tc>
          <w:tcPr>
            <w:tcW w:w="296" w:type="dxa"/>
          </w:tcPr>
          <w:p w:rsidR="00E03486" w:rsidRPr="00564B15" w:rsidRDefault="00E03486" w:rsidP="00E376C3">
            <w:pPr>
              <w:spacing w:before="0" w:after="0"/>
              <w:rPr>
                <w:rFonts w:ascii="Arial" w:hAnsi="Arial" w:cs="Arial"/>
                <w:b/>
              </w:rPr>
            </w:pPr>
          </w:p>
        </w:tc>
        <w:tc>
          <w:tcPr>
            <w:tcW w:w="4760" w:type="dxa"/>
          </w:tcPr>
          <w:p w:rsidR="00E03486" w:rsidRPr="00564B15" w:rsidRDefault="00E03486" w:rsidP="00E376C3">
            <w:pPr>
              <w:spacing w:before="0" w:after="0"/>
              <w:jc w:val="center"/>
              <w:rPr>
                <w:rFonts w:ascii="Arial" w:hAnsi="Arial" w:cs="Arial"/>
                <w:b/>
              </w:rPr>
            </w:pPr>
            <w:r w:rsidRPr="00564B15">
              <w:rPr>
                <w:rFonts w:ascii="Arial" w:hAnsi="Arial" w:cs="Arial"/>
                <w:b/>
              </w:rPr>
              <w:t>LIC. JORGE ALBERTO ZAVALA FRÍAS</w:t>
            </w:r>
          </w:p>
          <w:p w:rsidR="00E03486" w:rsidRPr="00564B15" w:rsidRDefault="00E03486" w:rsidP="00E376C3">
            <w:pPr>
              <w:spacing w:before="0" w:after="0"/>
              <w:jc w:val="center"/>
              <w:rPr>
                <w:rFonts w:ascii="Arial" w:hAnsi="Arial" w:cs="Arial"/>
                <w:b/>
              </w:rPr>
            </w:pPr>
            <w:r w:rsidRPr="00564B15">
              <w:rPr>
                <w:rFonts w:ascii="Arial" w:hAnsi="Arial" w:cs="Arial"/>
                <w:b/>
              </w:rPr>
              <w:t>SECRETARIO DEL CONSEJO</w:t>
            </w:r>
          </w:p>
        </w:tc>
      </w:tr>
    </w:tbl>
    <w:p w:rsidR="00E03486" w:rsidRDefault="00E03486" w:rsidP="009B656A"/>
    <w:sectPr w:rsidR="00E03486" w:rsidSect="00146E9B">
      <w:headerReference w:type="default" r:id="rId7"/>
      <w:footerReference w:type="default" r:id="rId8"/>
      <w:pgSz w:w="12240" w:h="15840" w:code="1"/>
      <w:pgMar w:top="2835" w:right="1325"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271" w:rsidRDefault="00925271" w:rsidP="00D40B21">
      <w:pPr>
        <w:spacing w:before="0" w:after="0" w:line="240" w:lineRule="auto"/>
      </w:pPr>
      <w:r>
        <w:separator/>
      </w:r>
    </w:p>
  </w:endnote>
  <w:endnote w:type="continuationSeparator" w:id="0">
    <w:p w:rsidR="00925271" w:rsidRDefault="00925271" w:rsidP="00D40B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95A63B-23CE-4CB2-B0EF-6301CDF5B9DB}"/>
    <w:embedBold r:id="rId2" w:fontKey="{3BDE2942-4238-4AD8-8863-D47E986D87EA}"/>
  </w:font>
  <w:font w:name="Exo">
    <w:altName w:val="Times New Roman"/>
    <w:charset w:val="00"/>
    <w:family w:val="auto"/>
    <w:pitch w:val="variable"/>
    <w:sig w:usb0="A00000EF" w:usb1="4000204B" w:usb2="00000000" w:usb3="00000000" w:csb0="00000193" w:csb1="00000000"/>
    <w:embedRegular r:id="rId3" w:fontKey="{E86BF162-B1FB-40DB-AC97-B248433065A6}"/>
    <w:embedBold r:id="rId4" w:fontKey="{C807D720-DAF5-479F-A43E-8D01B0B0BE1F}"/>
  </w:font>
  <w:font w:name="Calibri Light">
    <w:panose1 w:val="020F0302020204030204"/>
    <w:charset w:val="00"/>
    <w:family w:val="swiss"/>
    <w:pitch w:val="variable"/>
    <w:sig w:usb0="E4002EFF" w:usb1="C200247B" w:usb2="00000009" w:usb3="00000000" w:csb0="000001FF" w:csb1="00000000"/>
    <w:embedRegular r:id="rId5" w:fontKey="{94C5E758-4AEE-4C18-8C14-DD6823E37FF0}"/>
    <w:embedItalic r:id="rId6" w:fontKey="{9FE32BF4-AF56-4C72-8D9D-4A16B539156E}"/>
  </w:font>
  <w:font w:name="Segoe UI">
    <w:panose1 w:val="020B0502040204020203"/>
    <w:charset w:val="00"/>
    <w:family w:val="swiss"/>
    <w:pitch w:val="variable"/>
    <w:sig w:usb0="E4002EFF" w:usb1="C000E47F" w:usb2="00000009" w:usb3="00000000" w:csb0="000001FF" w:csb1="00000000"/>
    <w:embedRegular r:id="rId7" w:fontKey="{7E9EC58B-2ECE-4D9E-A704-E6A722B501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993366"/>
        <w:sz w:val="20"/>
        <w:szCs w:val="20"/>
      </w:rPr>
      <w:id w:val="-1475667791"/>
      <w:docPartObj>
        <w:docPartGallery w:val="Page Numbers (Top of Page)"/>
        <w:docPartUnique/>
      </w:docPartObj>
    </w:sdtPr>
    <w:sdtEndPr/>
    <w:sdtContent>
      <w:p w:rsidR="00D57724" w:rsidRPr="00D57724" w:rsidRDefault="00D57724" w:rsidP="00D57724">
        <w:pPr>
          <w:pStyle w:val="Piedepgina"/>
          <w:jc w:val="right"/>
          <w:rPr>
            <w:rFonts w:cs="Arial"/>
            <w:color w:val="993366"/>
            <w:sz w:val="20"/>
            <w:szCs w:val="20"/>
          </w:rPr>
        </w:pPr>
        <w:r w:rsidRPr="00C87D51">
          <w:rPr>
            <w:rFonts w:cs="Arial"/>
            <w:b/>
            <w:bCs/>
            <w:color w:val="993366"/>
          </w:rPr>
          <w:t xml:space="preserve">Página </w:t>
        </w:r>
        <w:r w:rsidRPr="00C87D51">
          <w:rPr>
            <w:rFonts w:cs="Arial"/>
            <w:b/>
            <w:bCs/>
            <w:color w:val="993366"/>
          </w:rPr>
          <w:fldChar w:fldCharType="begin"/>
        </w:r>
        <w:r w:rsidRPr="00C87D51">
          <w:rPr>
            <w:rFonts w:cs="Arial"/>
            <w:b/>
            <w:bCs/>
            <w:color w:val="993366"/>
          </w:rPr>
          <w:instrText>PAGE</w:instrText>
        </w:r>
        <w:r w:rsidRPr="00C87D51">
          <w:rPr>
            <w:rFonts w:cs="Arial"/>
            <w:b/>
            <w:bCs/>
            <w:color w:val="993366"/>
          </w:rPr>
          <w:fldChar w:fldCharType="separate"/>
        </w:r>
        <w:r w:rsidR="00D61DDE">
          <w:rPr>
            <w:rFonts w:cs="Arial"/>
            <w:b/>
            <w:bCs/>
            <w:noProof/>
            <w:color w:val="993366"/>
          </w:rPr>
          <w:t>6</w:t>
        </w:r>
        <w:r w:rsidRPr="00C87D51">
          <w:rPr>
            <w:rFonts w:cs="Arial"/>
            <w:b/>
            <w:bCs/>
            <w:color w:val="993366"/>
          </w:rPr>
          <w:fldChar w:fldCharType="end"/>
        </w:r>
        <w:r w:rsidRPr="00C87D51">
          <w:rPr>
            <w:rFonts w:cs="Arial"/>
            <w:b/>
            <w:bCs/>
            <w:color w:val="993366"/>
          </w:rPr>
          <w:t xml:space="preserve"> | </w:t>
        </w:r>
        <w:r w:rsidRPr="00C87D51">
          <w:rPr>
            <w:rFonts w:cs="Arial"/>
            <w:b/>
            <w:bCs/>
            <w:color w:val="993366"/>
          </w:rPr>
          <w:fldChar w:fldCharType="begin"/>
        </w:r>
        <w:r w:rsidRPr="00C87D51">
          <w:rPr>
            <w:rFonts w:cs="Arial"/>
            <w:b/>
            <w:bCs/>
            <w:color w:val="993366"/>
          </w:rPr>
          <w:instrText>NUMPAGES</w:instrText>
        </w:r>
        <w:r w:rsidRPr="00C87D51">
          <w:rPr>
            <w:rFonts w:cs="Arial"/>
            <w:b/>
            <w:bCs/>
            <w:color w:val="993366"/>
          </w:rPr>
          <w:fldChar w:fldCharType="separate"/>
        </w:r>
        <w:r w:rsidR="00D61DDE">
          <w:rPr>
            <w:rFonts w:cs="Arial"/>
            <w:b/>
            <w:bCs/>
            <w:noProof/>
            <w:color w:val="993366"/>
          </w:rPr>
          <w:t>9</w:t>
        </w:r>
        <w:r w:rsidRPr="00C87D51">
          <w:rPr>
            <w:rFonts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271" w:rsidRDefault="00925271" w:rsidP="00D40B21">
      <w:pPr>
        <w:spacing w:before="0" w:after="0" w:line="240" w:lineRule="auto"/>
      </w:pPr>
      <w:r>
        <w:separator/>
      </w:r>
    </w:p>
  </w:footnote>
  <w:footnote w:type="continuationSeparator" w:id="0">
    <w:p w:rsidR="00925271" w:rsidRDefault="00925271" w:rsidP="00D40B2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122690" w:rsidRPr="00063338" w:rsidTr="00E376C3">
      <w:tc>
        <w:tcPr>
          <w:tcW w:w="1418" w:type="dxa"/>
        </w:tcPr>
        <w:p w:rsidR="00122690" w:rsidRPr="00063338" w:rsidRDefault="00122690" w:rsidP="00122690">
          <w:pPr>
            <w:pStyle w:val="Encabezado"/>
            <w:ind w:left="-170"/>
          </w:pPr>
          <w:r>
            <w:rPr>
              <w:b/>
              <w:noProof/>
              <w:sz w:val="32"/>
              <w:lang w:val="es-MX" w:eastAsia="es-MX"/>
            </w:rPr>
            <w:drawing>
              <wp:inline distT="0" distB="0" distL="0" distR="0" wp14:anchorId="21105DD4" wp14:editId="0BEC53C7">
                <wp:extent cx="1014331" cy="1199403"/>
                <wp:effectExtent l="0" t="0" r="0" b="1270"/>
                <wp:docPr id="41" name="Imagen 4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122690" w:rsidRPr="00FA6047" w:rsidRDefault="00122690" w:rsidP="00122690">
          <w:pPr>
            <w:pStyle w:val="Encabezado"/>
            <w:spacing w:before="720"/>
            <w:jc w:val="center"/>
            <w:rPr>
              <w:rFonts w:ascii="Arial" w:hAnsi="Arial" w:cs="Arial"/>
              <w:b/>
              <w:bCs/>
              <w:sz w:val="25"/>
              <w:szCs w:val="25"/>
            </w:rPr>
          </w:pPr>
          <w:r w:rsidRPr="00FA6047">
            <w:rPr>
              <w:rFonts w:ascii="Arial" w:hAnsi="Arial" w:cs="Arial"/>
              <w:b/>
              <w:bCs/>
              <w:sz w:val="25"/>
              <w:szCs w:val="25"/>
            </w:rPr>
            <w:t>INSTITUTO ELECTORAL Y DE PARTICIPACIÓN CIUDADANA DE TABASCO</w:t>
          </w:r>
        </w:p>
        <w:p w:rsidR="00122690" w:rsidRPr="00063338" w:rsidRDefault="00122690" w:rsidP="00122690">
          <w:pPr>
            <w:pStyle w:val="Encabezado"/>
            <w:jc w:val="center"/>
          </w:pPr>
          <w:r w:rsidRPr="00FA6047">
            <w:rPr>
              <w:rFonts w:ascii="Arial" w:hAnsi="Arial" w:cs="Arial"/>
              <w:sz w:val="26"/>
              <w:szCs w:val="26"/>
            </w:rPr>
            <w:t>CONSEJO ESTATAL</w:t>
          </w:r>
        </w:p>
      </w:tc>
      <w:tc>
        <w:tcPr>
          <w:tcW w:w="1701" w:type="dxa"/>
        </w:tcPr>
        <w:p w:rsidR="00122690" w:rsidRPr="00063338" w:rsidRDefault="00122690" w:rsidP="00122690">
          <w:pPr>
            <w:pStyle w:val="Encabezado"/>
            <w:spacing w:before="480"/>
          </w:pPr>
          <w:r>
            <w:rPr>
              <w:noProof/>
              <w:lang w:val="es-MX" w:eastAsia="es-MX"/>
            </w:rPr>
            <w:drawing>
              <wp:inline distT="0" distB="0" distL="0" distR="0" wp14:anchorId="0456B0E5" wp14:editId="0CCCEC21">
                <wp:extent cx="921600" cy="756000"/>
                <wp:effectExtent l="0" t="0" r="0" b="6350"/>
                <wp:docPr id="42" name="Imagen 4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122690" w:rsidRPr="00564B15" w:rsidRDefault="00564B15" w:rsidP="00564B15">
    <w:pPr>
      <w:pStyle w:val="Encabezado"/>
      <w:jc w:val="right"/>
      <w:rPr>
        <w:rFonts w:ascii="Arial" w:hAnsi="Arial" w:cs="Arial"/>
        <w:b/>
        <w:sz w:val="24"/>
        <w:szCs w:val="24"/>
      </w:rPr>
    </w:pPr>
    <w:r w:rsidRPr="00564B15">
      <w:rPr>
        <w:rFonts w:ascii="Arial" w:hAnsi="Arial" w:cs="Arial"/>
        <w:b/>
        <w:sz w:val="24"/>
        <w:szCs w:val="24"/>
      </w:rPr>
      <w:t>CE/2024/030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12805"/>
    <w:multiLevelType w:val="hybridMultilevel"/>
    <w:tmpl w:val="0ECE3E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542917"/>
    <w:multiLevelType w:val="multilevel"/>
    <w:tmpl w:val="2EF6FB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F4B3EFA"/>
    <w:multiLevelType w:val="multilevel"/>
    <w:tmpl w:val="09BA8B2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5036677A"/>
    <w:multiLevelType w:val="hybridMultilevel"/>
    <w:tmpl w:val="8BBE59B0"/>
    <w:lvl w:ilvl="0" w:tplc="FF642A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B21"/>
    <w:rsid w:val="0000204D"/>
    <w:rsid w:val="000077A0"/>
    <w:rsid w:val="000651F0"/>
    <w:rsid w:val="000C2B6B"/>
    <w:rsid w:val="00122690"/>
    <w:rsid w:val="00146E9B"/>
    <w:rsid w:val="0016642E"/>
    <w:rsid w:val="003414CF"/>
    <w:rsid w:val="003821A7"/>
    <w:rsid w:val="003B0D96"/>
    <w:rsid w:val="004B5AC4"/>
    <w:rsid w:val="00564B15"/>
    <w:rsid w:val="00657FD6"/>
    <w:rsid w:val="007B6163"/>
    <w:rsid w:val="00873B28"/>
    <w:rsid w:val="00925271"/>
    <w:rsid w:val="009B5F9F"/>
    <w:rsid w:val="009B656A"/>
    <w:rsid w:val="009F2835"/>
    <w:rsid w:val="00A0127C"/>
    <w:rsid w:val="00AC7D9F"/>
    <w:rsid w:val="00AF312D"/>
    <w:rsid w:val="00B15293"/>
    <w:rsid w:val="00C679C5"/>
    <w:rsid w:val="00C77545"/>
    <w:rsid w:val="00D22493"/>
    <w:rsid w:val="00D40B21"/>
    <w:rsid w:val="00D57612"/>
    <w:rsid w:val="00D57724"/>
    <w:rsid w:val="00D61DDE"/>
    <w:rsid w:val="00E03486"/>
    <w:rsid w:val="00F076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EE691"/>
  <w15:chartTrackingRefBased/>
  <w15:docId w15:val="{90F2BA61-F001-4987-8605-9A560F2FE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B21"/>
    <w:pPr>
      <w:spacing w:before="240" w:after="240" w:line="276" w:lineRule="auto"/>
      <w:jc w:val="both"/>
    </w:pPr>
    <w:rPr>
      <w:rFonts w:ascii="Exo" w:hAnsi="Exo"/>
      <w:sz w:val="23"/>
      <w:szCs w:val="23"/>
      <w:lang w:val="es-ES"/>
    </w:rPr>
  </w:style>
  <w:style w:type="paragraph" w:styleId="Ttulo1">
    <w:name w:val="heading 1"/>
    <w:basedOn w:val="Normal"/>
    <w:next w:val="Normal"/>
    <w:link w:val="Ttulo1Car"/>
    <w:uiPriority w:val="9"/>
    <w:qFormat/>
    <w:rsid w:val="00D40B21"/>
    <w:pPr>
      <w:numPr>
        <w:numId w:val="1"/>
      </w:numPr>
      <w:spacing w:before="600" w:after="480"/>
      <w:jc w:val="center"/>
      <w:outlineLvl w:val="0"/>
    </w:pPr>
    <w:rPr>
      <w:b/>
      <w:sz w:val="28"/>
      <w:lang w:val="es-MX"/>
    </w:rPr>
  </w:style>
  <w:style w:type="paragraph" w:styleId="Ttulo2">
    <w:name w:val="heading 2"/>
    <w:basedOn w:val="Normal"/>
    <w:next w:val="Normal"/>
    <w:link w:val="Ttulo2Car"/>
    <w:uiPriority w:val="9"/>
    <w:unhideWhenUsed/>
    <w:qFormat/>
    <w:rsid w:val="003414CF"/>
    <w:pPr>
      <w:numPr>
        <w:ilvl w:val="1"/>
        <w:numId w:val="1"/>
      </w:numPr>
      <w:spacing w:before="480"/>
      <w:outlineLvl w:val="1"/>
    </w:pPr>
    <w:rPr>
      <w:b/>
      <w:sz w:val="24"/>
      <w:lang w:val="es-MX"/>
    </w:rPr>
  </w:style>
  <w:style w:type="paragraph" w:styleId="Ttulo3">
    <w:name w:val="heading 3"/>
    <w:basedOn w:val="Ttulo2"/>
    <w:next w:val="Normal"/>
    <w:link w:val="Ttulo3Car"/>
    <w:uiPriority w:val="9"/>
    <w:unhideWhenUsed/>
    <w:qFormat/>
    <w:rsid w:val="00D40B21"/>
    <w:pPr>
      <w:numPr>
        <w:ilvl w:val="2"/>
      </w:numPr>
      <w:outlineLvl w:val="2"/>
    </w:pPr>
    <w:rPr>
      <w:sz w:val="23"/>
    </w:rPr>
  </w:style>
  <w:style w:type="paragraph" w:styleId="Ttulo4">
    <w:name w:val="heading 4"/>
    <w:basedOn w:val="Normal"/>
    <w:next w:val="Normal"/>
    <w:link w:val="Ttulo4Car"/>
    <w:uiPriority w:val="9"/>
    <w:semiHidden/>
    <w:unhideWhenUsed/>
    <w:qFormat/>
    <w:rsid w:val="00D40B2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sz w:val="22"/>
      <w:szCs w:val="22"/>
      <w:lang w:val="es-MX"/>
    </w:rPr>
  </w:style>
  <w:style w:type="paragraph" w:styleId="Ttulo5">
    <w:name w:val="heading 5"/>
    <w:basedOn w:val="Normal"/>
    <w:next w:val="Normal"/>
    <w:link w:val="Ttulo5Car"/>
    <w:uiPriority w:val="9"/>
    <w:semiHidden/>
    <w:unhideWhenUsed/>
    <w:qFormat/>
    <w:rsid w:val="00D40B21"/>
    <w:pPr>
      <w:keepNext/>
      <w:keepLines/>
      <w:numPr>
        <w:ilvl w:val="4"/>
        <w:numId w:val="1"/>
      </w:numPr>
      <w:spacing w:before="40" w:after="0"/>
      <w:outlineLvl w:val="4"/>
    </w:pPr>
    <w:rPr>
      <w:rFonts w:asciiTheme="majorHAnsi" w:eastAsiaTheme="majorEastAsia" w:hAnsiTheme="majorHAnsi" w:cstheme="majorBidi"/>
      <w:color w:val="2E74B5" w:themeColor="accent1" w:themeShade="BF"/>
      <w:sz w:val="22"/>
      <w:szCs w:val="22"/>
      <w:lang w:val="es-MX"/>
    </w:rPr>
  </w:style>
  <w:style w:type="paragraph" w:styleId="Ttulo6">
    <w:name w:val="heading 6"/>
    <w:basedOn w:val="Normal"/>
    <w:next w:val="Normal"/>
    <w:link w:val="Ttulo6Car"/>
    <w:uiPriority w:val="9"/>
    <w:semiHidden/>
    <w:unhideWhenUsed/>
    <w:qFormat/>
    <w:rsid w:val="00D40B21"/>
    <w:pPr>
      <w:keepNext/>
      <w:keepLines/>
      <w:numPr>
        <w:ilvl w:val="5"/>
        <w:numId w:val="1"/>
      </w:numPr>
      <w:spacing w:before="40" w:after="0"/>
      <w:outlineLvl w:val="5"/>
    </w:pPr>
    <w:rPr>
      <w:rFonts w:asciiTheme="majorHAnsi" w:eastAsiaTheme="majorEastAsia" w:hAnsiTheme="majorHAnsi" w:cstheme="majorBidi"/>
      <w:color w:val="1F4D78" w:themeColor="accent1" w:themeShade="7F"/>
      <w:sz w:val="22"/>
      <w:szCs w:val="22"/>
      <w:lang w:val="es-MX"/>
    </w:rPr>
  </w:style>
  <w:style w:type="paragraph" w:styleId="Ttulo7">
    <w:name w:val="heading 7"/>
    <w:basedOn w:val="Normal"/>
    <w:next w:val="Normal"/>
    <w:link w:val="Ttulo7Car"/>
    <w:uiPriority w:val="9"/>
    <w:semiHidden/>
    <w:unhideWhenUsed/>
    <w:qFormat/>
    <w:rsid w:val="00D40B2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sz w:val="22"/>
      <w:szCs w:val="22"/>
      <w:lang w:val="es-MX"/>
    </w:rPr>
  </w:style>
  <w:style w:type="paragraph" w:styleId="Ttulo8">
    <w:name w:val="heading 8"/>
    <w:basedOn w:val="Normal"/>
    <w:next w:val="Normal"/>
    <w:link w:val="Ttulo8Car"/>
    <w:uiPriority w:val="9"/>
    <w:semiHidden/>
    <w:unhideWhenUsed/>
    <w:qFormat/>
    <w:rsid w:val="00D40B2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lang w:val="es-MX"/>
    </w:rPr>
  </w:style>
  <w:style w:type="paragraph" w:styleId="Ttulo9">
    <w:name w:val="heading 9"/>
    <w:basedOn w:val="Normal"/>
    <w:next w:val="Normal"/>
    <w:link w:val="Ttulo9Car"/>
    <w:uiPriority w:val="9"/>
    <w:semiHidden/>
    <w:unhideWhenUsed/>
    <w:qFormat/>
    <w:rsid w:val="00D40B2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0B21"/>
    <w:rPr>
      <w:rFonts w:ascii="Exo" w:hAnsi="Exo"/>
      <w:b/>
      <w:sz w:val="28"/>
      <w:szCs w:val="23"/>
    </w:rPr>
  </w:style>
  <w:style w:type="character" w:customStyle="1" w:styleId="Ttulo2Car">
    <w:name w:val="Título 2 Car"/>
    <w:basedOn w:val="Fuentedeprrafopredeter"/>
    <w:link w:val="Ttulo2"/>
    <w:uiPriority w:val="9"/>
    <w:rsid w:val="003414CF"/>
    <w:rPr>
      <w:rFonts w:ascii="Exo" w:hAnsi="Exo"/>
      <w:b/>
      <w:sz w:val="24"/>
      <w:szCs w:val="23"/>
    </w:rPr>
  </w:style>
  <w:style w:type="character" w:customStyle="1" w:styleId="Ttulo3Car">
    <w:name w:val="Título 3 Car"/>
    <w:basedOn w:val="Fuentedeprrafopredeter"/>
    <w:link w:val="Ttulo3"/>
    <w:uiPriority w:val="9"/>
    <w:rsid w:val="00D40B21"/>
    <w:rPr>
      <w:rFonts w:ascii="Exo" w:hAnsi="Exo"/>
      <w:b/>
      <w:sz w:val="23"/>
      <w:szCs w:val="23"/>
    </w:rPr>
  </w:style>
  <w:style w:type="character" w:customStyle="1" w:styleId="Ttulo4Car">
    <w:name w:val="Título 4 Car"/>
    <w:basedOn w:val="Fuentedeprrafopredeter"/>
    <w:link w:val="Ttulo4"/>
    <w:uiPriority w:val="9"/>
    <w:semiHidden/>
    <w:rsid w:val="00D40B2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D40B2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D40B2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D40B2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D40B2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40B21"/>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D40B21"/>
    <w:pPr>
      <w:spacing w:before="0"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D40B21"/>
    <w:rPr>
      <w:rFonts w:ascii="Exo" w:hAnsi="Exo"/>
      <w:sz w:val="20"/>
      <w:szCs w:val="20"/>
    </w:rPr>
  </w:style>
  <w:style w:type="character" w:styleId="Refdenotaalpie">
    <w:name w:val="footnote reference"/>
    <w:basedOn w:val="Fuentedeprrafopredeter"/>
    <w:uiPriority w:val="99"/>
    <w:semiHidden/>
    <w:unhideWhenUsed/>
    <w:rsid w:val="00D40B21"/>
    <w:rPr>
      <w:vertAlign w:val="superscript"/>
    </w:rPr>
  </w:style>
  <w:style w:type="table" w:styleId="Tablaconcuadrcula">
    <w:name w:val="Table Grid"/>
    <w:basedOn w:val="Tablanormal"/>
    <w:uiPriority w:val="39"/>
    <w:rsid w:val="00E0348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22690"/>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22690"/>
    <w:rPr>
      <w:rFonts w:ascii="Exo" w:hAnsi="Exo"/>
      <w:sz w:val="23"/>
      <w:szCs w:val="23"/>
      <w:lang w:val="es-ES"/>
    </w:rPr>
  </w:style>
  <w:style w:type="paragraph" w:styleId="Piedepgina">
    <w:name w:val="footer"/>
    <w:basedOn w:val="Normal"/>
    <w:link w:val="PiedepginaCar"/>
    <w:uiPriority w:val="99"/>
    <w:unhideWhenUsed/>
    <w:rsid w:val="00122690"/>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22690"/>
    <w:rPr>
      <w:rFonts w:ascii="Exo" w:hAnsi="Exo"/>
      <w:sz w:val="23"/>
      <w:szCs w:val="23"/>
      <w:lang w:val="es-ES"/>
    </w:rPr>
  </w:style>
  <w:style w:type="paragraph" w:styleId="Textodeglobo">
    <w:name w:val="Balloon Text"/>
    <w:basedOn w:val="Normal"/>
    <w:link w:val="TextodegloboCar"/>
    <w:uiPriority w:val="99"/>
    <w:semiHidden/>
    <w:unhideWhenUsed/>
    <w:rsid w:val="004B5AC4"/>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5AC4"/>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9</Pages>
  <Words>2776</Words>
  <Characters>15269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27</cp:revision>
  <cp:lastPrinted>2024-03-16T03:06:00Z</cp:lastPrinted>
  <dcterms:created xsi:type="dcterms:W3CDTF">2024-03-10T22:18:00Z</dcterms:created>
  <dcterms:modified xsi:type="dcterms:W3CDTF">2024-03-16T03:15:00Z</dcterms:modified>
</cp:coreProperties>
</file>