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2A" w:rsidRPr="002F42B2" w:rsidRDefault="002F42B2" w:rsidP="00293C2A">
      <w:pPr>
        <w:rPr>
          <w:rFonts w:ascii="Arial" w:hAnsi="Arial" w:cs="Arial"/>
          <w:b/>
          <w:sz w:val="24"/>
          <w:szCs w:val="24"/>
        </w:rPr>
      </w:pPr>
      <w:r w:rsidRPr="002F42B2">
        <w:rPr>
          <w:rFonts w:ascii="Arial" w:hAnsi="Arial" w:cs="Arial"/>
          <w:b/>
          <w:sz w:val="24"/>
          <w:szCs w:val="24"/>
        </w:rPr>
        <w:t>ACUERDO QUE EMITE EL CONSEJO ESTATAL DEL INSTITUTO ELECTORAL Y DE PARTICIPACIÓN CIUDADANA DE TABASCO, POR EL QUE SE DISTRIBUYE EL FINANCIAMIENTO PÚBLICO Y SE ESTABLECEN LOS LÍMITES AL FINANCIAMIENTO PRIVADO PARA LAS CANDIDATURAS INDEPENDIENTES QUE OBTUVIERON SU REGISTRO CON MOTIVO DEL PROCESO ELECTORAL LOCAL ORDINARIO 2023 – 2024</w:t>
      </w:r>
    </w:p>
    <w:p w:rsidR="00734D39" w:rsidRDefault="00293C2A" w:rsidP="00293C2A">
      <w:r w:rsidRPr="00293C2A">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Consejo Estatal:</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Consejo Estatal del Instituto Electoral y de Participación Ciudadana de Tabasco.</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Consejos Distritales</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Consejos Electorales Distritales del Instituto Electoral y de Participación Ciudadana de Tabasco.</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Constitución Federal:</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Constitución Política de los Estados Unidos Mexicanos.</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Constitución Local:</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Constitución Política del Estado Libre y Soberano de Tabasco.</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INE:</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Instituto Nacional Electoral.</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Instituto:</w:t>
            </w:r>
          </w:p>
        </w:tc>
        <w:tc>
          <w:tcPr>
            <w:tcW w:w="2958" w:type="pct"/>
            <w:shd w:val="clear" w:color="auto" w:fill="auto"/>
          </w:tcPr>
          <w:p w:rsidR="009D2D18" w:rsidRPr="002F42B2" w:rsidRDefault="009D2D18" w:rsidP="00F17D51">
            <w:pPr>
              <w:widowControl w:val="0"/>
              <w:spacing w:before="60" w:after="60"/>
              <w:ind w:left="57"/>
              <w:rPr>
                <w:rFonts w:cs="Arial"/>
                <w:sz w:val="20"/>
                <w:szCs w:val="20"/>
              </w:rPr>
            </w:pPr>
            <w:r w:rsidRPr="002F42B2">
              <w:rPr>
                <w:rFonts w:cs="Arial"/>
                <w:sz w:val="20"/>
                <w:szCs w:val="20"/>
              </w:rPr>
              <w:t>Instituto Electoral y de Participación Ciudadana de Tabasco.</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Ley de Partidos:</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Ley General de Partidos Políticos.</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Ley Electoral:</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Ley Electoral y de Partidos Políticos del Estado de Tabasco.</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Ley General:</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Ley General de Instituciones y Procedimientos Electorales.</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Organismo electoral:</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 xml:space="preserve">Organismo(s) público(s) local(es) electoral(es). </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Proceso Electoral:</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Proceso Electoral Local Ordinario 2023-2024.</w:t>
            </w:r>
          </w:p>
        </w:tc>
      </w:tr>
      <w:tr w:rsidR="009D2D18" w:rsidRPr="00DD6934" w:rsidTr="00F17D51">
        <w:trPr>
          <w:trHeight w:val="624"/>
          <w:jc w:val="center"/>
        </w:trPr>
        <w:tc>
          <w:tcPr>
            <w:tcW w:w="2042" w:type="pct"/>
            <w:shd w:val="clear" w:color="auto" w:fill="auto"/>
            <w:vAlign w:val="center"/>
          </w:tcPr>
          <w:p w:rsidR="009D2D18" w:rsidRPr="002F42B2" w:rsidRDefault="009D2D18" w:rsidP="00F17D51">
            <w:pPr>
              <w:widowControl w:val="0"/>
              <w:spacing w:before="60" w:after="60"/>
              <w:ind w:left="57"/>
              <w:jc w:val="right"/>
              <w:rPr>
                <w:rFonts w:cs="Arial"/>
                <w:b/>
                <w:sz w:val="20"/>
                <w:szCs w:val="20"/>
              </w:rPr>
            </w:pPr>
            <w:r w:rsidRPr="002F42B2">
              <w:rPr>
                <w:rFonts w:cs="Arial"/>
                <w:b/>
                <w:sz w:val="20"/>
                <w:szCs w:val="20"/>
              </w:rPr>
              <w:t>Secretaría Ejecutiva:</w:t>
            </w:r>
          </w:p>
        </w:tc>
        <w:tc>
          <w:tcPr>
            <w:tcW w:w="2958" w:type="pct"/>
            <w:shd w:val="clear" w:color="auto" w:fill="auto"/>
            <w:vAlign w:val="center"/>
          </w:tcPr>
          <w:p w:rsidR="009D2D18" w:rsidRPr="002F42B2" w:rsidRDefault="009D2D18" w:rsidP="00F17D51">
            <w:pPr>
              <w:widowControl w:val="0"/>
              <w:spacing w:before="60" w:after="60"/>
              <w:ind w:left="57"/>
              <w:rPr>
                <w:rFonts w:cs="Arial"/>
                <w:sz w:val="20"/>
                <w:szCs w:val="20"/>
              </w:rPr>
            </w:pPr>
            <w:r w:rsidRPr="002F42B2">
              <w:rPr>
                <w:rFonts w:cs="Arial"/>
                <w:sz w:val="20"/>
                <w:szCs w:val="20"/>
              </w:rPr>
              <w:t>Secretaría Ejecutiva del Instituto Electoral y de Participación Ciudadana de Tabasco.</w:t>
            </w:r>
          </w:p>
        </w:tc>
      </w:tr>
    </w:tbl>
    <w:p w:rsidR="009D2D18" w:rsidRPr="00293C2A" w:rsidRDefault="009D2D18" w:rsidP="00293C2A"/>
    <w:p w:rsidR="00293C2A" w:rsidRPr="002F42B2" w:rsidRDefault="00293C2A" w:rsidP="004934BA">
      <w:pPr>
        <w:pStyle w:val="Ttulo1"/>
        <w:rPr>
          <w:rFonts w:ascii="Arial" w:hAnsi="Arial" w:cs="Arial"/>
          <w:sz w:val="24"/>
          <w:szCs w:val="24"/>
        </w:rPr>
      </w:pPr>
      <w:r w:rsidRPr="002F42B2">
        <w:rPr>
          <w:rFonts w:ascii="Arial" w:hAnsi="Arial" w:cs="Arial"/>
          <w:sz w:val="24"/>
          <w:szCs w:val="24"/>
        </w:rPr>
        <w:lastRenderedPageBreak/>
        <w:t>Antecedentes</w:t>
      </w:r>
    </w:p>
    <w:p w:rsidR="00293C2A" w:rsidRPr="002F42B2" w:rsidRDefault="00293C2A" w:rsidP="00293C2A">
      <w:pPr>
        <w:pStyle w:val="Ttulo2"/>
        <w:rPr>
          <w:rFonts w:ascii="Arial" w:hAnsi="Arial" w:cs="Arial"/>
          <w:sz w:val="23"/>
        </w:rPr>
      </w:pPr>
      <w:r w:rsidRPr="002F42B2">
        <w:rPr>
          <w:rFonts w:ascii="Arial" w:hAnsi="Arial" w:cs="Arial"/>
          <w:sz w:val="23"/>
        </w:rPr>
        <w:t>Modificación de la circunscripción plurinominal</w:t>
      </w:r>
    </w:p>
    <w:p w:rsidR="00293C2A" w:rsidRPr="002F42B2" w:rsidRDefault="00293C2A" w:rsidP="00293C2A">
      <w:pPr>
        <w:rPr>
          <w:rFonts w:ascii="Arial" w:hAnsi="Arial" w:cs="Arial"/>
        </w:rPr>
      </w:pPr>
      <w:r w:rsidRPr="002F42B2">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293C2A" w:rsidRPr="002F42B2" w:rsidRDefault="00293C2A" w:rsidP="00293C2A">
      <w:pPr>
        <w:rPr>
          <w:rFonts w:ascii="Arial" w:hAnsi="Arial" w:cs="Arial"/>
        </w:rPr>
      </w:pPr>
      <w:r w:rsidRPr="002F42B2">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293C2A" w:rsidRPr="002F42B2" w:rsidRDefault="00293C2A" w:rsidP="00293C2A">
      <w:pPr>
        <w:pStyle w:val="Ttulo2"/>
        <w:rPr>
          <w:rFonts w:ascii="Arial" w:hAnsi="Arial" w:cs="Arial"/>
          <w:sz w:val="23"/>
        </w:rPr>
      </w:pPr>
      <w:r w:rsidRPr="002F42B2">
        <w:rPr>
          <w:rFonts w:ascii="Arial" w:hAnsi="Arial" w:cs="Arial"/>
          <w:sz w:val="23"/>
        </w:rPr>
        <w:t>Distritación Electoral</w:t>
      </w:r>
    </w:p>
    <w:p w:rsidR="00293C2A" w:rsidRPr="002F42B2" w:rsidRDefault="00293C2A" w:rsidP="00293C2A">
      <w:pPr>
        <w:rPr>
          <w:rFonts w:ascii="Arial" w:hAnsi="Arial" w:cs="Arial"/>
        </w:rPr>
      </w:pPr>
      <w:r w:rsidRPr="002F42B2">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293C2A" w:rsidRPr="002F42B2" w:rsidRDefault="00293C2A" w:rsidP="00293C2A">
      <w:pPr>
        <w:pStyle w:val="Ttulo2"/>
        <w:rPr>
          <w:rFonts w:ascii="Arial" w:hAnsi="Arial" w:cs="Arial"/>
          <w:sz w:val="23"/>
        </w:rPr>
      </w:pPr>
      <w:r w:rsidRPr="002F42B2">
        <w:rPr>
          <w:rFonts w:ascii="Arial" w:hAnsi="Arial" w:cs="Arial"/>
          <w:sz w:val="23"/>
        </w:rPr>
        <w:t>Homologación de plazos y fechas en los procesos electorales locales concurrentes</w:t>
      </w:r>
    </w:p>
    <w:p w:rsidR="00293C2A" w:rsidRDefault="00293C2A" w:rsidP="00293C2A">
      <w:pPr>
        <w:rPr>
          <w:rFonts w:ascii="Arial" w:hAnsi="Arial" w:cs="Arial"/>
        </w:rPr>
      </w:pPr>
      <w:r w:rsidRPr="002F42B2">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D15AAB" w:rsidRDefault="00D15AAB" w:rsidP="00293C2A">
      <w:pPr>
        <w:rPr>
          <w:rFonts w:ascii="Arial" w:hAnsi="Arial" w:cs="Arial"/>
        </w:rPr>
      </w:pPr>
    </w:p>
    <w:p w:rsidR="00D15AAB" w:rsidRDefault="00D15AAB" w:rsidP="00293C2A">
      <w:pPr>
        <w:rPr>
          <w:rFonts w:ascii="Arial" w:hAnsi="Arial" w:cs="Arial"/>
        </w:rPr>
      </w:pPr>
    </w:p>
    <w:p w:rsidR="00293C2A" w:rsidRPr="002F42B2" w:rsidRDefault="00293C2A" w:rsidP="00293C2A">
      <w:pPr>
        <w:pStyle w:val="Ttulo2"/>
        <w:rPr>
          <w:rFonts w:ascii="Arial" w:hAnsi="Arial" w:cs="Arial"/>
          <w:sz w:val="23"/>
        </w:rPr>
      </w:pPr>
      <w:r w:rsidRPr="002F42B2">
        <w:rPr>
          <w:rFonts w:ascii="Arial" w:hAnsi="Arial" w:cs="Arial"/>
          <w:sz w:val="23"/>
        </w:rPr>
        <w:lastRenderedPageBreak/>
        <w:t xml:space="preserve">Plan integral y calendario de coordinación </w:t>
      </w:r>
    </w:p>
    <w:p w:rsidR="00293C2A" w:rsidRPr="002F42B2" w:rsidRDefault="00293C2A" w:rsidP="00293C2A">
      <w:pPr>
        <w:rPr>
          <w:rFonts w:ascii="Arial" w:hAnsi="Arial" w:cs="Arial"/>
        </w:rPr>
      </w:pPr>
      <w:r w:rsidRPr="002F42B2">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0565ED" w:rsidRPr="002F42B2" w:rsidRDefault="000565ED" w:rsidP="000565ED">
      <w:pPr>
        <w:pStyle w:val="Ttulo2"/>
        <w:rPr>
          <w:rFonts w:ascii="Arial" w:hAnsi="Arial" w:cs="Arial"/>
          <w:sz w:val="23"/>
        </w:rPr>
      </w:pPr>
      <w:r w:rsidRPr="002F42B2">
        <w:rPr>
          <w:rFonts w:ascii="Arial" w:hAnsi="Arial" w:cs="Arial"/>
          <w:sz w:val="23"/>
        </w:rPr>
        <w:t>Determinación del monto de financiamiento público para candidaturas independientes</w:t>
      </w:r>
    </w:p>
    <w:p w:rsidR="000565ED" w:rsidRPr="002F42B2" w:rsidRDefault="000565ED" w:rsidP="000565ED">
      <w:pPr>
        <w:rPr>
          <w:rFonts w:ascii="Arial" w:hAnsi="Arial" w:cs="Arial"/>
        </w:rPr>
      </w:pPr>
      <w:r w:rsidRPr="002F42B2">
        <w:rPr>
          <w:rFonts w:ascii="Arial" w:hAnsi="Arial" w:cs="Arial"/>
        </w:rPr>
        <w:t xml:space="preserve">El 29 de septiembre de 2023, mediante acuerdo CE/2023/020, el Consejo Estatal determinó la cantidad de </w:t>
      </w:r>
      <w:r w:rsidRPr="002F42B2">
        <w:rPr>
          <w:rFonts w:ascii="Arial" w:hAnsi="Arial" w:cs="Arial"/>
          <w:b/>
          <w:bCs/>
        </w:rPr>
        <w:t xml:space="preserve">$1’213,762.72 (un millón doscientos trece mil setecientos sesenta y dos pesos 72/100 m. n.) </w:t>
      </w:r>
      <w:r w:rsidRPr="002F42B2">
        <w:rPr>
          <w:rFonts w:ascii="Arial" w:hAnsi="Arial" w:cs="Arial"/>
        </w:rPr>
        <w:t xml:space="preserve">por concepto de financiamiento público para gastos de campaña en el ejercicio 2024 </w:t>
      </w:r>
      <w:r w:rsidR="00E854D2" w:rsidRPr="002F42B2">
        <w:rPr>
          <w:rFonts w:ascii="Arial" w:hAnsi="Arial" w:cs="Arial"/>
          <w:bCs/>
        </w:rPr>
        <w:t>que corresponde a</w:t>
      </w:r>
      <w:r w:rsidR="00E854D2" w:rsidRPr="002F42B2">
        <w:rPr>
          <w:rFonts w:ascii="Arial" w:hAnsi="Arial" w:cs="Arial"/>
        </w:rPr>
        <w:t xml:space="preserve">l conjunto de candidaturas independientes y </w:t>
      </w:r>
      <w:r w:rsidRPr="002F42B2">
        <w:rPr>
          <w:rFonts w:ascii="Arial" w:hAnsi="Arial" w:cs="Arial"/>
        </w:rPr>
        <w:t>que será distribuida de conformidad con lo señalado en el artículo 320 de la Ley Electoral y de acuerdo con el número de candidatas o candidatos independientes que obtengan su registro.</w:t>
      </w:r>
    </w:p>
    <w:p w:rsidR="00293C2A" w:rsidRPr="002F42B2" w:rsidRDefault="00293C2A" w:rsidP="00293C2A">
      <w:pPr>
        <w:pStyle w:val="Ttulo2"/>
        <w:rPr>
          <w:rFonts w:ascii="Arial" w:hAnsi="Arial" w:cs="Arial"/>
          <w:sz w:val="23"/>
        </w:rPr>
      </w:pPr>
      <w:r w:rsidRPr="002F42B2">
        <w:rPr>
          <w:rFonts w:ascii="Arial" w:hAnsi="Arial" w:cs="Arial"/>
          <w:sz w:val="23"/>
        </w:rPr>
        <w:t>Calendario electoral</w:t>
      </w:r>
    </w:p>
    <w:p w:rsidR="00293C2A" w:rsidRPr="002F42B2" w:rsidRDefault="000565ED" w:rsidP="00293C2A">
      <w:pPr>
        <w:rPr>
          <w:rFonts w:ascii="Arial" w:hAnsi="Arial" w:cs="Arial"/>
        </w:rPr>
      </w:pPr>
      <w:r w:rsidRPr="002F42B2">
        <w:rPr>
          <w:rFonts w:ascii="Arial" w:hAnsi="Arial" w:cs="Arial"/>
        </w:rPr>
        <w:t>Del mismo modo, en la fecha que antecede</w:t>
      </w:r>
      <w:r w:rsidR="00293C2A" w:rsidRPr="002F42B2">
        <w:rPr>
          <w:rFonts w:ascii="Arial" w:hAnsi="Arial" w:cs="Arial"/>
        </w:rPr>
        <w:t>, el Consejo Estatal aprobó el acuerdo CE/2023/021 relativo al calendario electoral para el Proceso Electoral.</w:t>
      </w:r>
    </w:p>
    <w:p w:rsidR="00293C2A" w:rsidRPr="002F42B2" w:rsidRDefault="00293C2A" w:rsidP="00293C2A">
      <w:pPr>
        <w:pStyle w:val="Ttulo2"/>
        <w:rPr>
          <w:rFonts w:ascii="Arial" w:hAnsi="Arial" w:cs="Arial"/>
          <w:sz w:val="23"/>
        </w:rPr>
      </w:pPr>
      <w:r w:rsidRPr="002F42B2">
        <w:rPr>
          <w:rFonts w:ascii="Arial" w:hAnsi="Arial" w:cs="Arial"/>
          <w:sz w:val="23"/>
        </w:rPr>
        <w:t>Lineamientos para candidaturas independientes, candidaturas comunes y elección consecutiva</w:t>
      </w:r>
    </w:p>
    <w:p w:rsidR="00293C2A" w:rsidRPr="002F42B2" w:rsidRDefault="000565ED" w:rsidP="00293C2A">
      <w:pPr>
        <w:rPr>
          <w:rFonts w:ascii="Arial" w:hAnsi="Arial" w:cs="Arial"/>
        </w:rPr>
      </w:pPr>
      <w:r w:rsidRPr="002F42B2">
        <w:rPr>
          <w:rFonts w:ascii="Arial" w:hAnsi="Arial" w:cs="Arial"/>
        </w:rPr>
        <w:t xml:space="preserve">El 29 de septiembre de 2023, </w:t>
      </w:r>
      <w:r w:rsidR="00293C2A" w:rsidRPr="002F42B2">
        <w:rPr>
          <w:rFonts w:ascii="Arial" w:hAnsi="Arial" w:cs="Arial"/>
        </w:rPr>
        <w:t xml:space="preserve">mediante acuerdo CE/2023/022, </w:t>
      </w:r>
      <w:r w:rsidRPr="002F42B2">
        <w:rPr>
          <w:rFonts w:ascii="Arial" w:hAnsi="Arial" w:cs="Arial"/>
        </w:rPr>
        <w:t xml:space="preserve">el Consejo Estatal </w:t>
      </w:r>
      <w:r w:rsidR="00293C2A" w:rsidRPr="002F42B2">
        <w:rPr>
          <w:rFonts w:ascii="Arial" w:hAnsi="Arial" w:cs="Arial"/>
        </w:rPr>
        <w:t>aprobó los Lineamientos para la postulación y registro de candidaturas independientes con motivo del Proceso Electoral, que establecen las reglas, criterios y procedimientos a los que deberán ajustarse las personas que pretendan postularse bajo las modalidades de candidaturas independientes.</w:t>
      </w:r>
    </w:p>
    <w:p w:rsidR="00293C2A" w:rsidRPr="002F42B2" w:rsidRDefault="00293C2A" w:rsidP="00293C2A">
      <w:pPr>
        <w:pStyle w:val="Ttulo2"/>
        <w:rPr>
          <w:rFonts w:ascii="Arial" w:hAnsi="Arial" w:cs="Arial"/>
          <w:sz w:val="23"/>
        </w:rPr>
      </w:pPr>
      <w:r w:rsidRPr="002F42B2">
        <w:rPr>
          <w:rFonts w:ascii="Arial" w:hAnsi="Arial" w:cs="Arial"/>
          <w:sz w:val="23"/>
        </w:rPr>
        <w:t>Inicio del Proceso Electoral</w:t>
      </w:r>
    </w:p>
    <w:p w:rsidR="00293C2A" w:rsidRPr="002F42B2" w:rsidRDefault="00293C2A" w:rsidP="00293C2A">
      <w:pPr>
        <w:rPr>
          <w:rFonts w:ascii="Arial" w:hAnsi="Arial" w:cs="Arial"/>
        </w:rPr>
      </w:pPr>
      <w:r w:rsidRPr="002F42B2">
        <w:rPr>
          <w:rFonts w:ascii="Arial" w:hAnsi="Arial" w:cs="Arial"/>
        </w:rPr>
        <w:t xml:space="preserve">El 6 de octubre de 2023, el Consejo Estatal de conformidad con el artículo 111 de la Ley Electoral declaró el inicio del Proceso Electoral por el que se renovarán los cargos </w:t>
      </w:r>
      <w:r w:rsidRPr="002F42B2">
        <w:rPr>
          <w:rFonts w:ascii="Arial" w:hAnsi="Arial" w:cs="Arial"/>
        </w:rPr>
        <w:lastRenderedPageBreak/>
        <w:t>relativos a la Gubernatura del Estado, diputaciones locales y presidencias municipales y regidurías.</w:t>
      </w:r>
    </w:p>
    <w:p w:rsidR="00293C2A" w:rsidRPr="002F42B2" w:rsidRDefault="00293C2A" w:rsidP="00293C2A">
      <w:pPr>
        <w:pStyle w:val="Ttulo2"/>
        <w:rPr>
          <w:rFonts w:ascii="Arial" w:hAnsi="Arial" w:cs="Arial"/>
          <w:sz w:val="23"/>
        </w:rPr>
      </w:pPr>
      <w:r w:rsidRPr="002F42B2">
        <w:rPr>
          <w:rFonts w:ascii="Arial" w:hAnsi="Arial" w:cs="Arial"/>
          <w:sz w:val="23"/>
        </w:rPr>
        <w:t>Convocatoria para la renovación del Poder Ejecutivo, Legislativo y los Ayuntamientos</w:t>
      </w:r>
    </w:p>
    <w:p w:rsidR="00293C2A" w:rsidRPr="002F42B2" w:rsidRDefault="00293C2A" w:rsidP="00293C2A">
      <w:pPr>
        <w:rPr>
          <w:rFonts w:ascii="Arial" w:hAnsi="Arial" w:cs="Arial"/>
        </w:rPr>
      </w:pPr>
      <w:r w:rsidRPr="002F42B2">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rsidR="00951709" w:rsidRPr="002F42B2" w:rsidRDefault="00951709" w:rsidP="006A461B">
      <w:pPr>
        <w:pStyle w:val="Ttulo2"/>
        <w:rPr>
          <w:rFonts w:ascii="Arial" w:hAnsi="Arial" w:cs="Arial"/>
          <w:sz w:val="23"/>
        </w:rPr>
      </w:pPr>
      <w:r w:rsidRPr="002F42B2">
        <w:rPr>
          <w:rFonts w:ascii="Arial" w:hAnsi="Arial" w:cs="Arial"/>
          <w:sz w:val="23"/>
        </w:rPr>
        <w:t>Tope de gastos de campaña</w:t>
      </w:r>
    </w:p>
    <w:p w:rsidR="00951709" w:rsidRPr="002F42B2" w:rsidRDefault="00951709" w:rsidP="00293C2A">
      <w:pPr>
        <w:rPr>
          <w:rFonts w:ascii="Arial" w:hAnsi="Arial" w:cs="Arial"/>
        </w:rPr>
      </w:pPr>
      <w:r w:rsidRPr="002F42B2">
        <w:rPr>
          <w:rFonts w:ascii="Arial" w:hAnsi="Arial" w:cs="Arial"/>
        </w:rPr>
        <w:t>El 30 de noviembre de 2023, mediante acuerdo CE/2023/048, el Consejo Estatal determinó los topes de gastos de campaña para las elecciones a la Gubernatura, de Diputaciones, Presidencias Municipales y Regidurías por el principio de mayoría relativa para el Proceso Electoral.</w:t>
      </w:r>
      <w:r w:rsidR="001F6E6F" w:rsidRPr="002F42B2">
        <w:rPr>
          <w:rFonts w:ascii="Arial" w:hAnsi="Arial" w:cs="Arial"/>
        </w:rPr>
        <w:t xml:space="preserve"> Para las elecciones a Diputaciones y Regidurías se estableció un tope equivalente a </w:t>
      </w:r>
      <w:r w:rsidR="001F6E6F" w:rsidRPr="002F42B2">
        <w:rPr>
          <w:rFonts w:ascii="Arial" w:hAnsi="Arial" w:cs="Arial"/>
          <w:b/>
        </w:rPr>
        <w:t>$12’137,627.20 (doce millones ciento treinta y siete mil seiscientos veintisiete pesos 20/100 m. n.).</w:t>
      </w:r>
    </w:p>
    <w:p w:rsidR="000565ED" w:rsidRPr="002F42B2" w:rsidRDefault="000565ED" w:rsidP="000565ED">
      <w:pPr>
        <w:pStyle w:val="Ttulo2"/>
        <w:rPr>
          <w:rFonts w:ascii="Arial" w:hAnsi="Arial" w:cs="Arial"/>
          <w:sz w:val="23"/>
        </w:rPr>
      </w:pPr>
      <w:r w:rsidRPr="002F42B2">
        <w:rPr>
          <w:rFonts w:ascii="Arial" w:hAnsi="Arial" w:cs="Arial"/>
          <w:sz w:val="23"/>
        </w:rPr>
        <w:t>Aprobación del Presupuesto Anual correspondiente al ejercicio 2024</w:t>
      </w:r>
    </w:p>
    <w:p w:rsidR="000565ED" w:rsidRPr="002F42B2" w:rsidRDefault="000565ED" w:rsidP="000565ED">
      <w:pPr>
        <w:rPr>
          <w:rFonts w:ascii="Arial" w:hAnsi="Arial" w:cs="Arial"/>
        </w:rPr>
      </w:pPr>
      <w:r w:rsidRPr="002F42B2">
        <w:rPr>
          <w:rFonts w:ascii="Arial" w:hAnsi="Arial" w:cs="Arial"/>
        </w:rPr>
        <w:t>El 20 de diciembre de 2023, se publicó en el suplemento “K” al Periódico Oficial del Estado número 8482, el decreto 182 relativo al Presupuesto Anual de Egresos aprobado por el H. Congreso del Estado de Tabasco correspondiente al ejercicio 2024, el cual contiene entre otros aspectos, la política de gasto de los órganos autónomos.</w:t>
      </w:r>
    </w:p>
    <w:p w:rsidR="000565ED" w:rsidRPr="002F42B2" w:rsidRDefault="000565ED" w:rsidP="000565ED">
      <w:pPr>
        <w:rPr>
          <w:rFonts w:ascii="Arial" w:hAnsi="Arial" w:cs="Arial"/>
        </w:rPr>
      </w:pPr>
      <w:r w:rsidRPr="002F42B2">
        <w:rPr>
          <w:rFonts w:ascii="Arial" w:hAnsi="Arial" w:cs="Arial"/>
        </w:rPr>
        <w:t>De conformidad con el Presupuesto antes mencionado, el H. Congreso del Estado para el ejercicio 2024 asignó al Instituto recursos por la cantidad de $433’400,000.00 (cuatrocientos treinta y tres millones cuatrocientos mil pesos 00/100 m. n.), cantidad que incluye el gasto previsto para el financiamiento público de los partidos políticos con derecho a éste.</w:t>
      </w:r>
    </w:p>
    <w:p w:rsidR="00293C2A" w:rsidRPr="002F42B2" w:rsidRDefault="00293C2A" w:rsidP="00293C2A">
      <w:pPr>
        <w:pStyle w:val="Ttulo2"/>
        <w:rPr>
          <w:rFonts w:ascii="Arial" w:hAnsi="Arial" w:cs="Arial"/>
          <w:sz w:val="23"/>
        </w:rPr>
      </w:pPr>
      <w:r w:rsidRPr="002F42B2">
        <w:rPr>
          <w:rFonts w:ascii="Arial" w:hAnsi="Arial" w:cs="Arial"/>
          <w:sz w:val="23"/>
        </w:rPr>
        <w:t>Per</w:t>
      </w:r>
      <w:r w:rsidR="00F7035A" w:rsidRPr="002F42B2">
        <w:rPr>
          <w:rFonts w:ascii="Arial" w:hAnsi="Arial" w:cs="Arial"/>
          <w:sz w:val="23"/>
        </w:rPr>
        <w:t>i</w:t>
      </w:r>
      <w:r w:rsidRPr="002F42B2">
        <w:rPr>
          <w:rFonts w:ascii="Arial" w:hAnsi="Arial" w:cs="Arial"/>
          <w:sz w:val="23"/>
        </w:rPr>
        <w:t>odo de campaña</w:t>
      </w:r>
    </w:p>
    <w:p w:rsidR="00293C2A" w:rsidRPr="002F42B2" w:rsidRDefault="00293C2A" w:rsidP="00293C2A">
      <w:pPr>
        <w:rPr>
          <w:rFonts w:ascii="Arial" w:hAnsi="Arial" w:cs="Arial"/>
        </w:rPr>
      </w:pPr>
      <w:r w:rsidRPr="002F42B2">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w:t>
      </w:r>
      <w:r w:rsidRPr="002F42B2">
        <w:rPr>
          <w:rFonts w:ascii="Arial" w:hAnsi="Arial" w:cs="Arial"/>
        </w:rPr>
        <w:lastRenderedPageBreak/>
        <w:t>la sesión de registro de candidaturas para la elección respectiva, debiendo concluir tres días antes de la jornada electoral. En ese tenor, para el Proceso Electoral, el per</w:t>
      </w:r>
      <w:r w:rsidR="00F7035A" w:rsidRPr="002F42B2">
        <w:rPr>
          <w:rFonts w:ascii="Arial" w:hAnsi="Arial" w:cs="Arial"/>
        </w:rPr>
        <w:t>i</w:t>
      </w:r>
      <w:r w:rsidRPr="002F42B2">
        <w:rPr>
          <w:rFonts w:ascii="Arial" w:hAnsi="Arial" w:cs="Arial"/>
        </w:rPr>
        <w:t>odo de campaña inicia el 16 de marzo y concluye el 29 de mayo de 2024.</w:t>
      </w:r>
    </w:p>
    <w:p w:rsidR="00293C2A" w:rsidRPr="002F42B2" w:rsidRDefault="00293C2A" w:rsidP="00293C2A">
      <w:pPr>
        <w:pStyle w:val="Ttulo2"/>
        <w:rPr>
          <w:rFonts w:ascii="Arial" w:hAnsi="Arial" w:cs="Arial"/>
          <w:sz w:val="23"/>
        </w:rPr>
      </w:pPr>
      <w:r w:rsidRPr="002F42B2">
        <w:rPr>
          <w:rFonts w:ascii="Arial" w:hAnsi="Arial" w:cs="Arial"/>
          <w:sz w:val="23"/>
        </w:rPr>
        <w:t>Jornada electoral</w:t>
      </w:r>
    </w:p>
    <w:p w:rsidR="00293C2A" w:rsidRPr="002F42B2" w:rsidRDefault="00293C2A" w:rsidP="00293C2A">
      <w:pPr>
        <w:rPr>
          <w:rFonts w:ascii="Arial" w:hAnsi="Arial" w:cs="Arial"/>
        </w:rPr>
      </w:pPr>
      <w:r w:rsidRPr="002F42B2">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293C2A" w:rsidRPr="002F42B2" w:rsidRDefault="00293C2A" w:rsidP="00293C2A">
      <w:pPr>
        <w:pStyle w:val="Ttulo1"/>
        <w:rPr>
          <w:rFonts w:ascii="Arial" w:hAnsi="Arial" w:cs="Arial"/>
          <w:sz w:val="24"/>
          <w:szCs w:val="24"/>
        </w:rPr>
      </w:pPr>
      <w:r w:rsidRPr="002F42B2">
        <w:rPr>
          <w:rFonts w:ascii="Arial" w:hAnsi="Arial" w:cs="Arial"/>
          <w:sz w:val="24"/>
          <w:szCs w:val="24"/>
        </w:rPr>
        <w:t>Considerando</w:t>
      </w:r>
    </w:p>
    <w:p w:rsidR="00293C2A" w:rsidRPr="002F42B2" w:rsidRDefault="00293C2A" w:rsidP="00293C2A">
      <w:pPr>
        <w:pStyle w:val="Ttulo2"/>
        <w:rPr>
          <w:rFonts w:ascii="Arial" w:hAnsi="Arial" w:cs="Arial"/>
          <w:sz w:val="23"/>
        </w:rPr>
      </w:pPr>
      <w:r w:rsidRPr="002F42B2">
        <w:rPr>
          <w:rFonts w:ascii="Arial" w:hAnsi="Arial" w:cs="Arial"/>
          <w:sz w:val="23"/>
        </w:rPr>
        <w:t xml:space="preserve">Fines del Instituto </w:t>
      </w:r>
    </w:p>
    <w:p w:rsidR="00293C2A" w:rsidRPr="002F42B2" w:rsidRDefault="00293C2A" w:rsidP="00293C2A">
      <w:pPr>
        <w:rPr>
          <w:rFonts w:ascii="Arial" w:hAnsi="Arial" w:cs="Arial"/>
        </w:rPr>
      </w:pPr>
      <w:r w:rsidRPr="002F42B2">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293C2A" w:rsidRPr="002F42B2" w:rsidRDefault="00293C2A" w:rsidP="00293C2A">
      <w:pPr>
        <w:rPr>
          <w:rFonts w:ascii="Arial" w:hAnsi="Arial" w:cs="Arial"/>
        </w:rPr>
      </w:pPr>
      <w:r w:rsidRPr="002F42B2">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293C2A" w:rsidRPr="002F42B2" w:rsidRDefault="00293C2A" w:rsidP="00293C2A">
      <w:pPr>
        <w:pStyle w:val="Ttulo2"/>
        <w:rPr>
          <w:rFonts w:ascii="Arial" w:hAnsi="Arial" w:cs="Arial"/>
          <w:sz w:val="23"/>
        </w:rPr>
      </w:pPr>
      <w:r w:rsidRPr="002F42B2">
        <w:rPr>
          <w:rFonts w:ascii="Arial" w:hAnsi="Arial" w:cs="Arial"/>
          <w:sz w:val="23"/>
        </w:rPr>
        <w:lastRenderedPageBreak/>
        <w:t xml:space="preserve">Órgano Superior de Dirección del Instituto </w:t>
      </w:r>
    </w:p>
    <w:p w:rsidR="00293C2A" w:rsidRPr="002F42B2" w:rsidRDefault="00293C2A" w:rsidP="00293C2A">
      <w:pPr>
        <w:rPr>
          <w:rFonts w:ascii="Arial" w:hAnsi="Arial" w:cs="Arial"/>
        </w:rPr>
      </w:pPr>
      <w:r w:rsidRPr="002F42B2">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293C2A" w:rsidRPr="002F42B2" w:rsidRDefault="00293C2A" w:rsidP="00293C2A">
      <w:pPr>
        <w:pStyle w:val="Ttulo2"/>
        <w:rPr>
          <w:rFonts w:ascii="Arial" w:hAnsi="Arial" w:cs="Arial"/>
          <w:sz w:val="23"/>
        </w:rPr>
      </w:pPr>
      <w:r w:rsidRPr="002F42B2">
        <w:rPr>
          <w:rFonts w:ascii="Arial" w:hAnsi="Arial" w:cs="Arial"/>
          <w:sz w:val="23"/>
        </w:rPr>
        <w:t>Integración del Órgano de Dirección Superior</w:t>
      </w:r>
    </w:p>
    <w:p w:rsidR="00293C2A" w:rsidRPr="002F42B2" w:rsidRDefault="00293C2A" w:rsidP="00293C2A">
      <w:pPr>
        <w:rPr>
          <w:rFonts w:ascii="Arial" w:hAnsi="Arial" w:cs="Arial"/>
        </w:rPr>
      </w:pPr>
      <w:r w:rsidRPr="002F42B2">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293C2A" w:rsidRPr="002F42B2" w:rsidRDefault="00293C2A" w:rsidP="00293C2A">
      <w:pPr>
        <w:pStyle w:val="Ttulo2"/>
        <w:rPr>
          <w:rFonts w:ascii="Arial" w:hAnsi="Arial" w:cs="Arial"/>
          <w:sz w:val="23"/>
        </w:rPr>
      </w:pPr>
      <w:r w:rsidRPr="002F42B2">
        <w:rPr>
          <w:rFonts w:ascii="Arial" w:hAnsi="Arial" w:cs="Arial"/>
          <w:sz w:val="23"/>
        </w:rPr>
        <w:t>Competencia del Consejo Estatal</w:t>
      </w:r>
    </w:p>
    <w:p w:rsidR="00293C2A" w:rsidRPr="002F42B2" w:rsidRDefault="00293C2A" w:rsidP="00293C2A">
      <w:pPr>
        <w:rPr>
          <w:rFonts w:ascii="Arial" w:hAnsi="Arial" w:cs="Arial"/>
        </w:rPr>
      </w:pPr>
      <w:r w:rsidRPr="002F42B2">
        <w:rPr>
          <w:rFonts w:ascii="Arial" w:hAnsi="Arial" w:cs="Arial"/>
        </w:rPr>
        <w:t>Que, de conformidad con el artículo 115 numeral 1, fracción XX de la Ley Electoral, corresponde al Consejo Estatal, registrar las candidaturas a Gobernadora o Gobernador del Estado.</w:t>
      </w:r>
    </w:p>
    <w:p w:rsidR="00293C2A" w:rsidRPr="002F42B2" w:rsidRDefault="00293C2A" w:rsidP="00293C2A">
      <w:pPr>
        <w:rPr>
          <w:rFonts w:ascii="Arial" w:hAnsi="Arial" w:cs="Arial"/>
        </w:rPr>
      </w:pPr>
      <w:r w:rsidRPr="002F42B2">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293C2A" w:rsidRPr="002F42B2" w:rsidRDefault="00293C2A" w:rsidP="00293C2A">
      <w:pPr>
        <w:pStyle w:val="Ttulo2"/>
        <w:rPr>
          <w:rFonts w:ascii="Arial" w:hAnsi="Arial" w:cs="Arial"/>
          <w:sz w:val="23"/>
        </w:rPr>
      </w:pPr>
      <w:r w:rsidRPr="002F42B2">
        <w:rPr>
          <w:rFonts w:ascii="Arial" w:hAnsi="Arial" w:cs="Arial"/>
          <w:sz w:val="23"/>
        </w:rPr>
        <w:t>Derecho de la ciudadanía a votar y ser votada</w:t>
      </w:r>
    </w:p>
    <w:p w:rsidR="00293C2A" w:rsidRPr="002F42B2" w:rsidRDefault="00293C2A" w:rsidP="00293C2A">
      <w:pPr>
        <w:rPr>
          <w:rFonts w:ascii="Arial" w:hAnsi="Arial" w:cs="Arial"/>
        </w:rPr>
      </w:pPr>
      <w:r w:rsidRPr="002F42B2">
        <w:rPr>
          <w:rFonts w:ascii="Arial" w:hAnsi="Arial" w:cs="Arial"/>
        </w:rPr>
        <w:t xml:space="preserve">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w:t>
      </w:r>
      <w:r w:rsidRPr="002F42B2">
        <w:rPr>
          <w:rFonts w:ascii="Arial" w:hAnsi="Arial" w:cs="Arial"/>
        </w:rPr>
        <w:lastRenderedPageBreak/>
        <w:t>que establece la ley de la materia y solicitar su registro de manera independiente, cuando cumplan los requisitos, condiciones y términos que determine la propia Ley.</w:t>
      </w:r>
    </w:p>
    <w:p w:rsidR="00293C2A" w:rsidRPr="002F42B2" w:rsidRDefault="00293C2A" w:rsidP="00293C2A">
      <w:pPr>
        <w:pStyle w:val="Ttulo2"/>
        <w:rPr>
          <w:rFonts w:ascii="Arial" w:hAnsi="Arial" w:cs="Arial"/>
          <w:sz w:val="23"/>
        </w:rPr>
      </w:pPr>
      <w:r w:rsidRPr="002F42B2">
        <w:rPr>
          <w:rFonts w:ascii="Arial" w:hAnsi="Arial" w:cs="Arial"/>
          <w:sz w:val="23"/>
        </w:rPr>
        <w:t>Regulación de las candidaturas independientes</w:t>
      </w:r>
    </w:p>
    <w:p w:rsidR="00293C2A" w:rsidRPr="002F42B2" w:rsidRDefault="00293C2A" w:rsidP="00293C2A">
      <w:pPr>
        <w:rPr>
          <w:rFonts w:ascii="Arial" w:hAnsi="Arial" w:cs="Arial"/>
        </w:rPr>
      </w:pPr>
      <w:r w:rsidRPr="002F42B2">
        <w:rPr>
          <w:rFonts w:ascii="Arial" w:hAnsi="Arial" w:cs="Arial"/>
        </w:rPr>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mencionada Ley.</w:t>
      </w:r>
    </w:p>
    <w:p w:rsidR="00D85A55" w:rsidRPr="002F42B2" w:rsidRDefault="00D85A55" w:rsidP="00D85A55">
      <w:pPr>
        <w:pStyle w:val="Ttulo2"/>
        <w:rPr>
          <w:rFonts w:ascii="Arial" w:hAnsi="Arial" w:cs="Arial"/>
          <w:sz w:val="23"/>
        </w:rPr>
      </w:pPr>
      <w:r w:rsidRPr="002F42B2">
        <w:rPr>
          <w:rFonts w:ascii="Arial" w:hAnsi="Arial" w:cs="Arial"/>
          <w:sz w:val="23"/>
        </w:rPr>
        <w:t>Derecho a registrar candidaturas</w:t>
      </w:r>
    </w:p>
    <w:p w:rsidR="00D85A55" w:rsidRPr="002F42B2" w:rsidRDefault="00D85A55" w:rsidP="00D85A55">
      <w:pPr>
        <w:rPr>
          <w:rFonts w:ascii="Arial" w:hAnsi="Arial" w:cs="Arial"/>
        </w:rPr>
      </w:pPr>
      <w:r w:rsidRPr="002F42B2">
        <w:rPr>
          <w:rFonts w:ascii="Arial" w:hAnsi="Arial" w:cs="Arial"/>
        </w:rPr>
        <w:t>Que, de conformidad con el artículo 281 numerales 1 y 2 de la Ley Electoral sólo se registrará una candidatura independiente para cada cargo de elección popular por el principio de mayoría relativa. El registro será individual, por fórmula o planilla, según corresponda. Asimismo, en caso de existir más de una persona aspirante, fórmula o planilla a un mismo cargo de elección popular, será registrada la que obtenga el mayor número de respaldos de la ciudadanía, en cantidad superior al porcentaje señalado para cada cargo.</w:t>
      </w:r>
    </w:p>
    <w:p w:rsidR="00D85A55" w:rsidRPr="002F42B2" w:rsidRDefault="00D85A55" w:rsidP="00D85A55">
      <w:pPr>
        <w:rPr>
          <w:rFonts w:ascii="Arial" w:hAnsi="Arial" w:cs="Arial"/>
        </w:rPr>
      </w:pPr>
      <w:r w:rsidRPr="002F42B2">
        <w:rPr>
          <w:rFonts w:ascii="Arial" w:hAnsi="Arial" w:cs="Arial"/>
        </w:rPr>
        <w:t xml:space="preserve">Asimismo, como lo establece el numeral 3 del artículo 281 de la Ley Electoral, las candidaturas independientes tendrán los mismos derechos y obligaciones que las postuladas por partidos políticos, con las particularidades y salvedades que la Ley Electoral establece. </w:t>
      </w:r>
    </w:p>
    <w:p w:rsidR="00D85A55" w:rsidRPr="002F42B2" w:rsidRDefault="00D85A55" w:rsidP="00D85A55">
      <w:pPr>
        <w:pStyle w:val="Ttulo2"/>
        <w:rPr>
          <w:rFonts w:ascii="Arial" w:hAnsi="Arial" w:cs="Arial"/>
          <w:sz w:val="23"/>
        </w:rPr>
      </w:pPr>
      <w:r w:rsidRPr="002F42B2">
        <w:rPr>
          <w:rFonts w:ascii="Arial" w:hAnsi="Arial" w:cs="Arial"/>
          <w:sz w:val="23"/>
        </w:rPr>
        <w:t>Aspirantes que obtuvieron el respaldo ciudadano</w:t>
      </w:r>
    </w:p>
    <w:p w:rsidR="00D85A55" w:rsidRDefault="00D85A55" w:rsidP="00D85A55">
      <w:pPr>
        <w:rPr>
          <w:rFonts w:ascii="Arial" w:hAnsi="Arial" w:cs="Arial"/>
        </w:rPr>
      </w:pPr>
      <w:r w:rsidRPr="002F42B2">
        <w:rPr>
          <w:rFonts w:ascii="Arial" w:hAnsi="Arial" w:cs="Arial"/>
        </w:rPr>
        <w:t xml:space="preserve">En ese tenor, este Consejo Estatal, mediante acuerdo CE/2024/016 determinó a las personas aspirantes que obtuvieron el número de apoyos </w:t>
      </w:r>
      <w:r w:rsidR="007A071F" w:rsidRPr="002F42B2">
        <w:rPr>
          <w:rFonts w:ascii="Arial" w:hAnsi="Arial" w:cs="Arial"/>
        </w:rPr>
        <w:t xml:space="preserve">ciudadanos </w:t>
      </w:r>
      <w:r w:rsidRPr="002F42B2">
        <w:rPr>
          <w:rFonts w:ascii="Arial" w:hAnsi="Arial" w:cs="Arial"/>
        </w:rPr>
        <w:t>mínimos requeridos</w:t>
      </w:r>
      <w:r w:rsidR="00325DD0" w:rsidRPr="002F42B2">
        <w:rPr>
          <w:rFonts w:ascii="Arial" w:hAnsi="Arial" w:cs="Arial"/>
        </w:rPr>
        <w:t xml:space="preserve"> para postularse en una candidatura independiente</w:t>
      </w:r>
      <w:r w:rsidRPr="002F42B2">
        <w:rPr>
          <w:rFonts w:ascii="Arial" w:hAnsi="Arial" w:cs="Arial"/>
        </w:rPr>
        <w:t>, establecidos en los artículos 16 y 17 de los Lineamientos, de conformidad con lo siguiente:</w:t>
      </w:r>
    </w:p>
    <w:p w:rsidR="002F42B2" w:rsidRDefault="002F42B2" w:rsidP="00D85A55">
      <w:pPr>
        <w:rPr>
          <w:rFonts w:ascii="Arial" w:hAnsi="Arial" w:cs="Arial"/>
        </w:rPr>
      </w:pPr>
    </w:p>
    <w:p w:rsidR="002F42B2" w:rsidRPr="002F42B2" w:rsidRDefault="002F42B2" w:rsidP="00D85A55">
      <w:pPr>
        <w:rPr>
          <w:rFonts w:ascii="Arial" w:hAnsi="Arial" w:cs="Arial"/>
        </w:rPr>
      </w:pPr>
    </w:p>
    <w:tbl>
      <w:tblPr>
        <w:tblStyle w:val="Tablaconcuadrcula"/>
        <w:tblW w:w="0" w:type="auto"/>
        <w:tblLook w:val="04A0" w:firstRow="1" w:lastRow="0" w:firstColumn="1" w:lastColumn="0" w:noHBand="0" w:noVBand="1"/>
      </w:tblPr>
      <w:tblGrid>
        <w:gridCol w:w="561"/>
        <w:gridCol w:w="2963"/>
        <w:gridCol w:w="3105"/>
        <w:gridCol w:w="1020"/>
        <w:gridCol w:w="1184"/>
      </w:tblGrid>
      <w:tr w:rsidR="00D85A55" w:rsidRPr="000C592C" w:rsidTr="002F42B2">
        <w:tc>
          <w:tcPr>
            <w:tcW w:w="561" w:type="dxa"/>
            <w:shd w:val="clear" w:color="auto" w:fill="auto"/>
          </w:tcPr>
          <w:p w:rsidR="00D85A55" w:rsidRPr="000C592C" w:rsidRDefault="00D85A55" w:rsidP="004A117A">
            <w:pPr>
              <w:spacing w:before="40" w:after="40"/>
              <w:jc w:val="center"/>
              <w:rPr>
                <w:b/>
                <w:color w:val="FFFFFF" w:themeColor="background1"/>
                <w:sz w:val="16"/>
              </w:rPr>
            </w:pPr>
          </w:p>
        </w:tc>
        <w:tc>
          <w:tcPr>
            <w:tcW w:w="2963" w:type="dxa"/>
            <w:shd w:val="clear" w:color="auto" w:fill="993366"/>
            <w:vAlign w:val="center"/>
          </w:tcPr>
          <w:p w:rsidR="00D85A55" w:rsidRPr="002F42B2" w:rsidRDefault="00D85A55" w:rsidP="004A117A">
            <w:pPr>
              <w:spacing w:before="40" w:after="40"/>
              <w:jc w:val="center"/>
              <w:rPr>
                <w:rFonts w:ascii="Arial" w:hAnsi="Arial" w:cs="Arial"/>
                <w:b/>
                <w:color w:val="FFFFFF" w:themeColor="background1"/>
                <w:sz w:val="14"/>
              </w:rPr>
            </w:pPr>
            <w:r w:rsidRPr="002F42B2">
              <w:rPr>
                <w:rFonts w:ascii="Arial" w:hAnsi="Arial" w:cs="Arial"/>
                <w:b/>
                <w:color w:val="FFFFFF" w:themeColor="background1"/>
                <w:sz w:val="14"/>
              </w:rPr>
              <w:t>Nombre</w:t>
            </w:r>
          </w:p>
        </w:tc>
        <w:tc>
          <w:tcPr>
            <w:tcW w:w="3105" w:type="dxa"/>
            <w:shd w:val="clear" w:color="auto" w:fill="993366"/>
            <w:vAlign w:val="center"/>
          </w:tcPr>
          <w:p w:rsidR="00D85A55" w:rsidRPr="002F42B2" w:rsidRDefault="00D85A55" w:rsidP="004A117A">
            <w:pPr>
              <w:spacing w:before="40" w:after="40"/>
              <w:jc w:val="center"/>
              <w:rPr>
                <w:rFonts w:ascii="Arial" w:hAnsi="Arial" w:cs="Arial"/>
                <w:b/>
                <w:color w:val="FFFFFF" w:themeColor="background1"/>
                <w:sz w:val="14"/>
              </w:rPr>
            </w:pPr>
            <w:r w:rsidRPr="002F42B2">
              <w:rPr>
                <w:rFonts w:ascii="Arial" w:hAnsi="Arial" w:cs="Arial"/>
                <w:b/>
                <w:color w:val="FFFFFF" w:themeColor="background1"/>
                <w:sz w:val="14"/>
              </w:rPr>
              <w:t>Candidatura independiente a la que aspira</w:t>
            </w:r>
          </w:p>
        </w:tc>
        <w:tc>
          <w:tcPr>
            <w:tcW w:w="1020" w:type="dxa"/>
            <w:shd w:val="clear" w:color="auto" w:fill="993366"/>
            <w:vAlign w:val="center"/>
          </w:tcPr>
          <w:p w:rsidR="00D85A55" w:rsidRPr="002F42B2" w:rsidRDefault="00D85A55" w:rsidP="004A117A">
            <w:pPr>
              <w:spacing w:before="40" w:after="40"/>
              <w:jc w:val="center"/>
              <w:rPr>
                <w:rFonts w:ascii="Arial" w:hAnsi="Arial" w:cs="Arial"/>
                <w:b/>
                <w:color w:val="FFFFFF" w:themeColor="background1"/>
                <w:sz w:val="14"/>
              </w:rPr>
            </w:pPr>
            <w:r w:rsidRPr="002F42B2">
              <w:rPr>
                <w:rFonts w:ascii="Arial" w:hAnsi="Arial" w:cs="Arial"/>
                <w:b/>
                <w:color w:val="FFFFFF" w:themeColor="background1"/>
                <w:sz w:val="14"/>
              </w:rPr>
              <w:t>Apoyo de la ciudadanía obtenido (Padrón Electoral)</w:t>
            </w:r>
          </w:p>
        </w:tc>
        <w:tc>
          <w:tcPr>
            <w:tcW w:w="1184" w:type="dxa"/>
            <w:shd w:val="clear" w:color="auto" w:fill="993366"/>
            <w:vAlign w:val="center"/>
          </w:tcPr>
          <w:p w:rsidR="00D85A55" w:rsidRPr="002F42B2" w:rsidRDefault="00D85A55" w:rsidP="004A117A">
            <w:pPr>
              <w:spacing w:before="40" w:after="40"/>
              <w:jc w:val="center"/>
              <w:rPr>
                <w:rFonts w:ascii="Arial" w:hAnsi="Arial" w:cs="Arial"/>
                <w:b/>
                <w:color w:val="FFFFFF" w:themeColor="background1"/>
                <w:sz w:val="14"/>
              </w:rPr>
            </w:pPr>
            <w:r w:rsidRPr="002F42B2">
              <w:rPr>
                <w:rFonts w:ascii="Arial" w:hAnsi="Arial" w:cs="Arial"/>
                <w:b/>
                <w:color w:val="FFFFFF" w:themeColor="background1"/>
                <w:sz w:val="14"/>
              </w:rPr>
              <w:t>Apoyo de la ciudadanía requerido (Padrón Electoral)</w:t>
            </w:r>
          </w:p>
        </w:tc>
      </w:tr>
      <w:tr w:rsidR="00D85A55" w:rsidRPr="000C592C" w:rsidTr="002F42B2">
        <w:tc>
          <w:tcPr>
            <w:tcW w:w="561" w:type="dxa"/>
          </w:tcPr>
          <w:p w:rsidR="00D85A55" w:rsidRPr="000C592C" w:rsidRDefault="00D85A55" w:rsidP="004A117A">
            <w:pPr>
              <w:spacing w:before="40" w:after="40"/>
              <w:rPr>
                <w:spacing w:val="-12"/>
                <w:sz w:val="20"/>
              </w:rPr>
            </w:pPr>
            <w:r>
              <w:rPr>
                <w:spacing w:val="-12"/>
                <w:sz w:val="20"/>
              </w:rPr>
              <w:t>01</w:t>
            </w:r>
          </w:p>
        </w:tc>
        <w:tc>
          <w:tcPr>
            <w:tcW w:w="2963"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 xml:space="preserve">Jesús del Carmen López </w:t>
            </w:r>
            <w:proofErr w:type="spellStart"/>
            <w:r w:rsidRPr="002F42B2">
              <w:rPr>
                <w:rFonts w:ascii="Arial" w:hAnsi="Arial" w:cs="Arial"/>
                <w:spacing w:val="-14"/>
                <w:sz w:val="20"/>
              </w:rPr>
              <w:t>Ricárdez</w:t>
            </w:r>
            <w:proofErr w:type="spellEnd"/>
          </w:p>
        </w:tc>
        <w:tc>
          <w:tcPr>
            <w:tcW w:w="3105"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Diputación distrito 13 Cunduacán</w:t>
            </w:r>
          </w:p>
        </w:tc>
        <w:tc>
          <w:tcPr>
            <w:tcW w:w="1020"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4,966</w:t>
            </w:r>
          </w:p>
        </w:tc>
        <w:tc>
          <w:tcPr>
            <w:tcW w:w="1184"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1,661</w:t>
            </w:r>
          </w:p>
        </w:tc>
      </w:tr>
      <w:tr w:rsidR="00D85A55" w:rsidRPr="000C592C" w:rsidTr="002F42B2">
        <w:tc>
          <w:tcPr>
            <w:tcW w:w="561" w:type="dxa"/>
          </w:tcPr>
          <w:p w:rsidR="00D85A55" w:rsidRPr="000C592C" w:rsidRDefault="00D85A55" w:rsidP="004A117A">
            <w:pPr>
              <w:spacing w:before="40" w:after="40"/>
              <w:rPr>
                <w:spacing w:val="-12"/>
                <w:sz w:val="20"/>
              </w:rPr>
            </w:pPr>
            <w:r>
              <w:rPr>
                <w:spacing w:val="-12"/>
                <w:sz w:val="20"/>
              </w:rPr>
              <w:t>02</w:t>
            </w:r>
          </w:p>
        </w:tc>
        <w:tc>
          <w:tcPr>
            <w:tcW w:w="2963"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Juan Carlos Guzmán Correa</w:t>
            </w:r>
          </w:p>
        </w:tc>
        <w:tc>
          <w:tcPr>
            <w:tcW w:w="3105"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Presidencia Municipal de Cárdenas</w:t>
            </w:r>
          </w:p>
        </w:tc>
        <w:tc>
          <w:tcPr>
            <w:tcW w:w="1020"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5,287</w:t>
            </w:r>
          </w:p>
        </w:tc>
        <w:tc>
          <w:tcPr>
            <w:tcW w:w="1184"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3,626</w:t>
            </w:r>
          </w:p>
        </w:tc>
      </w:tr>
      <w:tr w:rsidR="00D85A55" w:rsidRPr="000C592C" w:rsidTr="002F42B2">
        <w:tc>
          <w:tcPr>
            <w:tcW w:w="561" w:type="dxa"/>
          </w:tcPr>
          <w:p w:rsidR="00D85A55" w:rsidRPr="000C592C" w:rsidRDefault="00D85A55" w:rsidP="004A117A">
            <w:pPr>
              <w:spacing w:before="40" w:after="40"/>
              <w:rPr>
                <w:spacing w:val="-12"/>
                <w:sz w:val="20"/>
              </w:rPr>
            </w:pPr>
            <w:r>
              <w:rPr>
                <w:spacing w:val="-12"/>
                <w:sz w:val="20"/>
              </w:rPr>
              <w:t>03</w:t>
            </w:r>
          </w:p>
        </w:tc>
        <w:tc>
          <w:tcPr>
            <w:tcW w:w="2963"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Luis Alfonso Ojeda Villaseñor</w:t>
            </w:r>
          </w:p>
        </w:tc>
        <w:tc>
          <w:tcPr>
            <w:tcW w:w="3105"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Presidencia Municipal de Centla</w:t>
            </w:r>
          </w:p>
        </w:tc>
        <w:tc>
          <w:tcPr>
            <w:tcW w:w="1020"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2,014</w:t>
            </w:r>
          </w:p>
        </w:tc>
        <w:tc>
          <w:tcPr>
            <w:tcW w:w="1184"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1,587</w:t>
            </w:r>
          </w:p>
        </w:tc>
      </w:tr>
      <w:tr w:rsidR="00D85A55" w:rsidRPr="000C592C" w:rsidTr="002F42B2">
        <w:tc>
          <w:tcPr>
            <w:tcW w:w="561" w:type="dxa"/>
          </w:tcPr>
          <w:p w:rsidR="00D85A55" w:rsidRPr="000C592C" w:rsidRDefault="00D85A55" w:rsidP="004A117A">
            <w:pPr>
              <w:spacing w:before="40" w:after="40"/>
              <w:rPr>
                <w:spacing w:val="-16"/>
                <w:sz w:val="20"/>
              </w:rPr>
            </w:pPr>
            <w:r>
              <w:rPr>
                <w:spacing w:val="-16"/>
                <w:sz w:val="20"/>
              </w:rPr>
              <w:t>04</w:t>
            </w:r>
          </w:p>
        </w:tc>
        <w:tc>
          <w:tcPr>
            <w:tcW w:w="2963"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Jesús Abraham Cano González</w:t>
            </w:r>
          </w:p>
        </w:tc>
        <w:tc>
          <w:tcPr>
            <w:tcW w:w="3105"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Presidencia Municipal de Cunduacán</w:t>
            </w:r>
          </w:p>
        </w:tc>
        <w:tc>
          <w:tcPr>
            <w:tcW w:w="1020"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29,419</w:t>
            </w:r>
          </w:p>
        </w:tc>
        <w:tc>
          <w:tcPr>
            <w:tcW w:w="1184"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1,975</w:t>
            </w:r>
          </w:p>
        </w:tc>
      </w:tr>
      <w:tr w:rsidR="00D85A55" w:rsidRPr="000C592C" w:rsidTr="002F42B2">
        <w:tc>
          <w:tcPr>
            <w:tcW w:w="561" w:type="dxa"/>
          </w:tcPr>
          <w:p w:rsidR="00D85A55" w:rsidRPr="000C592C" w:rsidRDefault="00D85A55" w:rsidP="004A117A">
            <w:pPr>
              <w:spacing w:before="40" w:after="40"/>
              <w:rPr>
                <w:spacing w:val="-12"/>
                <w:sz w:val="20"/>
              </w:rPr>
            </w:pPr>
            <w:r>
              <w:rPr>
                <w:spacing w:val="-12"/>
                <w:sz w:val="20"/>
              </w:rPr>
              <w:t>05</w:t>
            </w:r>
          </w:p>
        </w:tc>
        <w:tc>
          <w:tcPr>
            <w:tcW w:w="2963"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Erik Octavio Madrigal Rodríguez</w:t>
            </w:r>
          </w:p>
        </w:tc>
        <w:tc>
          <w:tcPr>
            <w:tcW w:w="3105" w:type="dxa"/>
          </w:tcPr>
          <w:p w:rsidR="00D85A55" w:rsidRPr="002F42B2" w:rsidRDefault="00D85A55" w:rsidP="004A117A">
            <w:pPr>
              <w:spacing w:before="40" w:after="40"/>
              <w:rPr>
                <w:rFonts w:ascii="Arial" w:hAnsi="Arial" w:cs="Arial"/>
                <w:spacing w:val="-14"/>
                <w:sz w:val="20"/>
              </w:rPr>
            </w:pPr>
            <w:r w:rsidRPr="002F42B2">
              <w:rPr>
                <w:rFonts w:ascii="Arial" w:hAnsi="Arial" w:cs="Arial"/>
                <w:spacing w:val="-14"/>
                <w:sz w:val="20"/>
              </w:rPr>
              <w:t>Presidencia Municipal de Paraíso</w:t>
            </w:r>
          </w:p>
        </w:tc>
        <w:tc>
          <w:tcPr>
            <w:tcW w:w="1020"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1,619</w:t>
            </w:r>
          </w:p>
        </w:tc>
        <w:tc>
          <w:tcPr>
            <w:tcW w:w="1184" w:type="dxa"/>
          </w:tcPr>
          <w:p w:rsidR="00D85A55" w:rsidRPr="002F42B2" w:rsidRDefault="00D85A55" w:rsidP="004A117A">
            <w:pPr>
              <w:spacing w:before="40" w:after="40"/>
              <w:jc w:val="right"/>
              <w:rPr>
                <w:rFonts w:ascii="Arial" w:hAnsi="Arial" w:cs="Arial"/>
                <w:b/>
                <w:spacing w:val="-14"/>
                <w:sz w:val="20"/>
              </w:rPr>
            </w:pPr>
            <w:r w:rsidRPr="002F42B2">
              <w:rPr>
                <w:rFonts w:ascii="Arial" w:hAnsi="Arial" w:cs="Arial"/>
                <w:b/>
                <w:spacing w:val="-14"/>
                <w:sz w:val="20"/>
              </w:rPr>
              <w:t>1,478</w:t>
            </w:r>
          </w:p>
        </w:tc>
      </w:tr>
    </w:tbl>
    <w:p w:rsidR="00D85A55" w:rsidRPr="002F42B2" w:rsidRDefault="00D85A55" w:rsidP="00D85A55">
      <w:pPr>
        <w:rPr>
          <w:rFonts w:ascii="Arial" w:hAnsi="Arial" w:cs="Arial"/>
        </w:rPr>
      </w:pPr>
      <w:r w:rsidRPr="002F42B2">
        <w:rPr>
          <w:rFonts w:ascii="Arial" w:hAnsi="Arial" w:cs="Arial"/>
        </w:rPr>
        <w:t xml:space="preserve">Con base en estos resultados, se desprende que, los ciudadanos </w:t>
      </w:r>
      <w:r w:rsidRPr="002F42B2">
        <w:rPr>
          <w:rFonts w:ascii="Arial" w:hAnsi="Arial" w:cs="Arial"/>
          <w:b/>
        </w:rPr>
        <w:t xml:space="preserve">Jesús del Carmen López </w:t>
      </w:r>
      <w:proofErr w:type="spellStart"/>
      <w:r w:rsidRPr="002F42B2">
        <w:rPr>
          <w:rFonts w:ascii="Arial" w:hAnsi="Arial" w:cs="Arial"/>
          <w:b/>
        </w:rPr>
        <w:t>Ricárdez</w:t>
      </w:r>
      <w:proofErr w:type="spellEnd"/>
      <w:r w:rsidRPr="002F42B2">
        <w:rPr>
          <w:rFonts w:ascii="Arial" w:hAnsi="Arial" w:cs="Arial"/>
          <w:b/>
        </w:rPr>
        <w:t xml:space="preserve">, Juan Carlos Guzmán Correa, Luis Alfonso Ojeda Villaseñor, Jesús Abraham Cano González y Erik Octavio Madrigal Rodríguez </w:t>
      </w:r>
      <w:r w:rsidRPr="002F42B2">
        <w:rPr>
          <w:rFonts w:ascii="Arial" w:hAnsi="Arial" w:cs="Arial"/>
        </w:rPr>
        <w:t>cuentan con el respaldo social mínimo y de representatividad en la demarcación territorial para la cual pretenden competir.</w:t>
      </w:r>
    </w:p>
    <w:p w:rsidR="00D85A55" w:rsidRPr="002F42B2" w:rsidRDefault="00D85A55" w:rsidP="00D85A55">
      <w:pPr>
        <w:rPr>
          <w:rFonts w:ascii="Arial" w:hAnsi="Arial" w:cs="Arial"/>
        </w:rPr>
      </w:pPr>
      <w:r w:rsidRPr="002F42B2">
        <w:rPr>
          <w:rFonts w:ascii="Arial" w:hAnsi="Arial" w:cs="Arial"/>
        </w:rPr>
        <w:t xml:space="preserve">Por lo que, con fundamento en los artículos 280 numeral 2 y 282 de la Ley Electoral y 25 de los Lineamientos, las personas mencionadas quedaron en aptitud de solicitar su registro como candidatos independientes para el cargo que se postularon. </w:t>
      </w:r>
    </w:p>
    <w:p w:rsidR="00293C2A" w:rsidRPr="002F42B2" w:rsidRDefault="00293C2A" w:rsidP="00293C2A">
      <w:pPr>
        <w:pStyle w:val="Ttulo2"/>
        <w:rPr>
          <w:rFonts w:ascii="Arial" w:hAnsi="Arial" w:cs="Arial"/>
          <w:sz w:val="23"/>
        </w:rPr>
      </w:pPr>
      <w:r w:rsidRPr="002F42B2">
        <w:rPr>
          <w:rFonts w:ascii="Arial" w:hAnsi="Arial" w:cs="Arial"/>
          <w:sz w:val="23"/>
        </w:rPr>
        <w:t>Requisitos para participar y registrarse en candidaturas independientes</w:t>
      </w:r>
    </w:p>
    <w:p w:rsidR="00293C2A" w:rsidRPr="002F42B2" w:rsidRDefault="00293C2A" w:rsidP="00293C2A">
      <w:pPr>
        <w:rPr>
          <w:rFonts w:ascii="Arial" w:hAnsi="Arial" w:cs="Arial"/>
        </w:rPr>
      </w:pPr>
      <w:r w:rsidRPr="002F42B2">
        <w:rPr>
          <w:rFonts w:ascii="Arial" w:hAnsi="Arial" w:cs="Arial"/>
        </w:rPr>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rsidR="00293C2A" w:rsidRPr="002F42B2" w:rsidRDefault="00293C2A" w:rsidP="00293C2A">
      <w:pPr>
        <w:pStyle w:val="Prrafodelista"/>
        <w:numPr>
          <w:ilvl w:val="0"/>
          <w:numId w:val="2"/>
        </w:numPr>
        <w:rPr>
          <w:rFonts w:ascii="Arial" w:hAnsi="Arial" w:cs="Arial"/>
        </w:rPr>
      </w:pPr>
      <w:r w:rsidRPr="002F42B2">
        <w:rPr>
          <w:rFonts w:ascii="Arial" w:hAnsi="Arial" w:cs="Arial"/>
        </w:rPr>
        <w:t>Gubernatura del Estado de Tabasco, y</w:t>
      </w:r>
    </w:p>
    <w:p w:rsidR="00293C2A" w:rsidRPr="002F42B2" w:rsidRDefault="00293C2A" w:rsidP="00293C2A">
      <w:pPr>
        <w:pStyle w:val="Prrafodelista"/>
        <w:numPr>
          <w:ilvl w:val="0"/>
          <w:numId w:val="2"/>
        </w:numPr>
        <w:rPr>
          <w:rFonts w:ascii="Arial" w:hAnsi="Arial" w:cs="Arial"/>
        </w:rPr>
      </w:pPr>
      <w:r w:rsidRPr="002F42B2">
        <w:rPr>
          <w:rFonts w:ascii="Arial" w:hAnsi="Arial" w:cs="Arial"/>
        </w:rPr>
        <w:t>Diputaciones y Regidurías por el principio de mayoría relativa.</w:t>
      </w:r>
    </w:p>
    <w:p w:rsidR="00293C2A" w:rsidRPr="002F42B2" w:rsidRDefault="00293C2A" w:rsidP="00293C2A">
      <w:pPr>
        <w:rPr>
          <w:rFonts w:ascii="Arial" w:hAnsi="Arial" w:cs="Arial"/>
        </w:rPr>
      </w:pPr>
      <w:r w:rsidRPr="002F42B2">
        <w:rPr>
          <w:rFonts w:ascii="Arial" w:hAnsi="Arial" w:cs="Arial"/>
        </w:rPr>
        <w:t xml:space="preserve">Por otra parte, si bien el numeral 2 del artículo citado, establece que no procederá en ningún caso el registro de candidaturas independientes por el principio de representación proporcional, la Sala Superior del Tribunal Electoral del Poder Judicial de la Federación, de la interpretación a los artículos 1°, 35 fracción II, 41 Base I, 115 fracción VIII y 116 de la Constitución Federal, 23 numeral 1, inciso b) de la Convención Americana sobre Derechos Humanos, 25 del Pacto Internacional de Derechos Civiles y Políticos, consideró que las planillas de candidaturas conformadas para participar en la elección de miembros de los ayuntamientos, postuladas por partidos políticos, al reunir los mismos requisitos, participan en igualdad de condiciones, por ende, a fin de cumplir con dicho principio en el acceso a cargos públicos, las candidaturas independientes tienen derecho a participar en la asignación correspondiente a regidurías por el principio de representación proporcional. Criterio que se encuentra contenido en la jurisprudencia 4/2016 con rubro: </w:t>
      </w:r>
      <w:r w:rsidRPr="002F42B2">
        <w:rPr>
          <w:rFonts w:ascii="Arial" w:hAnsi="Arial" w:cs="Arial"/>
          <w:b/>
        </w:rPr>
        <w:t>“CANDIDATURAS INDEPENDIENTES. LAS RELACIONADAS CON LA INTEGRACIÓN DE AYUNTAMIENTOS, TIENEN DERECHO A QUE SE LES ASIGNEN REGIDURÍAS POR EL PRINCIPIO DE REPRESENTACIÓN PROPORCIONAL”</w:t>
      </w:r>
      <w:r w:rsidRPr="002F42B2">
        <w:rPr>
          <w:rFonts w:ascii="Arial" w:hAnsi="Arial" w:cs="Arial"/>
        </w:rPr>
        <w:t>.</w:t>
      </w:r>
    </w:p>
    <w:p w:rsidR="00D85A55" w:rsidRPr="002F42B2" w:rsidRDefault="00D85A55" w:rsidP="00D85A55">
      <w:pPr>
        <w:pStyle w:val="Ttulo2"/>
        <w:rPr>
          <w:rFonts w:ascii="Arial" w:hAnsi="Arial" w:cs="Arial"/>
          <w:sz w:val="23"/>
        </w:rPr>
      </w:pPr>
      <w:r w:rsidRPr="002F42B2">
        <w:rPr>
          <w:rFonts w:ascii="Arial" w:hAnsi="Arial" w:cs="Arial"/>
          <w:sz w:val="23"/>
        </w:rPr>
        <w:t>Régimen de financiamiento de las candidaturas independientes</w:t>
      </w:r>
    </w:p>
    <w:p w:rsidR="00D85A55" w:rsidRPr="002F42B2" w:rsidRDefault="00D85A55" w:rsidP="00D85A55">
      <w:pPr>
        <w:rPr>
          <w:rFonts w:ascii="Arial" w:hAnsi="Arial" w:cs="Arial"/>
        </w:rPr>
      </w:pPr>
      <w:r w:rsidRPr="002F42B2">
        <w:rPr>
          <w:rFonts w:ascii="Arial" w:hAnsi="Arial" w:cs="Arial"/>
        </w:rPr>
        <w:t>Que, el artículo 9 apartado A, fracción VIII Bis de la Constitución Local dispone que, las leyes, general o estatal, según corresponda, establecerán las reglas y límites a que se sujetará el financiamiento público y privado de las actividades de la ciudadanía que obtenga su registro como candidaturas independientes dentro de un proceso electoral, así como los procedimientos para el control y vigilancia del origen, uso y destino de todos los recursos con los que cuenten, incluyendo aquellos que hubiesen utilizado para financiar las actividades tendentes a obtener dicho registro y dispondrán las sanciones que deban imponerse por el incumplimiento a dichas disposiciones.</w:t>
      </w:r>
    </w:p>
    <w:p w:rsidR="00D85A55" w:rsidRPr="002F42B2" w:rsidRDefault="00D85A55" w:rsidP="00D85A55">
      <w:pPr>
        <w:pStyle w:val="Ttulo2"/>
        <w:rPr>
          <w:rFonts w:ascii="Arial" w:hAnsi="Arial" w:cs="Arial"/>
          <w:sz w:val="23"/>
        </w:rPr>
      </w:pPr>
      <w:r w:rsidRPr="002F42B2">
        <w:rPr>
          <w:rFonts w:ascii="Arial" w:hAnsi="Arial" w:cs="Arial"/>
          <w:sz w:val="23"/>
        </w:rPr>
        <w:t>Modalidades de financiamiento de las candidaturas independientes</w:t>
      </w:r>
    </w:p>
    <w:p w:rsidR="00D85A55" w:rsidRPr="002F42B2" w:rsidRDefault="00D85A55" w:rsidP="00D85A55">
      <w:pPr>
        <w:rPr>
          <w:rFonts w:ascii="Arial" w:hAnsi="Arial" w:cs="Arial"/>
        </w:rPr>
      </w:pPr>
      <w:r w:rsidRPr="002F42B2">
        <w:rPr>
          <w:rFonts w:ascii="Arial" w:hAnsi="Arial" w:cs="Arial"/>
        </w:rPr>
        <w:t xml:space="preserve">Que, el artículo 312 de la Ley Electoral establece que el régimen del financiamiento de las candidaturas independientes tendrá las modalidades de: financiamiento público y financiamiento privado. </w:t>
      </w:r>
    </w:p>
    <w:p w:rsidR="00D85A55" w:rsidRPr="002F42B2" w:rsidRDefault="00D85A55" w:rsidP="00D85A55">
      <w:pPr>
        <w:rPr>
          <w:rFonts w:ascii="Arial" w:hAnsi="Arial" w:cs="Arial"/>
        </w:rPr>
      </w:pPr>
      <w:r w:rsidRPr="002F42B2">
        <w:rPr>
          <w:rFonts w:ascii="Arial" w:hAnsi="Arial" w:cs="Arial"/>
        </w:rPr>
        <w:t>En lo que respecta al financiamiento público, las candidaturas independientes, de conformidad con los artículos 407 numeral 1 de la Ley General, 309 numeral 1 fracción V, 319 y 322 de la Ley Electoral, únicamente puede ser utilizado para los gastos de campaña y el monto no erogado deberá reembolsarse al Instituto.</w:t>
      </w:r>
    </w:p>
    <w:p w:rsidR="0003360B" w:rsidRPr="002F42B2" w:rsidRDefault="0003360B" w:rsidP="007D4789">
      <w:pPr>
        <w:pStyle w:val="Ttulo2"/>
        <w:rPr>
          <w:rFonts w:ascii="Arial" w:hAnsi="Arial" w:cs="Arial"/>
          <w:sz w:val="23"/>
        </w:rPr>
      </w:pPr>
      <w:r w:rsidRPr="002F42B2">
        <w:rPr>
          <w:rFonts w:ascii="Arial" w:hAnsi="Arial" w:cs="Arial"/>
          <w:sz w:val="23"/>
        </w:rPr>
        <w:t>Financiamiento privado</w:t>
      </w:r>
    </w:p>
    <w:p w:rsidR="0003360B" w:rsidRPr="002F42B2" w:rsidRDefault="0003360B" w:rsidP="0003360B">
      <w:pPr>
        <w:rPr>
          <w:rFonts w:ascii="Arial" w:hAnsi="Arial" w:cs="Arial"/>
        </w:rPr>
      </w:pPr>
      <w:r w:rsidRPr="002F42B2">
        <w:rPr>
          <w:rFonts w:ascii="Arial" w:hAnsi="Arial" w:cs="Arial"/>
        </w:rPr>
        <w:t xml:space="preserve">Que, el artículo 313 de la Ley Electoral </w:t>
      </w:r>
      <w:r w:rsidR="007D4789" w:rsidRPr="002F42B2">
        <w:rPr>
          <w:rFonts w:ascii="Arial" w:hAnsi="Arial" w:cs="Arial"/>
        </w:rPr>
        <w:t>refiere que el financiamiento privado se constituye por las aportaciones que realice la candidatura independiente y sus simpatizantes, el cual no podrá rebasar en ningún caso, el diez por ciento del tope de gastos de campaña para la elección de que se trate.</w:t>
      </w:r>
    </w:p>
    <w:p w:rsidR="007D4789" w:rsidRPr="002F42B2" w:rsidRDefault="007D4789" w:rsidP="007D4789">
      <w:pPr>
        <w:rPr>
          <w:rFonts w:ascii="Arial" w:hAnsi="Arial" w:cs="Arial"/>
        </w:rPr>
      </w:pPr>
      <w:r w:rsidRPr="002F42B2">
        <w:rPr>
          <w:rFonts w:ascii="Arial" w:hAnsi="Arial" w:cs="Arial"/>
        </w:rPr>
        <w:t>Esta modalidad, tutela el derecho de participación política, en el sentido que permite a la propia persona candidata, así como a la ciudadanía que simpatice con ella, incidir en la dirección de los asuntos electorales mediante las aportaciones que realicen a su candidatura independiente o una con la que se identifiquen.</w:t>
      </w:r>
    </w:p>
    <w:p w:rsidR="00892BF0" w:rsidRPr="002F42B2" w:rsidRDefault="007D4789" w:rsidP="007D4789">
      <w:pPr>
        <w:rPr>
          <w:rFonts w:ascii="Arial" w:hAnsi="Arial" w:cs="Arial"/>
        </w:rPr>
      </w:pPr>
      <w:r w:rsidRPr="002F42B2">
        <w:rPr>
          <w:rFonts w:ascii="Arial" w:hAnsi="Arial" w:cs="Arial"/>
        </w:rPr>
        <w:t>Sin embargo, por determinación de la Sala Superior</w:t>
      </w:r>
      <w:r w:rsidRPr="002F42B2">
        <w:rPr>
          <w:rStyle w:val="Refdenotaalpie"/>
          <w:rFonts w:ascii="Arial" w:hAnsi="Arial" w:cs="Arial"/>
        </w:rPr>
        <w:footnoteReference w:id="1"/>
      </w:r>
      <w:r w:rsidRPr="002F42B2">
        <w:rPr>
          <w:rFonts w:ascii="Arial" w:hAnsi="Arial" w:cs="Arial"/>
        </w:rPr>
        <w:t xml:space="preserve"> el porcentaje señalado es inaplicable, toda vez que no permite participar a las candidaturas independientes en las campañas electorales de forma competitiva con los partidos políticos. En su lugar, </w:t>
      </w:r>
      <w:r w:rsidR="00892BF0" w:rsidRPr="002F42B2">
        <w:rPr>
          <w:rFonts w:ascii="Arial" w:hAnsi="Arial" w:cs="Arial"/>
        </w:rPr>
        <w:t xml:space="preserve">resulta aplicable el contenido jurisprudencial 10/2019 con rubro: </w:t>
      </w:r>
      <w:r w:rsidR="00892BF0" w:rsidRPr="002F42B2">
        <w:rPr>
          <w:rFonts w:ascii="Arial" w:hAnsi="Arial" w:cs="Arial"/>
          <w:b/>
        </w:rPr>
        <w:t>“CANDIDATURAS INDEPENDIENTES. CRITERIOS PARA DEFINIR EL LÍMITE DE FINANCIAMIENTO PRIVADO”</w:t>
      </w:r>
      <w:r w:rsidR="00892BF0" w:rsidRPr="002F42B2">
        <w:rPr>
          <w:rFonts w:ascii="Arial" w:hAnsi="Arial" w:cs="Arial"/>
        </w:rPr>
        <w:t xml:space="preserve"> que establece que el límite de financiamiento privado que podrá recibir una candidatura independiente equivaldrá al monto que resulte de restar al tope de gastos de la campaña que se trate el financiamiento público a que las candidaturas respectivas tienen derecho.</w:t>
      </w:r>
    </w:p>
    <w:p w:rsidR="00326C4D" w:rsidRPr="002F42B2" w:rsidRDefault="00326C4D" w:rsidP="00326C4D">
      <w:pPr>
        <w:pStyle w:val="Ttulo2"/>
        <w:rPr>
          <w:rFonts w:ascii="Arial" w:hAnsi="Arial" w:cs="Arial"/>
          <w:sz w:val="23"/>
        </w:rPr>
      </w:pPr>
      <w:r w:rsidRPr="002F42B2">
        <w:rPr>
          <w:rFonts w:ascii="Arial" w:hAnsi="Arial" w:cs="Arial"/>
          <w:sz w:val="23"/>
        </w:rPr>
        <w:t>Candidatos independientes que obtuvieron su registro</w:t>
      </w:r>
    </w:p>
    <w:p w:rsidR="00326C4D" w:rsidRDefault="00326C4D" w:rsidP="00326C4D">
      <w:pPr>
        <w:rPr>
          <w:rFonts w:ascii="Arial" w:hAnsi="Arial" w:cs="Arial"/>
        </w:rPr>
      </w:pPr>
      <w:r w:rsidRPr="002F42B2">
        <w:rPr>
          <w:rFonts w:ascii="Arial" w:hAnsi="Arial" w:cs="Arial"/>
        </w:rPr>
        <w:t xml:space="preserve">Que, dentro de los plazos establecidos en el artículo 188 numeral 1, fracción II de la Ley Electoral y conforme al calendario electoral aprobado por </w:t>
      </w:r>
      <w:r w:rsidR="00171C2D" w:rsidRPr="002F42B2">
        <w:rPr>
          <w:rFonts w:ascii="Arial" w:hAnsi="Arial" w:cs="Arial"/>
        </w:rPr>
        <w:t>este Consejo Estatal, en el peri</w:t>
      </w:r>
      <w:r w:rsidRPr="002F42B2">
        <w:rPr>
          <w:rFonts w:ascii="Arial" w:hAnsi="Arial" w:cs="Arial"/>
        </w:rPr>
        <w:t xml:space="preserve">odo comprendido del 3 al 12 de marzo de la presente anualidad, los ciudadanos que a continuación se mencionan </w:t>
      </w:r>
      <w:r w:rsidR="00DD48EA" w:rsidRPr="002F42B2">
        <w:rPr>
          <w:rFonts w:ascii="Arial" w:hAnsi="Arial" w:cs="Arial"/>
        </w:rPr>
        <w:t xml:space="preserve">obtuvieron su registro como candidatos a los cargos de elección conforme al procedimiento y los plazos establecidos en los artículos 188, 189, 190 de la Ley Electoral </w:t>
      </w:r>
      <w:r w:rsidRPr="002F42B2">
        <w:rPr>
          <w:rFonts w:ascii="Arial" w:hAnsi="Arial" w:cs="Arial"/>
        </w:rPr>
        <w:t>de la siguiente forma:</w:t>
      </w:r>
    </w:p>
    <w:p w:rsidR="002F42B2" w:rsidRPr="002F42B2" w:rsidRDefault="002F42B2" w:rsidP="00326C4D">
      <w:pPr>
        <w:rPr>
          <w:rFonts w:ascii="Arial" w:hAnsi="Arial" w:cs="Arial"/>
        </w:rPr>
      </w:pPr>
    </w:p>
    <w:tbl>
      <w:tblPr>
        <w:tblStyle w:val="Tablaconcuadrcula"/>
        <w:tblW w:w="0" w:type="auto"/>
        <w:tblLook w:val="04A0" w:firstRow="1" w:lastRow="0" w:firstColumn="1" w:lastColumn="0" w:noHBand="0" w:noVBand="1"/>
      </w:tblPr>
      <w:tblGrid>
        <w:gridCol w:w="561"/>
        <w:gridCol w:w="4401"/>
        <w:gridCol w:w="3827"/>
      </w:tblGrid>
      <w:tr w:rsidR="00DD48EA" w:rsidRPr="000C592C" w:rsidTr="002F42B2">
        <w:tc>
          <w:tcPr>
            <w:tcW w:w="561" w:type="dxa"/>
            <w:shd w:val="clear" w:color="auto" w:fill="auto"/>
          </w:tcPr>
          <w:p w:rsidR="00DD48EA" w:rsidRPr="002F42B2" w:rsidRDefault="00DD48EA" w:rsidP="00F17D51">
            <w:pPr>
              <w:spacing w:before="40" w:after="40"/>
              <w:jc w:val="center"/>
              <w:rPr>
                <w:rFonts w:ascii="Arial" w:hAnsi="Arial" w:cs="Arial"/>
                <w:b/>
                <w:color w:val="FFFFFF" w:themeColor="background1"/>
                <w:sz w:val="16"/>
              </w:rPr>
            </w:pPr>
          </w:p>
        </w:tc>
        <w:tc>
          <w:tcPr>
            <w:tcW w:w="4401" w:type="dxa"/>
            <w:shd w:val="clear" w:color="auto" w:fill="993366"/>
            <w:vAlign w:val="center"/>
          </w:tcPr>
          <w:p w:rsidR="00DD48EA" w:rsidRPr="002F42B2" w:rsidRDefault="00DD48EA" w:rsidP="00F17D51">
            <w:pPr>
              <w:spacing w:before="40" w:after="40"/>
              <w:jc w:val="center"/>
              <w:rPr>
                <w:rFonts w:ascii="Arial" w:hAnsi="Arial" w:cs="Arial"/>
                <w:b/>
                <w:color w:val="FFFFFF" w:themeColor="background1"/>
                <w:sz w:val="14"/>
              </w:rPr>
            </w:pPr>
            <w:r w:rsidRPr="002F42B2">
              <w:rPr>
                <w:rFonts w:ascii="Arial" w:hAnsi="Arial" w:cs="Arial"/>
                <w:b/>
                <w:color w:val="FFFFFF" w:themeColor="background1"/>
                <w:sz w:val="14"/>
              </w:rPr>
              <w:t>Nombre</w:t>
            </w:r>
          </w:p>
        </w:tc>
        <w:tc>
          <w:tcPr>
            <w:tcW w:w="3827" w:type="dxa"/>
            <w:shd w:val="clear" w:color="auto" w:fill="993366"/>
            <w:vAlign w:val="center"/>
          </w:tcPr>
          <w:p w:rsidR="00DD48EA" w:rsidRPr="002F42B2" w:rsidRDefault="00DD48EA" w:rsidP="00F17D51">
            <w:pPr>
              <w:spacing w:before="40" w:after="40"/>
              <w:jc w:val="center"/>
              <w:rPr>
                <w:rFonts w:ascii="Arial" w:hAnsi="Arial" w:cs="Arial"/>
                <w:b/>
                <w:color w:val="FFFFFF" w:themeColor="background1"/>
                <w:sz w:val="14"/>
              </w:rPr>
            </w:pPr>
            <w:r w:rsidRPr="002F42B2">
              <w:rPr>
                <w:rFonts w:ascii="Arial" w:hAnsi="Arial" w:cs="Arial"/>
                <w:b/>
                <w:color w:val="FFFFFF" w:themeColor="background1"/>
                <w:sz w:val="14"/>
              </w:rPr>
              <w:t>Candidatura independiente a la que aspira</w:t>
            </w:r>
          </w:p>
        </w:tc>
      </w:tr>
      <w:tr w:rsidR="00DD48EA" w:rsidRPr="000C592C" w:rsidTr="002F42B2">
        <w:tc>
          <w:tcPr>
            <w:tcW w:w="561" w:type="dxa"/>
          </w:tcPr>
          <w:p w:rsidR="00DD48EA" w:rsidRPr="002F42B2" w:rsidRDefault="00DD48EA" w:rsidP="00F17D51">
            <w:pPr>
              <w:spacing w:before="40" w:after="40"/>
              <w:rPr>
                <w:rFonts w:ascii="Arial" w:hAnsi="Arial" w:cs="Arial"/>
                <w:b/>
                <w:sz w:val="20"/>
              </w:rPr>
            </w:pPr>
            <w:r w:rsidRPr="002F42B2">
              <w:rPr>
                <w:rFonts w:ascii="Arial" w:hAnsi="Arial" w:cs="Arial"/>
                <w:b/>
                <w:sz w:val="20"/>
              </w:rPr>
              <w:t>01</w:t>
            </w:r>
          </w:p>
        </w:tc>
        <w:tc>
          <w:tcPr>
            <w:tcW w:w="4401" w:type="dxa"/>
          </w:tcPr>
          <w:p w:rsidR="00DD48EA" w:rsidRPr="002F42B2" w:rsidRDefault="00DD48EA" w:rsidP="00F17D51">
            <w:pPr>
              <w:spacing w:before="40" w:after="40"/>
              <w:rPr>
                <w:rFonts w:ascii="Arial" w:hAnsi="Arial" w:cs="Arial"/>
                <w:b/>
                <w:sz w:val="20"/>
              </w:rPr>
            </w:pPr>
            <w:r w:rsidRPr="002F42B2">
              <w:rPr>
                <w:rFonts w:ascii="Arial" w:hAnsi="Arial" w:cs="Arial"/>
                <w:b/>
                <w:sz w:val="20"/>
              </w:rPr>
              <w:t xml:space="preserve">Jesús del Carmen López </w:t>
            </w:r>
            <w:proofErr w:type="spellStart"/>
            <w:r w:rsidRPr="002F42B2">
              <w:rPr>
                <w:rFonts w:ascii="Arial" w:hAnsi="Arial" w:cs="Arial"/>
                <w:b/>
                <w:sz w:val="20"/>
              </w:rPr>
              <w:t>Ricárdez</w:t>
            </w:r>
            <w:proofErr w:type="spellEnd"/>
          </w:p>
        </w:tc>
        <w:tc>
          <w:tcPr>
            <w:tcW w:w="3827" w:type="dxa"/>
          </w:tcPr>
          <w:p w:rsidR="00DD48EA" w:rsidRPr="002F42B2" w:rsidRDefault="00DD48EA" w:rsidP="00F17D51">
            <w:pPr>
              <w:spacing w:before="40" w:after="40"/>
              <w:rPr>
                <w:rFonts w:ascii="Arial" w:hAnsi="Arial" w:cs="Arial"/>
                <w:b/>
                <w:sz w:val="20"/>
              </w:rPr>
            </w:pPr>
            <w:r w:rsidRPr="002F42B2">
              <w:rPr>
                <w:rFonts w:ascii="Arial" w:hAnsi="Arial" w:cs="Arial"/>
                <w:b/>
                <w:sz w:val="20"/>
              </w:rPr>
              <w:t>Diputación distrito 13 Cunduacán</w:t>
            </w:r>
          </w:p>
        </w:tc>
      </w:tr>
      <w:tr w:rsidR="00DD48EA" w:rsidRPr="000C592C" w:rsidTr="002F42B2">
        <w:tc>
          <w:tcPr>
            <w:tcW w:w="561" w:type="dxa"/>
          </w:tcPr>
          <w:p w:rsidR="00DD48EA" w:rsidRPr="002F42B2" w:rsidRDefault="00DD48EA" w:rsidP="00F17D51">
            <w:pPr>
              <w:spacing w:before="40" w:after="40"/>
              <w:rPr>
                <w:rFonts w:ascii="Arial" w:hAnsi="Arial" w:cs="Arial"/>
                <w:b/>
                <w:sz w:val="20"/>
              </w:rPr>
            </w:pPr>
            <w:r w:rsidRPr="002F42B2">
              <w:rPr>
                <w:rFonts w:ascii="Arial" w:hAnsi="Arial" w:cs="Arial"/>
                <w:b/>
                <w:sz w:val="20"/>
              </w:rPr>
              <w:t>02</w:t>
            </w:r>
          </w:p>
        </w:tc>
        <w:tc>
          <w:tcPr>
            <w:tcW w:w="4401" w:type="dxa"/>
          </w:tcPr>
          <w:p w:rsidR="00DD48EA" w:rsidRPr="002F42B2" w:rsidRDefault="00DD48EA" w:rsidP="00F17D51">
            <w:pPr>
              <w:spacing w:before="40" w:after="40"/>
              <w:rPr>
                <w:rFonts w:ascii="Arial" w:hAnsi="Arial" w:cs="Arial"/>
                <w:b/>
                <w:sz w:val="20"/>
              </w:rPr>
            </w:pPr>
            <w:r w:rsidRPr="002F42B2">
              <w:rPr>
                <w:rFonts w:ascii="Arial" w:hAnsi="Arial" w:cs="Arial"/>
                <w:b/>
                <w:sz w:val="20"/>
              </w:rPr>
              <w:t>Juan Carlos Guzmán Correa</w:t>
            </w:r>
          </w:p>
        </w:tc>
        <w:tc>
          <w:tcPr>
            <w:tcW w:w="3827" w:type="dxa"/>
          </w:tcPr>
          <w:p w:rsidR="00DD48EA" w:rsidRPr="002F42B2" w:rsidRDefault="00DD48EA" w:rsidP="00F17D51">
            <w:pPr>
              <w:spacing w:before="40" w:after="40"/>
              <w:rPr>
                <w:rFonts w:ascii="Arial" w:hAnsi="Arial" w:cs="Arial"/>
                <w:b/>
                <w:sz w:val="20"/>
              </w:rPr>
            </w:pPr>
            <w:r w:rsidRPr="002F42B2">
              <w:rPr>
                <w:rFonts w:ascii="Arial" w:hAnsi="Arial" w:cs="Arial"/>
                <w:b/>
                <w:sz w:val="20"/>
              </w:rPr>
              <w:t>Presidencia Municipal de Cárdenas</w:t>
            </w:r>
          </w:p>
        </w:tc>
      </w:tr>
      <w:tr w:rsidR="00DD48EA" w:rsidRPr="000C592C" w:rsidTr="002F42B2">
        <w:tc>
          <w:tcPr>
            <w:tcW w:w="561" w:type="dxa"/>
          </w:tcPr>
          <w:p w:rsidR="00DD48EA" w:rsidRPr="002F42B2" w:rsidRDefault="00DD48EA" w:rsidP="00F17D51">
            <w:pPr>
              <w:spacing w:before="40" w:after="40"/>
              <w:rPr>
                <w:rFonts w:ascii="Arial" w:hAnsi="Arial" w:cs="Arial"/>
                <w:b/>
                <w:sz w:val="20"/>
              </w:rPr>
            </w:pPr>
            <w:r w:rsidRPr="002F42B2">
              <w:rPr>
                <w:rFonts w:ascii="Arial" w:hAnsi="Arial" w:cs="Arial"/>
                <w:b/>
                <w:sz w:val="20"/>
              </w:rPr>
              <w:t>03</w:t>
            </w:r>
          </w:p>
        </w:tc>
        <w:tc>
          <w:tcPr>
            <w:tcW w:w="4401" w:type="dxa"/>
          </w:tcPr>
          <w:p w:rsidR="00DD48EA" w:rsidRPr="002F42B2" w:rsidRDefault="00DD48EA" w:rsidP="00F17D51">
            <w:pPr>
              <w:spacing w:before="40" w:after="40"/>
              <w:rPr>
                <w:rFonts w:ascii="Arial" w:hAnsi="Arial" w:cs="Arial"/>
                <w:b/>
                <w:sz w:val="20"/>
              </w:rPr>
            </w:pPr>
            <w:r w:rsidRPr="002F42B2">
              <w:rPr>
                <w:rFonts w:ascii="Arial" w:hAnsi="Arial" w:cs="Arial"/>
                <w:b/>
                <w:sz w:val="20"/>
              </w:rPr>
              <w:t>Luis Alfonso Ojeda Villaseñor</w:t>
            </w:r>
          </w:p>
        </w:tc>
        <w:tc>
          <w:tcPr>
            <w:tcW w:w="3827" w:type="dxa"/>
          </w:tcPr>
          <w:p w:rsidR="00DD48EA" w:rsidRPr="002F42B2" w:rsidRDefault="00DD48EA" w:rsidP="00F17D51">
            <w:pPr>
              <w:spacing w:before="40" w:after="40"/>
              <w:rPr>
                <w:rFonts w:ascii="Arial" w:hAnsi="Arial" w:cs="Arial"/>
                <w:b/>
                <w:sz w:val="20"/>
              </w:rPr>
            </w:pPr>
            <w:r w:rsidRPr="002F42B2">
              <w:rPr>
                <w:rFonts w:ascii="Arial" w:hAnsi="Arial" w:cs="Arial"/>
                <w:b/>
                <w:sz w:val="20"/>
              </w:rPr>
              <w:t>Presidencia Municipal de Centla</w:t>
            </w:r>
          </w:p>
        </w:tc>
      </w:tr>
      <w:tr w:rsidR="00DD48EA" w:rsidRPr="000C592C" w:rsidTr="002F42B2">
        <w:tc>
          <w:tcPr>
            <w:tcW w:w="561" w:type="dxa"/>
          </w:tcPr>
          <w:p w:rsidR="00DD48EA" w:rsidRPr="002F42B2" w:rsidRDefault="00DD48EA" w:rsidP="00F17D51">
            <w:pPr>
              <w:spacing w:before="40" w:after="40"/>
              <w:rPr>
                <w:rFonts w:ascii="Arial" w:hAnsi="Arial" w:cs="Arial"/>
                <w:b/>
                <w:sz w:val="20"/>
              </w:rPr>
            </w:pPr>
            <w:r w:rsidRPr="002F42B2">
              <w:rPr>
                <w:rFonts w:ascii="Arial" w:hAnsi="Arial" w:cs="Arial"/>
                <w:b/>
                <w:sz w:val="20"/>
              </w:rPr>
              <w:t>04</w:t>
            </w:r>
          </w:p>
        </w:tc>
        <w:tc>
          <w:tcPr>
            <w:tcW w:w="4401" w:type="dxa"/>
          </w:tcPr>
          <w:p w:rsidR="00DD48EA" w:rsidRPr="002F42B2" w:rsidRDefault="00DD48EA" w:rsidP="00F17D51">
            <w:pPr>
              <w:spacing w:before="40" w:after="40"/>
              <w:rPr>
                <w:rFonts w:ascii="Arial" w:hAnsi="Arial" w:cs="Arial"/>
                <w:b/>
                <w:sz w:val="20"/>
              </w:rPr>
            </w:pPr>
            <w:r w:rsidRPr="002F42B2">
              <w:rPr>
                <w:rFonts w:ascii="Arial" w:hAnsi="Arial" w:cs="Arial"/>
                <w:b/>
                <w:sz w:val="20"/>
              </w:rPr>
              <w:t>Jesús Abraham Cano González</w:t>
            </w:r>
          </w:p>
        </w:tc>
        <w:tc>
          <w:tcPr>
            <w:tcW w:w="3827" w:type="dxa"/>
          </w:tcPr>
          <w:p w:rsidR="00DD48EA" w:rsidRPr="002F42B2" w:rsidRDefault="00DD48EA" w:rsidP="00F17D51">
            <w:pPr>
              <w:spacing w:before="40" w:after="40"/>
              <w:rPr>
                <w:rFonts w:ascii="Arial" w:hAnsi="Arial" w:cs="Arial"/>
                <w:b/>
                <w:sz w:val="20"/>
              </w:rPr>
            </w:pPr>
            <w:r w:rsidRPr="002F42B2">
              <w:rPr>
                <w:rFonts w:ascii="Arial" w:hAnsi="Arial" w:cs="Arial"/>
                <w:b/>
                <w:sz w:val="20"/>
              </w:rPr>
              <w:t>Presidencia Municipal de Cunduacán</w:t>
            </w:r>
          </w:p>
        </w:tc>
      </w:tr>
    </w:tbl>
    <w:p w:rsidR="00D15AAB" w:rsidRDefault="00D15AAB" w:rsidP="00D15AAB">
      <w:pPr>
        <w:pStyle w:val="Ttulo2"/>
        <w:numPr>
          <w:ilvl w:val="0"/>
          <w:numId w:val="0"/>
        </w:numPr>
        <w:ind w:left="576"/>
        <w:rPr>
          <w:rFonts w:ascii="Arial" w:hAnsi="Arial" w:cs="Arial"/>
          <w:sz w:val="23"/>
        </w:rPr>
      </w:pPr>
    </w:p>
    <w:p w:rsidR="00D85A55" w:rsidRPr="002F42B2" w:rsidRDefault="00D85A55" w:rsidP="00D85A55">
      <w:pPr>
        <w:pStyle w:val="Ttulo2"/>
        <w:rPr>
          <w:rFonts w:ascii="Arial" w:hAnsi="Arial" w:cs="Arial"/>
          <w:sz w:val="23"/>
        </w:rPr>
      </w:pPr>
      <w:r w:rsidRPr="002F42B2">
        <w:rPr>
          <w:rFonts w:ascii="Arial" w:hAnsi="Arial" w:cs="Arial"/>
          <w:sz w:val="23"/>
        </w:rPr>
        <w:t>Distribución del financiamiento público local para gastos de campaña entre el conjunto de candidaturas independientes</w:t>
      </w:r>
    </w:p>
    <w:p w:rsidR="00D85A55" w:rsidRPr="002F42B2" w:rsidRDefault="00326C4D" w:rsidP="00D85A55">
      <w:pPr>
        <w:rPr>
          <w:rFonts w:ascii="Arial" w:hAnsi="Arial" w:cs="Arial"/>
        </w:rPr>
      </w:pPr>
      <w:r w:rsidRPr="002F42B2">
        <w:rPr>
          <w:rFonts w:ascii="Arial" w:hAnsi="Arial" w:cs="Arial"/>
        </w:rPr>
        <w:t>Que, el artículo 320</w:t>
      </w:r>
      <w:r w:rsidR="00D85A55" w:rsidRPr="002F42B2">
        <w:rPr>
          <w:rFonts w:ascii="Arial" w:hAnsi="Arial" w:cs="Arial"/>
        </w:rPr>
        <w:t xml:space="preserve"> numeral 1 de la Ley Electoral establece que, el financiamiento público local para gastos de campaña se distribuirá entre todas las candidaturas independientes de la siguiente manera:</w:t>
      </w:r>
    </w:p>
    <w:p w:rsidR="00D85A55" w:rsidRPr="002F42B2" w:rsidRDefault="00D85A55" w:rsidP="00D85A55">
      <w:pPr>
        <w:pStyle w:val="Prrafodelista"/>
        <w:numPr>
          <w:ilvl w:val="0"/>
          <w:numId w:val="11"/>
        </w:numPr>
        <w:ind w:left="714" w:hanging="357"/>
        <w:contextualSpacing w:val="0"/>
        <w:rPr>
          <w:rFonts w:ascii="Arial" w:hAnsi="Arial" w:cs="Arial"/>
        </w:rPr>
      </w:pPr>
      <w:r w:rsidRPr="002F42B2">
        <w:rPr>
          <w:rFonts w:ascii="Arial" w:hAnsi="Arial" w:cs="Arial"/>
        </w:rPr>
        <w:t>Un 33.3% que se asignará a la candidatura independiente al cargo de Gobernador o Gobernadora;</w:t>
      </w:r>
    </w:p>
    <w:p w:rsidR="00D85A55" w:rsidRPr="002F42B2" w:rsidRDefault="00D85A55" w:rsidP="00D85A55">
      <w:pPr>
        <w:pStyle w:val="Prrafodelista"/>
        <w:numPr>
          <w:ilvl w:val="0"/>
          <w:numId w:val="11"/>
        </w:numPr>
        <w:ind w:left="714" w:hanging="357"/>
        <w:contextualSpacing w:val="0"/>
        <w:rPr>
          <w:rFonts w:ascii="Arial" w:hAnsi="Arial" w:cs="Arial"/>
        </w:rPr>
      </w:pPr>
      <w:r w:rsidRPr="002F42B2">
        <w:rPr>
          <w:rFonts w:ascii="Arial" w:hAnsi="Arial" w:cs="Arial"/>
        </w:rPr>
        <w:t>Un 33.3% que se distribuirá de manera igualitaria entre todas las fórmulas de candidaturas independientes al cargo de diputada o diputado, y</w:t>
      </w:r>
    </w:p>
    <w:p w:rsidR="00D85A55" w:rsidRPr="002F42B2" w:rsidRDefault="00D85A55" w:rsidP="00D85A55">
      <w:pPr>
        <w:pStyle w:val="Prrafodelista"/>
        <w:numPr>
          <w:ilvl w:val="0"/>
          <w:numId w:val="11"/>
        </w:numPr>
        <w:ind w:left="714" w:hanging="357"/>
        <w:contextualSpacing w:val="0"/>
        <w:rPr>
          <w:rFonts w:ascii="Arial" w:hAnsi="Arial" w:cs="Arial"/>
        </w:rPr>
      </w:pPr>
      <w:r w:rsidRPr="002F42B2">
        <w:rPr>
          <w:rFonts w:ascii="Arial" w:hAnsi="Arial" w:cs="Arial"/>
        </w:rPr>
        <w:t>Un 33.3% que se distribuirá de manera igualitaria entre todas las planillas de candidaturas independientes al cargo de regidoras o regidores.</w:t>
      </w:r>
    </w:p>
    <w:p w:rsidR="00D85A55" w:rsidRPr="002F42B2" w:rsidRDefault="00D85A55" w:rsidP="00D85A55">
      <w:pPr>
        <w:rPr>
          <w:rFonts w:ascii="Arial" w:hAnsi="Arial" w:cs="Arial"/>
        </w:rPr>
      </w:pPr>
      <w:r w:rsidRPr="002F42B2">
        <w:rPr>
          <w:rFonts w:ascii="Arial" w:hAnsi="Arial" w:cs="Arial"/>
        </w:rPr>
        <w:t>Por su parte, el numeral 2 del artículo en cita, establece que, en el supuesto de que una sola candidatura obtenga su registro para cualquiera de los cargos mencionados en las fracciones II y III, no podrá recibir financiamiento que exceda del cincuenta por ciento (50%) de los montos obtenidos con base en los porcentajes señalados.</w:t>
      </w:r>
    </w:p>
    <w:p w:rsidR="00D85A55" w:rsidRPr="002F42B2" w:rsidRDefault="00D85A55" w:rsidP="00D85A55">
      <w:pPr>
        <w:rPr>
          <w:rFonts w:ascii="Arial" w:hAnsi="Arial" w:cs="Arial"/>
        </w:rPr>
      </w:pPr>
      <w:r w:rsidRPr="002F42B2">
        <w:rPr>
          <w:rFonts w:ascii="Arial" w:hAnsi="Arial" w:cs="Arial"/>
        </w:rPr>
        <w:t>En todo caso, el monto a distribuir entre el total de candidaturas independientes, será igual a la suma que deba recibir un partido político de nuevo registro, para lo cual el Consejo Estatal presupuestará, para tales efectos, la cantidad que sea necesaria, en forma separada del financiamiento que corresponde a los partidos políticos.</w:t>
      </w:r>
    </w:p>
    <w:p w:rsidR="00447860" w:rsidRDefault="00447860" w:rsidP="00447860">
      <w:pPr>
        <w:rPr>
          <w:rFonts w:ascii="Arial" w:hAnsi="Arial" w:cs="Arial"/>
        </w:rPr>
      </w:pPr>
      <w:r w:rsidRPr="002F42B2">
        <w:rPr>
          <w:rFonts w:ascii="Arial" w:hAnsi="Arial" w:cs="Arial"/>
        </w:rPr>
        <w:t xml:space="preserve">Conforme a las disposiciones anteriores, la cantidad de </w:t>
      </w:r>
      <w:r w:rsidRPr="002F42B2">
        <w:rPr>
          <w:rFonts w:ascii="Arial" w:hAnsi="Arial" w:cs="Arial"/>
          <w:b/>
          <w:bCs/>
        </w:rPr>
        <w:t xml:space="preserve">$1’213,762.72 (un millón doscientos trece mil setecientos sesenta y dos pesos 72/100 m. n.) </w:t>
      </w:r>
      <w:r w:rsidRPr="002F42B2">
        <w:rPr>
          <w:rFonts w:ascii="Arial" w:hAnsi="Arial" w:cs="Arial"/>
          <w:bCs/>
        </w:rPr>
        <w:t>que corresponde a</w:t>
      </w:r>
      <w:r w:rsidRPr="002F42B2">
        <w:rPr>
          <w:rFonts w:ascii="Arial" w:hAnsi="Arial" w:cs="Arial"/>
        </w:rPr>
        <w:t>l conjunto de candidaturas independientes por concepto de financiamiento público para gastos de campaña en el ejercicio 2024 será distribuida de conformidad con lo siguiente</w:t>
      </w:r>
      <w:r w:rsidR="00D17F31" w:rsidRPr="002F42B2">
        <w:rPr>
          <w:rStyle w:val="Refdenotaalpie"/>
          <w:rFonts w:ascii="Arial" w:hAnsi="Arial" w:cs="Arial"/>
          <w:color w:val="000000" w:themeColor="text1"/>
        </w:rPr>
        <w:footnoteReference w:id="2"/>
      </w:r>
      <w:r w:rsidRPr="002F42B2">
        <w:rPr>
          <w:rFonts w:ascii="Arial" w:hAnsi="Arial" w:cs="Arial"/>
        </w:rPr>
        <w:t>:</w:t>
      </w:r>
    </w:p>
    <w:tbl>
      <w:tblPr>
        <w:tblStyle w:val="Tablaconcuadrcula"/>
        <w:tblW w:w="0" w:type="auto"/>
        <w:tblLook w:val="04A0" w:firstRow="1" w:lastRow="0" w:firstColumn="1" w:lastColumn="0" w:noHBand="0" w:noVBand="1"/>
      </w:tblPr>
      <w:tblGrid>
        <w:gridCol w:w="3686"/>
        <w:gridCol w:w="1658"/>
        <w:gridCol w:w="1581"/>
        <w:gridCol w:w="1903"/>
      </w:tblGrid>
      <w:tr w:rsidR="00447860" w:rsidTr="00D15AAB">
        <w:tc>
          <w:tcPr>
            <w:tcW w:w="3686" w:type="dxa"/>
            <w:vMerge w:val="restart"/>
            <w:shd w:val="clear" w:color="auto" w:fill="993366"/>
            <w:vAlign w:val="center"/>
          </w:tcPr>
          <w:p w:rsidR="00447860" w:rsidRPr="00D15AAB" w:rsidRDefault="00447860" w:rsidP="00447860">
            <w:pPr>
              <w:spacing w:before="40" w:after="4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 xml:space="preserve">Candidatura independiente </w:t>
            </w:r>
          </w:p>
        </w:tc>
        <w:tc>
          <w:tcPr>
            <w:tcW w:w="1658" w:type="dxa"/>
            <w:shd w:val="clear" w:color="auto" w:fill="993366"/>
            <w:vAlign w:val="center"/>
          </w:tcPr>
          <w:p w:rsidR="00447860" w:rsidRPr="00D15AAB" w:rsidRDefault="00447860" w:rsidP="00447860">
            <w:pPr>
              <w:spacing w:before="40" w:after="4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Porcentaje</w:t>
            </w:r>
          </w:p>
        </w:tc>
        <w:tc>
          <w:tcPr>
            <w:tcW w:w="1581" w:type="dxa"/>
            <w:shd w:val="clear" w:color="auto" w:fill="993366"/>
            <w:vAlign w:val="center"/>
          </w:tcPr>
          <w:p w:rsidR="00447860" w:rsidRPr="00D15AAB" w:rsidRDefault="00447860" w:rsidP="00447860">
            <w:pPr>
              <w:spacing w:before="40" w:after="4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Monto total de financiamiento</w:t>
            </w:r>
          </w:p>
        </w:tc>
        <w:tc>
          <w:tcPr>
            <w:tcW w:w="1903" w:type="dxa"/>
            <w:shd w:val="clear" w:color="auto" w:fill="993366"/>
            <w:vAlign w:val="center"/>
          </w:tcPr>
          <w:p w:rsidR="00447860" w:rsidRPr="00D15AAB" w:rsidRDefault="00447860" w:rsidP="00447860">
            <w:pPr>
              <w:spacing w:before="40" w:after="4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Monto a distribuir de forma igualitaria</w:t>
            </w:r>
          </w:p>
        </w:tc>
      </w:tr>
      <w:tr w:rsidR="00447860" w:rsidTr="00D15AAB">
        <w:tc>
          <w:tcPr>
            <w:tcW w:w="3686" w:type="dxa"/>
            <w:vMerge/>
            <w:shd w:val="clear" w:color="auto" w:fill="993366"/>
            <w:vAlign w:val="center"/>
          </w:tcPr>
          <w:p w:rsidR="00447860" w:rsidRPr="00D15AAB" w:rsidRDefault="00447860" w:rsidP="00447860">
            <w:pPr>
              <w:spacing w:before="40" w:after="40"/>
              <w:jc w:val="center"/>
              <w:rPr>
                <w:rFonts w:ascii="Arial" w:hAnsi="Arial" w:cs="Arial"/>
                <w:b/>
                <w:color w:val="FFFFFF" w:themeColor="background1"/>
                <w:sz w:val="16"/>
                <w:szCs w:val="16"/>
              </w:rPr>
            </w:pPr>
          </w:p>
        </w:tc>
        <w:tc>
          <w:tcPr>
            <w:tcW w:w="1658" w:type="dxa"/>
            <w:shd w:val="clear" w:color="auto" w:fill="993366"/>
            <w:vAlign w:val="center"/>
          </w:tcPr>
          <w:p w:rsidR="00447860" w:rsidRPr="00D15AAB" w:rsidRDefault="00447860" w:rsidP="00447860">
            <w:pPr>
              <w:spacing w:before="40" w:after="4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A</w:t>
            </w:r>
          </w:p>
        </w:tc>
        <w:tc>
          <w:tcPr>
            <w:tcW w:w="1581" w:type="dxa"/>
            <w:shd w:val="clear" w:color="auto" w:fill="993366"/>
            <w:vAlign w:val="center"/>
          </w:tcPr>
          <w:p w:rsidR="00447860" w:rsidRPr="00D15AAB" w:rsidRDefault="00447860" w:rsidP="00447860">
            <w:pPr>
              <w:spacing w:before="40" w:after="4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B</w:t>
            </w:r>
          </w:p>
        </w:tc>
        <w:tc>
          <w:tcPr>
            <w:tcW w:w="1903" w:type="dxa"/>
            <w:shd w:val="clear" w:color="auto" w:fill="993366"/>
            <w:vAlign w:val="center"/>
          </w:tcPr>
          <w:p w:rsidR="00447860" w:rsidRPr="00D15AAB" w:rsidRDefault="00447860" w:rsidP="00447860">
            <w:pPr>
              <w:spacing w:before="40" w:after="4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C = A × B</w:t>
            </w:r>
          </w:p>
        </w:tc>
      </w:tr>
      <w:tr w:rsidR="00447860" w:rsidTr="00D15AAB">
        <w:tc>
          <w:tcPr>
            <w:tcW w:w="3686" w:type="dxa"/>
            <w:vAlign w:val="center"/>
          </w:tcPr>
          <w:p w:rsidR="00447860" w:rsidRPr="00D15AAB" w:rsidRDefault="00447860" w:rsidP="00447860">
            <w:pPr>
              <w:spacing w:before="40" w:after="40"/>
              <w:jc w:val="center"/>
              <w:rPr>
                <w:rFonts w:ascii="Arial" w:hAnsi="Arial" w:cs="Arial"/>
                <w:b/>
                <w:sz w:val="16"/>
                <w:szCs w:val="16"/>
              </w:rPr>
            </w:pPr>
            <w:r w:rsidRPr="00D15AAB">
              <w:rPr>
                <w:rFonts w:ascii="Arial" w:hAnsi="Arial" w:cs="Arial"/>
                <w:b/>
                <w:sz w:val="16"/>
                <w:szCs w:val="16"/>
              </w:rPr>
              <w:t>Gubernatura</w:t>
            </w:r>
          </w:p>
        </w:tc>
        <w:tc>
          <w:tcPr>
            <w:tcW w:w="1658" w:type="dxa"/>
            <w:vAlign w:val="center"/>
          </w:tcPr>
          <w:p w:rsidR="00447860" w:rsidRPr="00D15AAB" w:rsidRDefault="00447860" w:rsidP="00447860">
            <w:pPr>
              <w:spacing w:before="40" w:after="40"/>
              <w:jc w:val="center"/>
              <w:rPr>
                <w:rFonts w:ascii="Arial" w:hAnsi="Arial" w:cs="Arial"/>
                <w:b/>
                <w:sz w:val="16"/>
                <w:szCs w:val="16"/>
              </w:rPr>
            </w:pPr>
            <w:r w:rsidRPr="00D15AAB">
              <w:rPr>
                <w:rFonts w:ascii="Arial" w:hAnsi="Arial" w:cs="Arial"/>
                <w:b/>
                <w:sz w:val="16"/>
                <w:szCs w:val="16"/>
              </w:rPr>
              <w:t>33.3%</w:t>
            </w:r>
          </w:p>
        </w:tc>
        <w:tc>
          <w:tcPr>
            <w:tcW w:w="1581" w:type="dxa"/>
            <w:vAlign w:val="center"/>
          </w:tcPr>
          <w:p w:rsidR="00447860" w:rsidRPr="00D15AAB" w:rsidRDefault="00447860" w:rsidP="00447860">
            <w:pPr>
              <w:spacing w:before="40" w:after="40"/>
              <w:jc w:val="center"/>
              <w:rPr>
                <w:rFonts w:ascii="Arial" w:hAnsi="Arial" w:cs="Arial"/>
                <w:b/>
                <w:sz w:val="16"/>
                <w:szCs w:val="16"/>
              </w:rPr>
            </w:pPr>
            <w:r w:rsidRPr="00D15AAB">
              <w:rPr>
                <w:rFonts w:ascii="Arial" w:hAnsi="Arial" w:cs="Arial"/>
                <w:b/>
                <w:sz w:val="16"/>
                <w:szCs w:val="16"/>
              </w:rPr>
              <w:t>$1’213,762.72</w:t>
            </w:r>
          </w:p>
        </w:tc>
        <w:tc>
          <w:tcPr>
            <w:tcW w:w="1903" w:type="dxa"/>
            <w:vAlign w:val="center"/>
          </w:tcPr>
          <w:p w:rsidR="00447860" w:rsidRPr="00D15AAB" w:rsidRDefault="004A2073" w:rsidP="00447860">
            <w:pPr>
              <w:spacing w:before="40" w:after="40"/>
              <w:jc w:val="center"/>
              <w:rPr>
                <w:rFonts w:ascii="Arial" w:hAnsi="Arial" w:cs="Arial"/>
                <w:b/>
                <w:sz w:val="16"/>
                <w:szCs w:val="16"/>
              </w:rPr>
            </w:pPr>
            <w:r w:rsidRPr="00D15AAB">
              <w:rPr>
                <w:rFonts w:ascii="Arial" w:hAnsi="Arial" w:cs="Arial"/>
                <w:b/>
                <w:sz w:val="16"/>
                <w:szCs w:val="16"/>
              </w:rPr>
              <w:t>$404,182.99</w:t>
            </w:r>
          </w:p>
        </w:tc>
      </w:tr>
      <w:tr w:rsidR="00447860" w:rsidTr="00D15AAB">
        <w:tc>
          <w:tcPr>
            <w:tcW w:w="3686" w:type="dxa"/>
            <w:vAlign w:val="center"/>
          </w:tcPr>
          <w:p w:rsidR="00447860" w:rsidRPr="00D15AAB" w:rsidRDefault="00447860" w:rsidP="00447860">
            <w:pPr>
              <w:spacing w:before="40" w:after="40"/>
              <w:jc w:val="center"/>
              <w:rPr>
                <w:rFonts w:ascii="Arial" w:hAnsi="Arial" w:cs="Arial"/>
                <w:b/>
                <w:sz w:val="16"/>
                <w:szCs w:val="16"/>
              </w:rPr>
            </w:pPr>
            <w:r w:rsidRPr="00D15AAB">
              <w:rPr>
                <w:rFonts w:ascii="Arial" w:hAnsi="Arial" w:cs="Arial"/>
                <w:b/>
                <w:sz w:val="16"/>
                <w:szCs w:val="16"/>
              </w:rPr>
              <w:t>Diputaciones</w:t>
            </w:r>
          </w:p>
        </w:tc>
        <w:tc>
          <w:tcPr>
            <w:tcW w:w="1658" w:type="dxa"/>
            <w:vAlign w:val="center"/>
          </w:tcPr>
          <w:p w:rsidR="00447860" w:rsidRPr="00D15AAB" w:rsidRDefault="00447860" w:rsidP="00447860">
            <w:pPr>
              <w:spacing w:before="40" w:after="40"/>
              <w:jc w:val="center"/>
              <w:rPr>
                <w:rFonts w:ascii="Arial" w:hAnsi="Arial" w:cs="Arial"/>
                <w:b/>
                <w:sz w:val="16"/>
                <w:szCs w:val="16"/>
              </w:rPr>
            </w:pPr>
            <w:r w:rsidRPr="00D15AAB">
              <w:rPr>
                <w:rFonts w:ascii="Arial" w:hAnsi="Arial" w:cs="Arial"/>
                <w:b/>
                <w:sz w:val="16"/>
                <w:szCs w:val="16"/>
              </w:rPr>
              <w:t>33.3%</w:t>
            </w:r>
          </w:p>
        </w:tc>
        <w:tc>
          <w:tcPr>
            <w:tcW w:w="1581" w:type="dxa"/>
            <w:vAlign w:val="center"/>
          </w:tcPr>
          <w:p w:rsidR="00447860" w:rsidRPr="00D15AAB" w:rsidRDefault="00447860" w:rsidP="00447860">
            <w:pPr>
              <w:spacing w:before="40" w:after="40"/>
              <w:jc w:val="center"/>
              <w:rPr>
                <w:rFonts w:ascii="Arial" w:hAnsi="Arial" w:cs="Arial"/>
                <w:b/>
                <w:sz w:val="16"/>
                <w:szCs w:val="16"/>
              </w:rPr>
            </w:pPr>
            <w:r w:rsidRPr="00D15AAB">
              <w:rPr>
                <w:rFonts w:ascii="Arial" w:hAnsi="Arial" w:cs="Arial"/>
                <w:b/>
                <w:sz w:val="16"/>
                <w:szCs w:val="16"/>
              </w:rPr>
              <w:t>$1’213,762.72</w:t>
            </w:r>
          </w:p>
        </w:tc>
        <w:tc>
          <w:tcPr>
            <w:tcW w:w="1903" w:type="dxa"/>
            <w:vAlign w:val="center"/>
          </w:tcPr>
          <w:p w:rsidR="00447860" w:rsidRPr="00D15AAB" w:rsidRDefault="004A2073" w:rsidP="00447860">
            <w:pPr>
              <w:spacing w:before="40" w:after="40"/>
              <w:jc w:val="center"/>
              <w:rPr>
                <w:rFonts w:ascii="Arial" w:hAnsi="Arial" w:cs="Arial"/>
                <w:b/>
                <w:sz w:val="16"/>
                <w:szCs w:val="16"/>
              </w:rPr>
            </w:pPr>
            <w:r w:rsidRPr="00D15AAB">
              <w:rPr>
                <w:rFonts w:ascii="Arial" w:hAnsi="Arial" w:cs="Arial"/>
                <w:b/>
                <w:sz w:val="16"/>
                <w:szCs w:val="16"/>
              </w:rPr>
              <w:t>$404,182.99</w:t>
            </w:r>
          </w:p>
        </w:tc>
      </w:tr>
      <w:tr w:rsidR="00447860" w:rsidTr="00D15AAB">
        <w:tc>
          <w:tcPr>
            <w:tcW w:w="3686" w:type="dxa"/>
            <w:vAlign w:val="center"/>
          </w:tcPr>
          <w:p w:rsidR="00447860" w:rsidRPr="00D7069A" w:rsidRDefault="00447860" w:rsidP="00447860">
            <w:pPr>
              <w:spacing w:before="40" w:after="40"/>
              <w:jc w:val="center"/>
              <w:rPr>
                <w:rFonts w:ascii="Arial" w:hAnsi="Arial" w:cs="Arial"/>
                <w:b/>
                <w:spacing w:val="-4"/>
                <w:sz w:val="16"/>
                <w:szCs w:val="16"/>
              </w:rPr>
            </w:pPr>
            <w:r w:rsidRPr="00D7069A">
              <w:rPr>
                <w:rFonts w:ascii="Arial" w:hAnsi="Arial" w:cs="Arial"/>
                <w:b/>
                <w:spacing w:val="-4"/>
                <w:sz w:val="16"/>
                <w:szCs w:val="16"/>
              </w:rPr>
              <w:t>Presidencia</w:t>
            </w:r>
            <w:r w:rsidR="00634901" w:rsidRPr="00D7069A">
              <w:rPr>
                <w:rFonts w:ascii="Arial" w:hAnsi="Arial" w:cs="Arial"/>
                <w:b/>
                <w:spacing w:val="-4"/>
                <w:sz w:val="16"/>
                <w:szCs w:val="16"/>
              </w:rPr>
              <w:t>s</w:t>
            </w:r>
            <w:r w:rsidRPr="00D7069A">
              <w:rPr>
                <w:rFonts w:ascii="Arial" w:hAnsi="Arial" w:cs="Arial"/>
                <w:b/>
                <w:spacing w:val="-4"/>
                <w:sz w:val="16"/>
                <w:szCs w:val="16"/>
              </w:rPr>
              <w:t xml:space="preserve"> Municipal</w:t>
            </w:r>
            <w:r w:rsidR="00634901" w:rsidRPr="00D7069A">
              <w:rPr>
                <w:rFonts w:ascii="Arial" w:hAnsi="Arial" w:cs="Arial"/>
                <w:b/>
                <w:spacing w:val="-4"/>
                <w:sz w:val="16"/>
                <w:szCs w:val="16"/>
              </w:rPr>
              <w:t>es</w:t>
            </w:r>
            <w:r w:rsidRPr="00D7069A">
              <w:rPr>
                <w:rFonts w:ascii="Arial" w:hAnsi="Arial" w:cs="Arial"/>
                <w:b/>
                <w:spacing w:val="-4"/>
                <w:sz w:val="16"/>
                <w:szCs w:val="16"/>
              </w:rPr>
              <w:t xml:space="preserve"> y Regidurías</w:t>
            </w:r>
          </w:p>
        </w:tc>
        <w:tc>
          <w:tcPr>
            <w:tcW w:w="1658" w:type="dxa"/>
            <w:vAlign w:val="center"/>
          </w:tcPr>
          <w:p w:rsidR="00447860" w:rsidRPr="00D7069A" w:rsidRDefault="00447860" w:rsidP="00447860">
            <w:pPr>
              <w:spacing w:before="40" w:after="40"/>
              <w:jc w:val="center"/>
              <w:rPr>
                <w:rFonts w:ascii="Arial" w:hAnsi="Arial" w:cs="Arial"/>
                <w:b/>
                <w:sz w:val="16"/>
                <w:szCs w:val="16"/>
              </w:rPr>
            </w:pPr>
            <w:r w:rsidRPr="00D7069A">
              <w:rPr>
                <w:rFonts w:ascii="Arial" w:hAnsi="Arial" w:cs="Arial"/>
                <w:b/>
                <w:sz w:val="16"/>
                <w:szCs w:val="16"/>
              </w:rPr>
              <w:t>33.3%</w:t>
            </w:r>
          </w:p>
        </w:tc>
        <w:tc>
          <w:tcPr>
            <w:tcW w:w="1581" w:type="dxa"/>
            <w:vAlign w:val="center"/>
          </w:tcPr>
          <w:p w:rsidR="00447860" w:rsidRPr="00D7069A" w:rsidRDefault="00447860" w:rsidP="00447860">
            <w:pPr>
              <w:spacing w:before="40" w:after="40"/>
              <w:jc w:val="center"/>
              <w:rPr>
                <w:rFonts w:ascii="Arial" w:hAnsi="Arial" w:cs="Arial"/>
                <w:b/>
                <w:sz w:val="16"/>
                <w:szCs w:val="16"/>
              </w:rPr>
            </w:pPr>
            <w:r w:rsidRPr="00D7069A">
              <w:rPr>
                <w:rFonts w:ascii="Arial" w:hAnsi="Arial" w:cs="Arial"/>
                <w:b/>
                <w:sz w:val="16"/>
                <w:szCs w:val="16"/>
              </w:rPr>
              <w:t>$1’213,762.72</w:t>
            </w:r>
          </w:p>
        </w:tc>
        <w:tc>
          <w:tcPr>
            <w:tcW w:w="1903" w:type="dxa"/>
            <w:vAlign w:val="center"/>
          </w:tcPr>
          <w:p w:rsidR="00447860" w:rsidRPr="00D7069A" w:rsidRDefault="004A2073" w:rsidP="00447860">
            <w:pPr>
              <w:spacing w:before="40" w:after="40"/>
              <w:jc w:val="center"/>
              <w:rPr>
                <w:rFonts w:ascii="Arial" w:hAnsi="Arial" w:cs="Arial"/>
                <w:b/>
                <w:sz w:val="16"/>
                <w:szCs w:val="16"/>
              </w:rPr>
            </w:pPr>
            <w:r w:rsidRPr="00D7069A">
              <w:rPr>
                <w:rFonts w:ascii="Arial" w:hAnsi="Arial" w:cs="Arial"/>
                <w:b/>
                <w:sz w:val="16"/>
                <w:szCs w:val="16"/>
              </w:rPr>
              <w:t>$404,182.99</w:t>
            </w:r>
          </w:p>
        </w:tc>
      </w:tr>
    </w:tbl>
    <w:p w:rsidR="00634901" w:rsidRPr="002F42B2" w:rsidRDefault="00634901" w:rsidP="00634901">
      <w:pPr>
        <w:rPr>
          <w:rFonts w:ascii="Arial" w:hAnsi="Arial" w:cs="Arial"/>
        </w:rPr>
      </w:pPr>
      <w:r w:rsidRPr="002F42B2">
        <w:rPr>
          <w:rFonts w:ascii="Arial" w:hAnsi="Arial" w:cs="Arial"/>
        </w:rPr>
        <w:t>En el caso de los montos totales que corresponden a las candidaturas independientes a Diputaciones, Presidencias Municipales y Regidurías se deberá distribuir de manera igualitaria entre todas las fórmulas y las planillas correspondientes.</w:t>
      </w:r>
    </w:p>
    <w:p w:rsidR="00B50AAA" w:rsidRPr="002F42B2" w:rsidRDefault="00D17F31" w:rsidP="00B50AAA">
      <w:pPr>
        <w:pStyle w:val="Ttulo2"/>
        <w:rPr>
          <w:rFonts w:ascii="Arial" w:hAnsi="Arial" w:cs="Arial"/>
          <w:sz w:val="23"/>
        </w:rPr>
      </w:pPr>
      <w:r w:rsidRPr="002F42B2">
        <w:rPr>
          <w:rFonts w:ascii="Arial" w:hAnsi="Arial" w:cs="Arial"/>
          <w:sz w:val="23"/>
        </w:rPr>
        <w:t xml:space="preserve">Distribución igualitaria del </w:t>
      </w:r>
      <w:r w:rsidR="00B50AAA" w:rsidRPr="002F42B2">
        <w:rPr>
          <w:rFonts w:ascii="Arial" w:hAnsi="Arial" w:cs="Arial"/>
          <w:sz w:val="23"/>
        </w:rPr>
        <w:t xml:space="preserve">financiamiento público </w:t>
      </w:r>
      <w:r w:rsidRPr="002F42B2">
        <w:rPr>
          <w:rFonts w:ascii="Arial" w:hAnsi="Arial" w:cs="Arial"/>
          <w:sz w:val="23"/>
        </w:rPr>
        <w:t xml:space="preserve">entre las </w:t>
      </w:r>
      <w:r w:rsidR="00B50AAA" w:rsidRPr="002F42B2">
        <w:rPr>
          <w:rFonts w:ascii="Arial" w:hAnsi="Arial" w:cs="Arial"/>
          <w:sz w:val="23"/>
        </w:rPr>
        <w:t>candidaturas independientes</w:t>
      </w:r>
      <w:r w:rsidRPr="002F42B2">
        <w:rPr>
          <w:rFonts w:ascii="Arial" w:hAnsi="Arial" w:cs="Arial"/>
          <w:sz w:val="23"/>
        </w:rPr>
        <w:t xml:space="preserve"> registradas</w:t>
      </w:r>
    </w:p>
    <w:p w:rsidR="00D17F31" w:rsidRPr="002F42B2" w:rsidRDefault="00D17F31" w:rsidP="00D17F31">
      <w:pPr>
        <w:rPr>
          <w:rFonts w:ascii="Arial" w:hAnsi="Arial" w:cs="Arial"/>
        </w:rPr>
      </w:pPr>
      <w:r w:rsidRPr="002F42B2">
        <w:rPr>
          <w:rFonts w:ascii="Arial" w:hAnsi="Arial" w:cs="Arial"/>
        </w:rPr>
        <w:t xml:space="preserve">Que, considerando las disposiciones mencionadas, con excepción del monto de financiamiento público que corresponde a la candidatura independiente a la Gubernatura, en virtud de que, ninguno de los aspirantes que manifestaron su intención alcanzó el porcentaje de apoyo de la ciudadanía requerido, lo conducente es distribuir </w:t>
      </w:r>
      <w:r w:rsidR="00171C2D" w:rsidRPr="002F42B2">
        <w:rPr>
          <w:rFonts w:ascii="Arial" w:hAnsi="Arial" w:cs="Arial"/>
        </w:rPr>
        <w:t>los</w:t>
      </w:r>
      <w:r w:rsidRPr="002F42B2">
        <w:rPr>
          <w:rFonts w:ascii="Arial" w:hAnsi="Arial" w:cs="Arial"/>
        </w:rPr>
        <w:t xml:space="preserve"> monto</w:t>
      </w:r>
      <w:r w:rsidR="00171C2D" w:rsidRPr="002F42B2">
        <w:rPr>
          <w:rFonts w:ascii="Arial" w:hAnsi="Arial" w:cs="Arial"/>
        </w:rPr>
        <w:t>s</w:t>
      </w:r>
      <w:r w:rsidRPr="002F42B2">
        <w:rPr>
          <w:rFonts w:ascii="Arial" w:hAnsi="Arial" w:cs="Arial"/>
        </w:rPr>
        <w:t xml:space="preserve"> restante</w:t>
      </w:r>
      <w:r w:rsidR="00171C2D" w:rsidRPr="002F42B2">
        <w:rPr>
          <w:rFonts w:ascii="Arial" w:hAnsi="Arial" w:cs="Arial"/>
        </w:rPr>
        <w:t>s</w:t>
      </w:r>
      <w:r w:rsidRPr="002F42B2">
        <w:rPr>
          <w:rFonts w:ascii="Arial" w:hAnsi="Arial" w:cs="Arial"/>
        </w:rPr>
        <w:t xml:space="preserve"> de acuerdo con el tipo de elección y al número de personas que obtuvieron su registro como candidatas independientes, de conformidad con lo siguiente:</w:t>
      </w:r>
    </w:p>
    <w:p w:rsidR="007E41ED" w:rsidRPr="002F42B2" w:rsidRDefault="007E41ED" w:rsidP="007E41ED">
      <w:pPr>
        <w:pStyle w:val="Ttulo3"/>
        <w:rPr>
          <w:rFonts w:ascii="Arial" w:hAnsi="Arial" w:cs="Arial"/>
        </w:rPr>
      </w:pPr>
      <w:r w:rsidRPr="002F42B2">
        <w:rPr>
          <w:rFonts w:ascii="Arial" w:hAnsi="Arial" w:cs="Arial"/>
        </w:rPr>
        <w:t>Financiamiento público local para gastos de campaña para la candidatura independiente a la Diputación local</w:t>
      </w:r>
    </w:p>
    <w:p w:rsidR="007E41ED" w:rsidRPr="002F42B2" w:rsidRDefault="007E41ED" w:rsidP="007E41ED">
      <w:pPr>
        <w:rPr>
          <w:rFonts w:ascii="Arial" w:hAnsi="Arial" w:cs="Arial"/>
        </w:rPr>
      </w:pPr>
      <w:r w:rsidRPr="002F42B2">
        <w:rPr>
          <w:rFonts w:ascii="Arial" w:hAnsi="Arial" w:cs="Arial"/>
        </w:rPr>
        <w:t xml:space="preserve">En virtud de que, para las Diputaciones locales, sólo una persona obtuvo su registro en la modalidad de candidatura independiente para el cargo de diputación al distrito </w:t>
      </w:r>
      <w:r w:rsidR="004F329A" w:rsidRPr="002F42B2">
        <w:rPr>
          <w:rFonts w:ascii="Arial" w:hAnsi="Arial" w:cs="Arial"/>
        </w:rPr>
        <w:t>13</w:t>
      </w:r>
      <w:r w:rsidRPr="002F42B2">
        <w:rPr>
          <w:rFonts w:ascii="Arial" w:hAnsi="Arial" w:cs="Arial"/>
        </w:rPr>
        <w:t xml:space="preserve">, resulta aplicable el porcentaje señalado en el artículo 320 numeral 2 de la Ley Electoral, es decir, el monto de financiamiento no debe exceder del 50% del monto obtenido a partir de la aplicación del porcentaje señalado en la fracción II del numeral 1 del artículo mencionado. </w:t>
      </w:r>
    </w:p>
    <w:p w:rsidR="007E41ED" w:rsidRDefault="007E41ED" w:rsidP="007E41ED">
      <w:pPr>
        <w:rPr>
          <w:rFonts w:ascii="Arial" w:hAnsi="Arial" w:cs="Arial"/>
        </w:rPr>
      </w:pPr>
      <w:r w:rsidRPr="002F42B2">
        <w:rPr>
          <w:rFonts w:ascii="Arial" w:hAnsi="Arial" w:cs="Arial"/>
        </w:rPr>
        <w:t xml:space="preserve">En ese tenor, a la persona candidata independiente a la diputación por el distrito </w:t>
      </w:r>
      <w:r w:rsidR="00AC7EF5" w:rsidRPr="002F42B2">
        <w:rPr>
          <w:rFonts w:ascii="Arial" w:hAnsi="Arial" w:cs="Arial"/>
        </w:rPr>
        <w:t>13</w:t>
      </w:r>
      <w:r w:rsidRPr="002F42B2">
        <w:rPr>
          <w:rFonts w:ascii="Arial" w:hAnsi="Arial" w:cs="Arial"/>
        </w:rPr>
        <w:t xml:space="preserve"> con cabecera en</w:t>
      </w:r>
      <w:r w:rsidR="00803D26">
        <w:rPr>
          <w:rFonts w:ascii="Arial" w:hAnsi="Arial" w:cs="Arial"/>
        </w:rPr>
        <w:t xml:space="preserve"> Cunduacán</w:t>
      </w:r>
      <w:r w:rsidRPr="002F42B2">
        <w:rPr>
          <w:rFonts w:ascii="Arial" w:hAnsi="Arial" w:cs="Arial"/>
        </w:rPr>
        <w:t xml:space="preserve">, corresponde la cantidad de </w:t>
      </w:r>
      <w:r w:rsidRPr="002F42B2">
        <w:rPr>
          <w:rFonts w:ascii="Arial" w:hAnsi="Arial" w:cs="Arial"/>
          <w:b/>
        </w:rPr>
        <w:t>$202,</w:t>
      </w:r>
      <w:r w:rsidR="004A2073" w:rsidRPr="002F42B2">
        <w:rPr>
          <w:rFonts w:ascii="Arial" w:hAnsi="Arial" w:cs="Arial"/>
          <w:b/>
        </w:rPr>
        <w:t>091</w:t>
      </w:r>
      <w:r w:rsidRPr="002F42B2">
        <w:rPr>
          <w:rFonts w:ascii="Arial" w:hAnsi="Arial" w:cs="Arial"/>
          <w:b/>
        </w:rPr>
        <w:t>.</w:t>
      </w:r>
      <w:r w:rsidR="004A2073" w:rsidRPr="002F42B2">
        <w:rPr>
          <w:rFonts w:ascii="Arial" w:hAnsi="Arial" w:cs="Arial"/>
          <w:b/>
        </w:rPr>
        <w:t>4</w:t>
      </w:r>
      <w:r w:rsidRPr="002F42B2">
        <w:rPr>
          <w:rFonts w:ascii="Arial" w:hAnsi="Arial" w:cs="Arial"/>
          <w:b/>
        </w:rPr>
        <w:t xml:space="preserve">9 </w:t>
      </w:r>
      <w:r w:rsidR="00D97F0E" w:rsidRPr="002F42B2">
        <w:rPr>
          <w:rFonts w:ascii="Arial" w:hAnsi="Arial" w:cs="Arial"/>
          <w:b/>
        </w:rPr>
        <w:t xml:space="preserve">(doscientos dos mil noventa y </w:t>
      </w:r>
      <w:r w:rsidR="004A2073" w:rsidRPr="002F42B2">
        <w:rPr>
          <w:rFonts w:ascii="Arial" w:hAnsi="Arial" w:cs="Arial"/>
          <w:b/>
        </w:rPr>
        <w:t xml:space="preserve">un </w:t>
      </w:r>
      <w:r w:rsidR="00D97F0E" w:rsidRPr="002F42B2">
        <w:rPr>
          <w:rFonts w:ascii="Arial" w:hAnsi="Arial" w:cs="Arial"/>
          <w:b/>
        </w:rPr>
        <w:t xml:space="preserve">pesos </w:t>
      </w:r>
      <w:r w:rsidR="004A2073" w:rsidRPr="002F42B2">
        <w:rPr>
          <w:rFonts w:ascii="Arial" w:hAnsi="Arial" w:cs="Arial"/>
          <w:b/>
        </w:rPr>
        <w:t>4</w:t>
      </w:r>
      <w:r w:rsidR="00D97F0E" w:rsidRPr="002F42B2">
        <w:rPr>
          <w:rFonts w:ascii="Arial" w:hAnsi="Arial" w:cs="Arial"/>
          <w:b/>
        </w:rPr>
        <w:t>9/100 m. n.)</w:t>
      </w:r>
      <w:r w:rsidR="00D97F0E" w:rsidRPr="002F42B2">
        <w:rPr>
          <w:rFonts w:ascii="Arial" w:hAnsi="Arial" w:cs="Arial"/>
        </w:rPr>
        <w:t xml:space="preserve"> </w:t>
      </w:r>
      <w:r w:rsidRPr="002F42B2">
        <w:rPr>
          <w:rFonts w:ascii="Arial" w:hAnsi="Arial" w:cs="Arial"/>
        </w:rPr>
        <w:t>que resulta de la operación aritmética siguiente:</w:t>
      </w:r>
    </w:p>
    <w:tbl>
      <w:tblPr>
        <w:tblStyle w:val="Tablaconcuadrcula"/>
        <w:tblW w:w="0" w:type="auto"/>
        <w:tblLook w:val="04A0" w:firstRow="1" w:lastRow="0" w:firstColumn="1" w:lastColumn="0" w:noHBand="0" w:noVBand="1"/>
      </w:tblPr>
      <w:tblGrid>
        <w:gridCol w:w="2207"/>
        <w:gridCol w:w="2207"/>
        <w:gridCol w:w="2207"/>
        <w:gridCol w:w="2207"/>
      </w:tblGrid>
      <w:tr w:rsidR="00BC04DC" w:rsidTr="00D15AAB">
        <w:tc>
          <w:tcPr>
            <w:tcW w:w="2207" w:type="dxa"/>
            <w:vMerge w:val="restart"/>
            <w:shd w:val="clear" w:color="auto" w:fill="993366"/>
            <w:vAlign w:val="center"/>
          </w:tcPr>
          <w:p w:rsidR="00BC04DC" w:rsidRPr="00D15AAB" w:rsidRDefault="00BC04DC" w:rsidP="00725283">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Total de candidaturas registradas</w:t>
            </w:r>
          </w:p>
        </w:tc>
        <w:tc>
          <w:tcPr>
            <w:tcW w:w="2207" w:type="dxa"/>
            <w:shd w:val="clear" w:color="auto" w:fill="993366"/>
            <w:vAlign w:val="center"/>
          </w:tcPr>
          <w:p w:rsidR="00BC04DC" w:rsidRPr="00D15AAB" w:rsidRDefault="00BC04DC" w:rsidP="00A352B2">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Porcentaje a aplicar (candidatur</w:t>
            </w:r>
            <w:r w:rsidR="00A352B2" w:rsidRPr="00D15AAB">
              <w:rPr>
                <w:rFonts w:ascii="Arial" w:hAnsi="Arial" w:cs="Arial"/>
                <w:b/>
                <w:color w:val="FFFFFF" w:themeColor="background1"/>
                <w:sz w:val="14"/>
              </w:rPr>
              <w:t>a independiente única, art. 320</w:t>
            </w:r>
            <w:r w:rsidRPr="00D15AAB">
              <w:rPr>
                <w:rFonts w:ascii="Arial" w:hAnsi="Arial" w:cs="Arial"/>
                <w:b/>
                <w:color w:val="FFFFFF" w:themeColor="background1"/>
                <w:sz w:val="14"/>
              </w:rPr>
              <w:t xml:space="preserve"> numeral 2 Ley Electoral)</w:t>
            </w:r>
          </w:p>
        </w:tc>
        <w:tc>
          <w:tcPr>
            <w:tcW w:w="2207" w:type="dxa"/>
            <w:shd w:val="clear" w:color="auto" w:fill="993366"/>
            <w:vAlign w:val="center"/>
          </w:tcPr>
          <w:p w:rsidR="00BC04DC" w:rsidRPr="00D15AAB" w:rsidRDefault="00BC04DC" w:rsidP="00A352B2">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33.3% a distribuir de forma igualitaria (art.</w:t>
            </w:r>
            <w:r w:rsidR="00A352B2" w:rsidRPr="00D15AAB">
              <w:rPr>
                <w:rFonts w:ascii="Arial" w:hAnsi="Arial" w:cs="Arial"/>
                <w:b/>
                <w:color w:val="FFFFFF" w:themeColor="background1"/>
                <w:sz w:val="14"/>
              </w:rPr>
              <w:t xml:space="preserve"> 320</w:t>
            </w:r>
            <w:r w:rsidRPr="00D15AAB">
              <w:rPr>
                <w:rFonts w:ascii="Arial" w:hAnsi="Arial" w:cs="Arial"/>
                <w:b/>
                <w:color w:val="FFFFFF" w:themeColor="background1"/>
                <w:sz w:val="14"/>
              </w:rPr>
              <w:t xml:space="preserve"> numeral 1 </w:t>
            </w:r>
            <w:proofErr w:type="spellStart"/>
            <w:r w:rsidRPr="00D15AAB">
              <w:rPr>
                <w:rFonts w:ascii="Arial" w:hAnsi="Arial" w:cs="Arial"/>
                <w:b/>
                <w:color w:val="FFFFFF" w:themeColor="background1"/>
                <w:sz w:val="14"/>
              </w:rPr>
              <w:t>fr.</w:t>
            </w:r>
            <w:proofErr w:type="spellEnd"/>
            <w:r w:rsidRPr="00D15AAB">
              <w:rPr>
                <w:rFonts w:ascii="Arial" w:hAnsi="Arial" w:cs="Arial"/>
                <w:b/>
                <w:color w:val="FFFFFF" w:themeColor="background1"/>
                <w:sz w:val="14"/>
              </w:rPr>
              <w:t xml:space="preserve"> II Ley Electoral)</w:t>
            </w:r>
          </w:p>
        </w:tc>
        <w:tc>
          <w:tcPr>
            <w:tcW w:w="2207" w:type="dxa"/>
            <w:shd w:val="clear" w:color="auto" w:fill="993366"/>
            <w:vAlign w:val="center"/>
          </w:tcPr>
          <w:p w:rsidR="00BC04DC" w:rsidRPr="00D15AAB" w:rsidRDefault="00BC04DC" w:rsidP="00725283">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Monto de financiamiento público local para gastos de campaña que corresponde al candidato independiente unitario.</w:t>
            </w:r>
          </w:p>
        </w:tc>
      </w:tr>
      <w:tr w:rsidR="00BC04DC" w:rsidTr="00D15AAB">
        <w:tc>
          <w:tcPr>
            <w:tcW w:w="2207" w:type="dxa"/>
            <w:vMerge/>
            <w:shd w:val="clear" w:color="auto" w:fill="993366"/>
            <w:vAlign w:val="center"/>
          </w:tcPr>
          <w:p w:rsidR="00BC04DC" w:rsidRPr="00D15AAB" w:rsidRDefault="00BC04DC" w:rsidP="00BC04DC">
            <w:pPr>
              <w:spacing w:before="40" w:after="40"/>
              <w:jc w:val="center"/>
              <w:rPr>
                <w:rFonts w:ascii="Arial" w:hAnsi="Arial" w:cs="Arial"/>
                <w:b/>
                <w:color w:val="FFFFFF" w:themeColor="background1"/>
                <w:sz w:val="20"/>
                <w:szCs w:val="20"/>
              </w:rPr>
            </w:pPr>
          </w:p>
        </w:tc>
        <w:tc>
          <w:tcPr>
            <w:tcW w:w="2207" w:type="dxa"/>
            <w:shd w:val="clear" w:color="auto" w:fill="993366"/>
            <w:vAlign w:val="center"/>
          </w:tcPr>
          <w:p w:rsidR="00BC04DC" w:rsidRPr="00D15AAB" w:rsidRDefault="00BC04DC" w:rsidP="00BC04DC">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A</w:t>
            </w:r>
          </w:p>
        </w:tc>
        <w:tc>
          <w:tcPr>
            <w:tcW w:w="2207" w:type="dxa"/>
            <w:shd w:val="clear" w:color="auto" w:fill="993366"/>
            <w:vAlign w:val="center"/>
          </w:tcPr>
          <w:p w:rsidR="00BC04DC" w:rsidRPr="00D15AAB" w:rsidRDefault="00BC04DC" w:rsidP="00BC04DC">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B</w:t>
            </w:r>
          </w:p>
        </w:tc>
        <w:tc>
          <w:tcPr>
            <w:tcW w:w="2207" w:type="dxa"/>
            <w:shd w:val="clear" w:color="auto" w:fill="993366"/>
            <w:vAlign w:val="center"/>
          </w:tcPr>
          <w:p w:rsidR="00BC04DC" w:rsidRPr="00D15AAB" w:rsidRDefault="00BC04DC" w:rsidP="00BC04DC">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C = A × B</w:t>
            </w:r>
          </w:p>
        </w:tc>
      </w:tr>
      <w:tr w:rsidR="00725283" w:rsidTr="00D15AAB">
        <w:tc>
          <w:tcPr>
            <w:tcW w:w="2207" w:type="dxa"/>
            <w:vAlign w:val="center"/>
          </w:tcPr>
          <w:p w:rsidR="00725283" w:rsidRPr="00D15AAB" w:rsidRDefault="00BC04DC" w:rsidP="00BC04DC">
            <w:pPr>
              <w:spacing w:before="40" w:after="40"/>
              <w:jc w:val="center"/>
              <w:rPr>
                <w:rFonts w:ascii="Arial" w:hAnsi="Arial" w:cs="Arial"/>
                <w:b/>
                <w:sz w:val="20"/>
                <w:szCs w:val="20"/>
              </w:rPr>
            </w:pPr>
            <w:r w:rsidRPr="00D15AAB">
              <w:rPr>
                <w:rFonts w:ascii="Arial" w:hAnsi="Arial" w:cs="Arial"/>
                <w:b/>
                <w:sz w:val="20"/>
                <w:szCs w:val="20"/>
              </w:rPr>
              <w:t>01</w:t>
            </w:r>
          </w:p>
        </w:tc>
        <w:tc>
          <w:tcPr>
            <w:tcW w:w="2207" w:type="dxa"/>
            <w:vAlign w:val="center"/>
          </w:tcPr>
          <w:p w:rsidR="00725283" w:rsidRPr="00D15AAB" w:rsidRDefault="00BC04DC" w:rsidP="00BC04DC">
            <w:pPr>
              <w:spacing w:before="40" w:after="40"/>
              <w:jc w:val="center"/>
              <w:rPr>
                <w:rFonts w:ascii="Arial" w:hAnsi="Arial" w:cs="Arial"/>
                <w:b/>
                <w:sz w:val="20"/>
                <w:szCs w:val="20"/>
              </w:rPr>
            </w:pPr>
            <w:r w:rsidRPr="00D15AAB">
              <w:rPr>
                <w:rFonts w:ascii="Arial" w:hAnsi="Arial" w:cs="Arial"/>
                <w:b/>
                <w:sz w:val="20"/>
                <w:szCs w:val="20"/>
              </w:rPr>
              <w:t>50%</w:t>
            </w:r>
          </w:p>
        </w:tc>
        <w:tc>
          <w:tcPr>
            <w:tcW w:w="2207" w:type="dxa"/>
            <w:vAlign w:val="center"/>
          </w:tcPr>
          <w:p w:rsidR="00725283" w:rsidRPr="00D15AAB" w:rsidRDefault="004A2073" w:rsidP="00BC04DC">
            <w:pPr>
              <w:spacing w:before="40" w:after="40"/>
              <w:jc w:val="center"/>
              <w:rPr>
                <w:rFonts w:ascii="Arial" w:hAnsi="Arial" w:cs="Arial"/>
                <w:b/>
                <w:sz w:val="20"/>
                <w:szCs w:val="20"/>
              </w:rPr>
            </w:pPr>
            <w:r w:rsidRPr="00D15AAB">
              <w:rPr>
                <w:rFonts w:ascii="Arial" w:hAnsi="Arial" w:cs="Arial"/>
                <w:b/>
                <w:sz w:val="20"/>
                <w:szCs w:val="20"/>
              </w:rPr>
              <w:t>$404,182.99</w:t>
            </w:r>
          </w:p>
        </w:tc>
        <w:tc>
          <w:tcPr>
            <w:tcW w:w="2207" w:type="dxa"/>
            <w:vAlign w:val="center"/>
          </w:tcPr>
          <w:p w:rsidR="00725283" w:rsidRPr="00D15AAB" w:rsidRDefault="004A2073" w:rsidP="00BC04DC">
            <w:pPr>
              <w:spacing w:before="40" w:after="40"/>
              <w:jc w:val="center"/>
              <w:rPr>
                <w:rFonts w:ascii="Arial" w:hAnsi="Arial" w:cs="Arial"/>
                <w:b/>
                <w:sz w:val="20"/>
                <w:szCs w:val="20"/>
              </w:rPr>
            </w:pPr>
            <w:r w:rsidRPr="00D15AAB">
              <w:rPr>
                <w:rFonts w:ascii="Arial" w:hAnsi="Arial" w:cs="Arial"/>
                <w:b/>
                <w:sz w:val="20"/>
                <w:szCs w:val="20"/>
              </w:rPr>
              <w:t>$202,091.49</w:t>
            </w:r>
          </w:p>
        </w:tc>
      </w:tr>
    </w:tbl>
    <w:p w:rsidR="00803D26" w:rsidRDefault="00803D26" w:rsidP="00803D26">
      <w:pPr>
        <w:pStyle w:val="Ttulo3"/>
        <w:numPr>
          <w:ilvl w:val="0"/>
          <w:numId w:val="0"/>
        </w:numPr>
        <w:ind w:left="720"/>
        <w:rPr>
          <w:rFonts w:ascii="Arial" w:hAnsi="Arial" w:cs="Arial"/>
        </w:rPr>
      </w:pPr>
    </w:p>
    <w:p w:rsidR="000E24FB" w:rsidRPr="002F42B2" w:rsidRDefault="000E24FB" w:rsidP="000E24FB">
      <w:pPr>
        <w:pStyle w:val="Ttulo3"/>
        <w:rPr>
          <w:rFonts w:ascii="Arial" w:hAnsi="Arial" w:cs="Arial"/>
        </w:rPr>
      </w:pPr>
      <w:r w:rsidRPr="002F42B2">
        <w:rPr>
          <w:rFonts w:ascii="Arial" w:hAnsi="Arial" w:cs="Arial"/>
        </w:rPr>
        <w:t>Financiamiento público local para gastos de campañas para las candidaturas independientes a Presidencias Municipales y Regidurías</w:t>
      </w:r>
    </w:p>
    <w:p w:rsidR="00A352B2" w:rsidRPr="002F42B2" w:rsidRDefault="000E24FB" w:rsidP="000E24FB">
      <w:pPr>
        <w:rPr>
          <w:rFonts w:ascii="Arial" w:hAnsi="Arial" w:cs="Arial"/>
        </w:rPr>
      </w:pPr>
      <w:r w:rsidRPr="002F42B2">
        <w:rPr>
          <w:rFonts w:ascii="Arial" w:hAnsi="Arial" w:cs="Arial"/>
        </w:rPr>
        <w:t xml:space="preserve">En lo que respecta al financiamiento público para gastos de campaña que corresponde a cada una de las </w:t>
      </w:r>
      <w:r w:rsidR="00563D29" w:rsidRPr="002F42B2">
        <w:rPr>
          <w:rFonts w:ascii="Arial" w:hAnsi="Arial" w:cs="Arial"/>
        </w:rPr>
        <w:t>tres</w:t>
      </w:r>
      <w:r w:rsidRPr="002F42B2">
        <w:rPr>
          <w:rFonts w:ascii="Arial" w:hAnsi="Arial" w:cs="Arial"/>
        </w:rPr>
        <w:t xml:space="preserve"> personas que se postularon en las candidaturas independientes para Presidencias Municipales y Regidurías, de acuerdo con la fracción III del numeral 1 del artículo 320 de la Ley Electoral, corresponde de forma igualitaria</w:t>
      </w:r>
      <w:r w:rsidR="00A4525F" w:rsidRPr="002F42B2">
        <w:rPr>
          <w:rFonts w:ascii="Arial" w:hAnsi="Arial" w:cs="Arial"/>
        </w:rPr>
        <w:t xml:space="preserve"> a cada uno de ellos</w:t>
      </w:r>
      <w:r w:rsidRPr="002F42B2">
        <w:rPr>
          <w:rFonts w:ascii="Arial" w:hAnsi="Arial" w:cs="Arial"/>
        </w:rPr>
        <w:t xml:space="preserve">, la cantidad de </w:t>
      </w:r>
      <w:r w:rsidRPr="002F42B2">
        <w:rPr>
          <w:rFonts w:ascii="Arial" w:hAnsi="Arial" w:cs="Arial"/>
          <w:b/>
        </w:rPr>
        <w:t>$1</w:t>
      </w:r>
      <w:r w:rsidR="001F5583" w:rsidRPr="002F42B2">
        <w:rPr>
          <w:rFonts w:ascii="Arial" w:hAnsi="Arial" w:cs="Arial"/>
          <w:b/>
        </w:rPr>
        <w:t>34,</w:t>
      </w:r>
      <w:r w:rsidR="00CA26F3" w:rsidRPr="002F42B2">
        <w:rPr>
          <w:rFonts w:ascii="Arial" w:hAnsi="Arial" w:cs="Arial"/>
          <w:b/>
        </w:rPr>
        <w:t>727</w:t>
      </w:r>
      <w:r w:rsidR="001F5583" w:rsidRPr="002F42B2">
        <w:rPr>
          <w:rFonts w:ascii="Arial" w:hAnsi="Arial" w:cs="Arial"/>
          <w:b/>
        </w:rPr>
        <w:t>.</w:t>
      </w:r>
      <w:r w:rsidR="00CA26F3" w:rsidRPr="002F42B2">
        <w:rPr>
          <w:rFonts w:ascii="Arial" w:hAnsi="Arial" w:cs="Arial"/>
          <w:b/>
        </w:rPr>
        <w:t>66</w:t>
      </w:r>
      <w:r w:rsidRPr="002F42B2">
        <w:rPr>
          <w:rFonts w:ascii="Arial" w:hAnsi="Arial" w:cs="Arial"/>
          <w:b/>
        </w:rPr>
        <w:t xml:space="preserve"> (ciento </w:t>
      </w:r>
      <w:r w:rsidR="001F5583" w:rsidRPr="002F42B2">
        <w:rPr>
          <w:rFonts w:ascii="Arial" w:hAnsi="Arial" w:cs="Arial"/>
          <w:b/>
        </w:rPr>
        <w:t xml:space="preserve">treinta y cuatro </w:t>
      </w:r>
      <w:r w:rsidRPr="002F42B2">
        <w:rPr>
          <w:rFonts w:ascii="Arial" w:hAnsi="Arial" w:cs="Arial"/>
          <w:b/>
        </w:rPr>
        <w:t xml:space="preserve">mil </w:t>
      </w:r>
      <w:r w:rsidR="00CA26F3" w:rsidRPr="002F42B2">
        <w:rPr>
          <w:rFonts w:ascii="Arial" w:hAnsi="Arial" w:cs="Arial"/>
          <w:b/>
        </w:rPr>
        <w:t xml:space="preserve">setecientos veintisiete </w:t>
      </w:r>
      <w:r w:rsidRPr="002F42B2">
        <w:rPr>
          <w:rFonts w:ascii="Arial" w:hAnsi="Arial" w:cs="Arial"/>
          <w:b/>
        </w:rPr>
        <w:t xml:space="preserve">pesos </w:t>
      </w:r>
      <w:r w:rsidR="00CA26F3" w:rsidRPr="002F42B2">
        <w:rPr>
          <w:rFonts w:ascii="Arial" w:hAnsi="Arial" w:cs="Arial"/>
          <w:b/>
        </w:rPr>
        <w:t>66</w:t>
      </w:r>
      <w:r w:rsidRPr="002F42B2">
        <w:rPr>
          <w:rFonts w:ascii="Arial" w:hAnsi="Arial" w:cs="Arial"/>
          <w:b/>
        </w:rPr>
        <w:t>/100 m. n.</w:t>
      </w:r>
      <w:r w:rsidRPr="002F42B2">
        <w:rPr>
          <w:rFonts w:ascii="Arial" w:hAnsi="Arial" w:cs="Arial"/>
        </w:rPr>
        <w:t>), que se obtiene de la siguiente operación:</w:t>
      </w:r>
    </w:p>
    <w:tbl>
      <w:tblPr>
        <w:tblStyle w:val="Tablaconcuadrcula"/>
        <w:tblW w:w="0" w:type="auto"/>
        <w:jc w:val="center"/>
        <w:tblLook w:val="04A0" w:firstRow="1" w:lastRow="0" w:firstColumn="1" w:lastColumn="0" w:noHBand="0" w:noVBand="1"/>
      </w:tblPr>
      <w:tblGrid>
        <w:gridCol w:w="2207"/>
        <w:gridCol w:w="2207"/>
        <w:gridCol w:w="3236"/>
      </w:tblGrid>
      <w:tr w:rsidR="00331A79" w:rsidTr="00D15AAB">
        <w:trPr>
          <w:jc w:val="center"/>
        </w:trPr>
        <w:tc>
          <w:tcPr>
            <w:tcW w:w="2207" w:type="dxa"/>
            <w:shd w:val="clear" w:color="auto" w:fill="993366"/>
            <w:vAlign w:val="center"/>
          </w:tcPr>
          <w:p w:rsidR="00331A79" w:rsidRPr="00D15AAB" w:rsidRDefault="00331A79" w:rsidP="0058636D">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Total de candidaturas registradas</w:t>
            </w:r>
          </w:p>
        </w:tc>
        <w:tc>
          <w:tcPr>
            <w:tcW w:w="2207" w:type="dxa"/>
            <w:shd w:val="clear" w:color="auto" w:fill="993366"/>
            <w:vAlign w:val="center"/>
          </w:tcPr>
          <w:p w:rsidR="00331A79" w:rsidRPr="00D15AAB" w:rsidRDefault="00331A79" w:rsidP="0058636D">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 xml:space="preserve">33.3% a distribuir de forma igualitaria (art. 320 numeral 1 </w:t>
            </w:r>
            <w:proofErr w:type="spellStart"/>
            <w:r w:rsidRPr="00D15AAB">
              <w:rPr>
                <w:rFonts w:ascii="Arial" w:hAnsi="Arial" w:cs="Arial"/>
                <w:b/>
                <w:color w:val="FFFFFF" w:themeColor="background1"/>
                <w:sz w:val="14"/>
              </w:rPr>
              <w:t>fr.</w:t>
            </w:r>
            <w:proofErr w:type="spellEnd"/>
            <w:r w:rsidRPr="00D15AAB">
              <w:rPr>
                <w:rFonts w:ascii="Arial" w:hAnsi="Arial" w:cs="Arial"/>
                <w:b/>
                <w:color w:val="FFFFFF" w:themeColor="background1"/>
                <w:sz w:val="14"/>
              </w:rPr>
              <w:t xml:space="preserve"> III Ley Electoral)</w:t>
            </w:r>
          </w:p>
        </w:tc>
        <w:tc>
          <w:tcPr>
            <w:tcW w:w="3236" w:type="dxa"/>
            <w:shd w:val="clear" w:color="auto" w:fill="993366"/>
            <w:vAlign w:val="center"/>
          </w:tcPr>
          <w:p w:rsidR="00331A79" w:rsidRPr="00D15AAB" w:rsidRDefault="00331A79" w:rsidP="00331A79">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Monto de financiamiento público local para gastos de campaña que corresponde a cada uno de los candidatos independientes</w:t>
            </w:r>
          </w:p>
        </w:tc>
      </w:tr>
      <w:tr w:rsidR="00331A79" w:rsidTr="00D15AAB">
        <w:trPr>
          <w:jc w:val="center"/>
        </w:trPr>
        <w:tc>
          <w:tcPr>
            <w:tcW w:w="2207" w:type="dxa"/>
            <w:shd w:val="clear" w:color="auto" w:fill="993366"/>
            <w:vAlign w:val="center"/>
          </w:tcPr>
          <w:p w:rsidR="00331A79" w:rsidRPr="00D15AAB" w:rsidRDefault="00331A79" w:rsidP="0058636D">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A</w:t>
            </w:r>
          </w:p>
        </w:tc>
        <w:tc>
          <w:tcPr>
            <w:tcW w:w="2207" w:type="dxa"/>
            <w:shd w:val="clear" w:color="auto" w:fill="993366"/>
            <w:vAlign w:val="center"/>
          </w:tcPr>
          <w:p w:rsidR="00331A79" w:rsidRPr="00D15AAB" w:rsidRDefault="00331A79" w:rsidP="0058636D">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B</w:t>
            </w:r>
          </w:p>
        </w:tc>
        <w:tc>
          <w:tcPr>
            <w:tcW w:w="3236" w:type="dxa"/>
            <w:shd w:val="clear" w:color="auto" w:fill="993366"/>
            <w:vAlign w:val="center"/>
          </w:tcPr>
          <w:p w:rsidR="00331A79" w:rsidRPr="00D15AAB" w:rsidRDefault="00DF090E" w:rsidP="00DF090E">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C = B</w:t>
            </w:r>
            <w:r w:rsidR="00331A79" w:rsidRPr="00D15AAB">
              <w:rPr>
                <w:rFonts w:ascii="Arial" w:hAnsi="Arial" w:cs="Arial"/>
                <w:b/>
                <w:color w:val="FFFFFF" w:themeColor="background1"/>
                <w:sz w:val="16"/>
                <w:szCs w:val="20"/>
              </w:rPr>
              <w:t xml:space="preserve"> ÷ </w:t>
            </w:r>
            <w:r w:rsidRPr="00D15AAB">
              <w:rPr>
                <w:rFonts w:ascii="Arial" w:hAnsi="Arial" w:cs="Arial"/>
                <w:b/>
                <w:color w:val="FFFFFF" w:themeColor="background1"/>
                <w:sz w:val="16"/>
                <w:szCs w:val="20"/>
              </w:rPr>
              <w:t>A</w:t>
            </w:r>
          </w:p>
        </w:tc>
      </w:tr>
      <w:tr w:rsidR="00331A79" w:rsidTr="00D15AAB">
        <w:trPr>
          <w:jc w:val="center"/>
        </w:trPr>
        <w:tc>
          <w:tcPr>
            <w:tcW w:w="2207" w:type="dxa"/>
            <w:vAlign w:val="center"/>
          </w:tcPr>
          <w:p w:rsidR="00331A79" w:rsidRPr="00D15AAB" w:rsidRDefault="00212EEE" w:rsidP="0058636D">
            <w:pPr>
              <w:spacing w:before="40" w:after="40"/>
              <w:jc w:val="center"/>
              <w:rPr>
                <w:rFonts w:ascii="Arial" w:hAnsi="Arial" w:cs="Arial"/>
                <w:b/>
                <w:sz w:val="20"/>
                <w:szCs w:val="20"/>
              </w:rPr>
            </w:pPr>
            <w:r w:rsidRPr="00D15AAB">
              <w:rPr>
                <w:rFonts w:ascii="Arial" w:hAnsi="Arial" w:cs="Arial"/>
                <w:b/>
                <w:sz w:val="20"/>
                <w:szCs w:val="20"/>
              </w:rPr>
              <w:t>03</w:t>
            </w:r>
          </w:p>
        </w:tc>
        <w:tc>
          <w:tcPr>
            <w:tcW w:w="2207" w:type="dxa"/>
            <w:vAlign w:val="center"/>
          </w:tcPr>
          <w:p w:rsidR="00331A79" w:rsidRPr="00D15AAB" w:rsidRDefault="00E75A02" w:rsidP="0058636D">
            <w:pPr>
              <w:spacing w:before="40" w:after="40"/>
              <w:jc w:val="center"/>
              <w:rPr>
                <w:rFonts w:ascii="Arial" w:hAnsi="Arial" w:cs="Arial"/>
                <w:b/>
                <w:sz w:val="20"/>
                <w:szCs w:val="20"/>
              </w:rPr>
            </w:pPr>
            <w:r w:rsidRPr="00D15AAB">
              <w:rPr>
                <w:rFonts w:ascii="Arial" w:hAnsi="Arial" w:cs="Arial"/>
                <w:b/>
                <w:sz w:val="20"/>
                <w:szCs w:val="20"/>
              </w:rPr>
              <w:t>$404,182.99</w:t>
            </w:r>
          </w:p>
        </w:tc>
        <w:tc>
          <w:tcPr>
            <w:tcW w:w="3236" w:type="dxa"/>
            <w:vAlign w:val="center"/>
          </w:tcPr>
          <w:p w:rsidR="00331A79" w:rsidRPr="00D15AAB" w:rsidRDefault="00E75A02" w:rsidP="00331A79">
            <w:pPr>
              <w:spacing w:before="40" w:after="40"/>
              <w:jc w:val="center"/>
              <w:rPr>
                <w:rFonts w:ascii="Arial" w:hAnsi="Arial" w:cs="Arial"/>
                <w:b/>
                <w:sz w:val="20"/>
                <w:szCs w:val="20"/>
              </w:rPr>
            </w:pPr>
            <w:r w:rsidRPr="00D15AAB">
              <w:rPr>
                <w:rFonts w:ascii="Arial" w:hAnsi="Arial" w:cs="Arial"/>
                <w:b/>
                <w:sz w:val="20"/>
                <w:szCs w:val="20"/>
              </w:rPr>
              <w:t>$134,727.66</w:t>
            </w:r>
          </w:p>
        </w:tc>
      </w:tr>
    </w:tbl>
    <w:p w:rsidR="00331A79" w:rsidRPr="002F42B2" w:rsidRDefault="009E7C8F" w:rsidP="009E7C8F">
      <w:pPr>
        <w:pStyle w:val="Ttulo2"/>
        <w:rPr>
          <w:rFonts w:ascii="Arial" w:hAnsi="Arial" w:cs="Arial"/>
          <w:sz w:val="23"/>
        </w:rPr>
      </w:pPr>
      <w:r w:rsidRPr="002F42B2">
        <w:rPr>
          <w:rFonts w:ascii="Arial" w:hAnsi="Arial" w:cs="Arial"/>
          <w:sz w:val="23"/>
        </w:rPr>
        <w:t>Límites al financiamiento privado</w:t>
      </w:r>
    </w:p>
    <w:p w:rsidR="006857B3" w:rsidRPr="002F42B2" w:rsidRDefault="006857B3" w:rsidP="000E24FB">
      <w:pPr>
        <w:rPr>
          <w:rFonts w:ascii="Arial" w:hAnsi="Arial" w:cs="Arial"/>
        </w:rPr>
      </w:pPr>
      <w:r w:rsidRPr="002F42B2">
        <w:rPr>
          <w:rFonts w:ascii="Arial" w:hAnsi="Arial" w:cs="Arial"/>
        </w:rPr>
        <w:t xml:space="preserve">Que, acorde a los criterios determinados en la jurisprudencia 10/2019, el límite general de financiamiento privado que pueden recibir las candidaturas independientes </w:t>
      </w:r>
      <w:r w:rsidR="00AF2CEA" w:rsidRPr="002F42B2">
        <w:rPr>
          <w:rFonts w:ascii="Arial" w:hAnsi="Arial" w:cs="Arial"/>
        </w:rPr>
        <w:t xml:space="preserve">a los cargos de Regidurías </w:t>
      </w:r>
      <w:r w:rsidRPr="002F42B2">
        <w:rPr>
          <w:rFonts w:ascii="Arial" w:hAnsi="Arial" w:cs="Arial"/>
        </w:rPr>
        <w:t xml:space="preserve">durante el Proceso Electoral, equivale a la cantidad de </w:t>
      </w:r>
      <w:r w:rsidR="00AF2CEA" w:rsidRPr="002F42B2">
        <w:rPr>
          <w:rFonts w:ascii="Arial" w:hAnsi="Arial" w:cs="Arial"/>
          <w:b/>
        </w:rPr>
        <w:t>$</w:t>
      </w:r>
      <w:r w:rsidR="00AA1E43" w:rsidRPr="002F42B2">
        <w:rPr>
          <w:rFonts w:ascii="Arial" w:hAnsi="Arial" w:cs="Arial"/>
          <w:b/>
        </w:rPr>
        <w:t xml:space="preserve"> $11,733,444.21 </w:t>
      </w:r>
      <w:r w:rsidR="00AF2CEA" w:rsidRPr="002F42B2">
        <w:rPr>
          <w:rFonts w:ascii="Arial" w:hAnsi="Arial" w:cs="Arial"/>
          <w:b/>
        </w:rPr>
        <w:t xml:space="preserve">(once millones setecientos treinta y tres mil </w:t>
      </w:r>
      <w:r w:rsidR="00AA1E43" w:rsidRPr="002F42B2">
        <w:rPr>
          <w:rFonts w:ascii="Arial" w:hAnsi="Arial" w:cs="Arial"/>
          <w:b/>
        </w:rPr>
        <w:t xml:space="preserve">cuatrocientos cuarenta y cuatro </w:t>
      </w:r>
      <w:r w:rsidR="00AF2CEA" w:rsidRPr="002F42B2">
        <w:rPr>
          <w:rFonts w:ascii="Arial" w:hAnsi="Arial" w:cs="Arial"/>
          <w:b/>
        </w:rPr>
        <w:t>pesos 63/100 moneda nacional)</w:t>
      </w:r>
      <w:r w:rsidR="00AF2CEA" w:rsidRPr="002F42B2">
        <w:rPr>
          <w:rFonts w:ascii="Arial" w:hAnsi="Arial" w:cs="Arial"/>
        </w:rPr>
        <w:t xml:space="preserve"> </w:t>
      </w:r>
      <w:r w:rsidRPr="002F42B2">
        <w:rPr>
          <w:rFonts w:ascii="Arial" w:hAnsi="Arial" w:cs="Arial"/>
        </w:rPr>
        <w:t>que se obtiene de la deduc</w:t>
      </w:r>
      <w:r w:rsidR="006F72CE" w:rsidRPr="002F42B2">
        <w:rPr>
          <w:rFonts w:ascii="Arial" w:hAnsi="Arial" w:cs="Arial"/>
        </w:rPr>
        <w:t xml:space="preserve">ción del financiamiento público previsto para candidaturas independientes </w:t>
      </w:r>
      <w:r w:rsidRPr="002F42B2">
        <w:rPr>
          <w:rFonts w:ascii="Arial" w:hAnsi="Arial" w:cs="Arial"/>
        </w:rPr>
        <w:t>al tope de gastos de campaña correspondiente, de acuerdo con lo siguiente:</w:t>
      </w:r>
    </w:p>
    <w:tbl>
      <w:tblPr>
        <w:tblStyle w:val="Tablaconcuadrcula"/>
        <w:tblW w:w="0" w:type="auto"/>
        <w:tblLook w:val="04A0" w:firstRow="1" w:lastRow="0" w:firstColumn="1" w:lastColumn="0" w:noHBand="0" w:noVBand="1"/>
      </w:tblPr>
      <w:tblGrid>
        <w:gridCol w:w="2207"/>
        <w:gridCol w:w="2207"/>
        <w:gridCol w:w="2207"/>
        <w:gridCol w:w="2207"/>
      </w:tblGrid>
      <w:tr w:rsidR="00A42331" w:rsidTr="00D15AAB">
        <w:tc>
          <w:tcPr>
            <w:tcW w:w="2207" w:type="dxa"/>
            <w:vMerge w:val="restart"/>
            <w:shd w:val="clear" w:color="auto" w:fill="993366"/>
            <w:vAlign w:val="center"/>
          </w:tcPr>
          <w:p w:rsidR="00A42331" w:rsidRPr="00D313E4" w:rsidRDefault="00A42331" w:rsidP="002B3CD7">
            <w:pPr>
              <w:spacing w:before="40" w:after="40"/>
              <w:jc w:val="center"/>
              <w:rPr>
                <w:b/>
                <w:color w:val="FFFFFF" w:themeColor="background1"/>
                <w:sz w:val="16"/>
              </w:rPr>
            </w:pPr>
            <w:r w:rsidRPr="00D313E4">
              <w:rPr>
                <w:b/>
                <w:color w:val="FFFFFF" w:themeColor="background1"/>
                <w:sz w:val="16"/>
              </w:rPr>
              <w:t>Tipo de Elección</w:t>
            </w:r>
          </w:p>
        </w:tc>
        <w:tc>
          <w:tcPr>
            <w:tcW w:w="2207" w:type="dxa"/>
            <w:shd w:val="clear" w:color="auto" w:fill="993366"/>
            <w:vAlign w:val="center"/>
          </w:tcPr>
          <w:p w:rsidR="00A42331" w:rsidRPr="00D313E4" w:rsidRDefault="00A42331" w:rsidP="002B3CD7">
            <w:pPr>
              <w:spacing w:before="40" w:after="40"/>
              <w:jc w:val="center"/>
              <w:rPr>
                <w:b/>
                <w:color w:val="FFFFFF" w:themeColor="background1"/>
                <w:sz w:val="16"/>
              </w:rPr>
            </w:pPr>
            <w:r w:rsidRPr="00D313E4">
              <w:rPr>
                <w:b/>
                <w:color w:val="FFFFFF" w:themeColor="background1"/>
                <w:sz w:val="16"/>
              </w:rPr>
              <w:t>Financiamiento público</w:t>
            </w:r>
          </w:p>
        </w:tc>
        <w:tc>
          <w:tcPr>
            <w:tcW w:w="2207" w:type="dxa"/>
            <w:shd w:val="clear" w:color="auto" w:fill="993366"/>
            <w:vAlign w:val="center"/>
          </w:tcPr>
          <w:p w:rsidR="00A42331" w:rsidRPr="00D313E4" w:rsidRDefault="00A42331" w:rsidP="002B3CD7">
            <w:pPr>
              <w:spacing w:before="40" w:after="40"/>
              <w:jc w:val="center"/>
              <w:rPr>
                <w:b/>
                <w:color w:val="FFFFFF" w:themeColor="background1"/>
                <w:sz w:val="16"/>
              </w:rPr>
            </w:pPr>
            <w:r w:rsidRPr="00D313E4">
              <w:rPr>
                <w:b/>
                <w:color w:val="FFFFFF" w:themeColor="background1"/>
                <w:sz w:val="16"/>
              </w:rPr>
              <w:t>Tope de gastos de campaña</w:t>
            </w:r>
            <w:r w:rsidR="00D65AD9">
              <w:rPr>
                <w:b/>
                <w:color w:val="FFFFFF" w:themeColor="background1"/>
                <w:sz w:val="16"/>
              </w:rPr>
              <w:t xml:space="preserve"> (Acuerdo CE/2023/48)</w:t>
            </w:r>
          </w:p>
        </w:tc>
        <w:tc>
          <w:tcPr>
            <w:tcW w:w="2207" w:type="dxa"/>
            <w:shd w:val="clear" w:color="auto" w:fill="993366"/>
            <w:vAlign w:val="center"/>
          </w:tcPr>
          <w:p w:rsidR="00A42331" w:rsidRPr="00D313E4" w:rsidRDefault="00A42331" w:rsidP="002B3CD7">
            <w:pPr>
              <w:spacing w:before="40" w:after="40"/>
              <w:jc w:val="center"/>
              <w:rPr>
                <w:b/>
                <w:color w:val="FFFFFF" w:themeColor="background1"/>
                <w:sz w:val="16"/>
              </w:rPr>
            </w:pPr>
            <w:r w:rsidRPr="00D313E4">
              <w:rPr>
                <w:b/>
                <w:color w:val="FFFFFF" w:themeColor="background1"/>
                <w:sz w:val="16"/>
              </w:rPr>
              <w:t>Límite general de financiamiento privado</w:t>
            </w:r>
          </w:p>
        </w:tc>
      </w:tr>
      <w:tr w:rsidR="00A42331" w:rsidTr="00D15AAB">
        <w:tc>
          <w:tcPr>
            <w:tcW w:w="2207" w:type="dxa"/>
            <w:vMerge/>
            <w:shd w:val="clear" w:color="auto" w:fill="993366"/>
            <w:vAlign w:val="center"/>
          </w:tcPr>
          <w:p w:rsidR="00A42331" w:rsidRPr="00D313E4" w:rsidRDefault="00A42331" w:rsidP="002B3CD7">
            <w:pPr>
              <w:spacing w:before="40" w:after="40"/>
              <w:rPr>
                <w:b/>
                <w:color w:val="FFFFFF" w:themeColor="background1"/>
              </w:rPr>
            </w:pPr>
          </w:p>
        </w:tc>
        <w:tc>
          <w:tcPr>
            <w:tcW w:w="2207" w:type="dxa"/>
            <w:shd w:val="clear" w:color="auto" w:fill="993366"/>
            <w:vAlign w:val="center"/>
          </w:tcPr>
          <w:p w:rsidR="00A42331" w:rsidRPr="00D313E4" w:rsidRDefault="00A42331" w:rsidP="00A42331">
            <w:pPr>
              <w:spacing w:before="40" w:after="40"/>
              <w:jc w:val="center"/>
              <w:rPr>
                <w:b/>
                <w:color w:val="FFFFFF" w:themeColor="background1"/>
                <w:sz w:val="16"/>
              </w:rPr>
            </w:pPr>
            <w:r w:rsidRPr="00D313E4">
              <w:rPr>
                <w:b/>
                <w:color w:val="FFFFFF" w:themeColor="background1"/>
                <w:sz w:val="16"/>
              </w:rPr>
              <w:t>A</w:t>
            </w:r>
          </w:p>
        </w:tc>
        <w:tc>
          <w:tcPr>
            <w:tcW w:w="2207" w:type="dxa"/>
            <w:shd w:val="clear" w:color="auto" w:fill="993366"/>
            <w:vAlign w:val="center"/>
          </w:tcPr>
          <w:p w:rsidR="00A42331" w:rsidRPr="00D313E4" w:rsidRDefault="00A42331" w:rsidP="00A42331">
            <w:pPr>
              <w:spacing w:before="40" w:after="40"/>
              <w:jc w:val="center"/>
              <w:rPr>
                <w:b/>
                <w:color w:val="FFFFFF" w:themeColor="background1"/>
                <w:sz w:val="16"/>
              </w:rPr>
            </w:pPr>
            <w:r w:rsidRPr="00D313E4">
              <w:rPr>
                <w:b/>
                <w:color w:val="FFFFFF" w:themeColor="background1"/>
                <w:sz w:val="16"/>
              </w:rPr>
              <w:t>B</w:t>
            </w:r>
          </w:p>
        </w:tc>
        <w:tc>
          <w:tcPr>
            <w:tcW w:w="2207" w:type="dxa"/>
            <w:shd w:val="clear" w:color="auto" w:fill="993366"/>
            <w:vAlign w:val="center"/>
          </w:tcPr>
          <w:p w:rsidR="00A42331" w:rsidRPr="00D313E4" w:rsidRDefault="00A42331" w:rsidP="00A42331">
            <w:pPr>
              <w:spacing w:before="40" w:after="40"/>
              <w:jc w:val="center"/>
              <w:rPr>
                <w:b/>
                <w:color w:val="FFFFFF" w:themeColor="background1"/>
                <w:sz w:val="16"/>
              </w:rPr>
            </w:pPr>
            <w:r w:rsidRPr="00D313E4">
              <w:rPr>
                <w:b/>
                <w:color w:val="FFFFFF" w:themeColor="background1"/>
                <w:sz w:val="16"/>
              </w:rPr>
              <w:t>C = B - A</w:t>
            </w:r>
          </w:p>
        </w:tc>
      </w:tr>
      <w:tr w:rsidR="002B3CD7" w:rsidTr="00D15AAB">
        <w:tc>
          <w:tcPr>
            <w:tcW w:w="2207" w:type="dxa"/>
            <w:vAlign w:val="center"/>
          </w:tcPr>
          <w:p w:rsidR="002B3CD7" w:rsidRPr="00013CAB" w:rsidRDefault="002B3CD7" w:rsidP="002B3CD7">
            <w:pPr>
              <w:spacing w:before="40" w:after="40"/>
              <w:rPr>
                <w:b/>
              </w:rPr>
            </w:pPr>
            <w:r w:rsidRPr="00013CAB">
              <w:rPr>
                <w:b/>
              </w:rPr>
              <w:t>Diputaciones</w:t>
            </w:r>
          </w:p>
        </w:tc>
        <w:tc>
          <w:tcPr>
            <w:tcW w:w="2207" w:type="dxa"/>
            <w:vAlign w:val="center"/>
          </w:tcPr>
          <w:p w:rsidR="002B3CD7" w:rsidRPr="00D313E4" w:rsidRDefault="00AA1E43" w:rsidP="00D313E4">
            <w:pPr>
              <w:spacing w:before="40" w:after="40"/>
              <w:jc w:val="center"/>
              <w:rPr>
                <w:b/>
                <w:sz w:val="20"/>
                <w:szCs w:val="20"/>
              </w:rPr>
            </w:pPr>
            <w:r w:rsidRPr="00AA1E43">
              <w:rPr>
                <w:b/>
                <w:sz w:val="20"/>
                <w:szCs w:val="20"/>
              </w:rPr>
              <w:t>$404,182.99</w:t>
            </w:r>
          </w:p>
        </w:tc>
        <w:tc>
          <w:tcPr>
            <w:tcW w:w="2207" w:type="dxa"/>
            <w:vAlign w:val="center"/>
          </w:tcPr>
          <w:p w:rsidR="002B3CD7" w:rsidRPr="00D313E4" w:rsidRDefault="00D313E4" w:rsidP="00D313E4">
            <w:pPr>
              <w:spacing w:before="40" w:after="40"/>
              <w:jc w:val="center"/>
              <w:rPr>
                <w:b/>
                <w:sz w:val="20"/>
                <w:szCs w:val="20"/>
              </w:rPr>
            </w:pPr>
            <w:bookmarkStart w:id="0" w:name="OLE_LINK4"/>
            <w:r w:rsidRPr="00D313E4">
              <w:rPr>
                <w:b/>
                <w:sz w:val="20"/>
                <w:szCs w:val="20"/>
              </w:rPr>
              <w:t>$12’137,627.20</w:t>
            </w:r>
            <w:bookmarkEnd w:id="0"/>
          </w:p>
        </w:tc>
        <w:tc>
          <w:tcPr>
            <w:tcW w:w="2207" w:type="dxa"/>
            <w:vAlign w:val="center"/>
          </w:tcPr>
          <w:p w:rsidR="002B3CD7" w:rsidRPr="00D313E4" w:rsidRDefault="00AA1E43" w:rsidP="00D313E4">
            <w:pPr>
              <w:spacing w:before="40" w:after="40"/>
              <w:jc w:val="center"/>
              <w:rPr>
                <w:b/>
                <w:sz w:val="20"/>
                <w:szCs w:val="20"/>
              </w:rPr>
            </w:pPr>
            <w:r w:rsidRPr="00AA1E43">
              <w:rPr>
                <w:b/>
                <w:sz w:val="20"/>
                <w:szCs w:val="20"/>
              </w:rPr>
              <w:t>$11,733,444.21</w:t>
            </w:r>
          </w:p>
        </w:tc>
      </w:tr>
      <w:tr w:rsidR="002B3CD7" w:rsidTr="00D15AAB">
        <w:tc>
          <w:tcPr>
            <w:tcW w:w="2207" w:type="dxa"/>
            <w:vAlign w:val="center"/>
          </w:tcPr>
          <w:p w:rsidR="002B3CD7" w:rsidRPr="00013CAB" w:rsidRDefault="002B3CD7" w:rsidP="002B3CD7">
            <w:pPr>
              <w:spacing w:before="40" w:after="40"/>
              <w:rPr>
                <w:b/>
              </w:rPr>
            </w:pPr>
            <w:r w:rsidRPr="00013CAB">
              <w:rPr>
                <w:b/>
              </w:rPr>
              <w:t>Regidurías</w:t>
            </w:r>
          </w:p>
        </w:tc>
        <w:tc>
          <w:tcPr>
            <w:tcW w:w="2207" w:type="dxa"/>
            <w:vAlign w:val="center"/>
          </w:tcPr>
          <w:p w:rsidR="002B3CD7" w:rsidRPr="00D313E4" w:rsidRDefault="00AA1E43" w:rsidP="00D313E4">
            <w:pPr>
              <w:spacing w:before="40" w:after="40"/>
              <w:jc w:val="center"/>
              <w:rPr>
                <w:b/>
                <w:sz w:val="20"/>
                <w:szCs w:val="20"/>
              </w:rPr>
            </w:pPr>
            <w:r w:rsidRPr="00AA1E43">
              <w:rPr>
                <w:b/>
                <w:sz w:val="20"/>
                <w:szCs w:val="20"/>
              </w:rPr>
              <w:t>$404,182.99</w:t>
            </w:r>
          </w:p>
        </w:tc>
        <w:tc>
          <w:tcPr>
            <w:tcW w:w="2207" w:type="dxa"/>
            <w:vAlign w:val="center"/>
          </w:tcPr>
          <w:p w:rsidR="002B3CD7" w:rsidRPr="00D313E4" w:rsidRDefault="00D313E4" w:rsidP="00D313E4">
            <w:pPr>
              <w:spacing w:before="40" w:after="40"/>
              <w:jc w:val="center"/>
              <w:rPr>
                <w:b/>
                <w:sz w:val="20"/>
                <w:szCs w:val="20"/>
              </w:rPr>
            </w:pPr>
            <w:r w:rsidRPr="00D313E4">
              <w:rPr>
                <w:b/>
                <w:sz w:val="20"/>
                <w:szCs w:val="20"/>
              </w:rPr>
              <w:t>$12’137,627.20</w:t>
            </w:r>
          </w:p>
        </w:tc>
        <w:tc>
          <w:tcPr>
            <w:tcW w:w="2207" w:type="dxa"/>
            <w:vAlign w:val="center"/>
          </w:tcPr>
          <w:p w:rsidR="002B3CD7" w:rsidRPr="00D313E4" w:rsidRDefault="00AA1E43" w:rsidP="00D313E4">
            <w:pPr>
              <w:spacing w:before="40" w:after="40"/>
              <w:jc w:val="center"/>
              <w:rPr>
                <w:b/>
                <w:sz w:val="20"/>
                <w:szCs w:val="20"/>
              </w:rPr>
            </w:pPr>
            <w:r w:rsidRPr="00AA1E43">
              <w:rPr>
                <w:b/>
                <w:sz w:val="20"/>
                <w:szCs w:val="20"/>
              </w:rPr>
              <w:t>$11,733,444.21</w:t>
            </w:r>
          </w:p>
        </w:tc>
      </w:tr>
    </w:tbl>
    <w:p w:rsidR="00FF349E" w:rsidRPr="002F42B2" w:rsidRDefault="00FF349E" w:rsidP="00FF349E">
      <w:pPr>
        <w:rPr>
          <w:rFonts w:ascii="Arial" w:hAnsi="Arial" w:cs="Arial"/>
        </w:rPr>
      </w:pPr>
      <w:r>
        <w:t xml:space="preserve">Ahora bien, la Sala Superior estableció en la tesis XVII/2019 con rubro: </w:t>
      </w:r>
      <w:r w:rsidRPr="00A676CF">
        <w:rPr>
          <w:b/>
        </w:rPr>
        <w:t xml:space="preserve">“CANDIDATURAS </w:t>
      </w:r>
      <w:r w:rsidRPr="002F42B2">
        <w:rPr>
          <w:rFonts w:ascii="Arial" w:hAnsi="Arial" w:cs="Arial"/>
          <w:b/>
        </w:rPr>
        <w:t>INDEPENDIENTES. ELEMENTOS PARA FIJAR EL LÍMITE INDIVIDUAL DE APORTACIONES PARA EL FINANCIAMIENTO PRIVADO”</w:t>
      </w:r>
      <w:r w:rsidRPr="002F42B2">
        <w:rPr>
          <w:rFonts w:ascii="Arial" w:hAnsi="Arial" w:cs="Arial"/>
        </w:rPr>
        <w:t xml:space="preserve"> que la autoridad administrativa electoral debe fijar los límites de aportaciones que de manera individual pueden realizar, tanto los simpatizantes de una candidatura independiente, como quien ostenta la candidatura, para su campaña electoral. Esto con el propósito de fortalecer la fiscalización e impedir la injerencia de terceros en la contienda, de tal forma que comprometan la independencia de las candidaturas independientes.</w:t>
      </w:r>
    </w:p>
    <w:p w:rsidR="00491576" w:rsidRPr="002F42B2" w:rsidRDefault="00FF349E" w:rsidP="00FF349E">
      <w:pPr>
        <w:rPr>
          <w:rFonts w:ascii="Arial" w:hAnsi="Arial" w:cs="Arial"/>
        </w:rPr>
      </w:pPr>
      <w:r w:rsidRPr="002F42B2">
        <w:rPr>
          <w:rFonts w:ascii="Arial" w:hAnsi="Arial" w:cs="Arial"/>
        </w:rPr>
        <w:t>A partir de lo anterior, el órgano jurisdiccional consideró que en aquellos casos en que la legislación electoral no especifique cuál será la fórmula para determinar los límites de aportaciones individuales para el caso de las candidaturas independientes, la autoridad administrativa electoral debe fijarlos a partir de los siguientes elementos: 1. El porcentaje considerado para los límites individuales de los partidos políticos; y 2. El tope de gastos de la campaña que se trate; pudiendo diferenciarse el límite individual de aportaciones de las propias candidaturas del que se fije para sus simpatizantes, siempre que sea racional y objetivo, garantizando la equidad en la contienda.</w:t>
      </w:r>
    </w:p>
    <w:p w:rsidR="00707073" w:rsidRPr="002F42B2" w:rsidRDefault="00707073" w:rsidP="00707073">
      <w:pPr>
        <w:rPr>
          <w:rFonts w:ascii="Arial" w:hAnsi="Arial" w:cs="Arial"/>
        </w:rPr>
      </w:pPr>
      <w:r w:rsidRPr="002F42B2">
        <w:rPr>
          <w:rFonts w:ascii="Arial" w:hAnsi="Arial" w:cs="Arial"/>
        </w:rPr>
        <w:t>Conforme a lo anterior, los porcentajes siguientes son los que se deben considerar para determinar los límites individuales por financiamiento privado:</w:t>
      </w:r>
    </w:p>
    <w:p w:rsidR="00707073" w:rsidRPr="002F42B2" w:rsidRDefault="00707073" w:rsidP="00253D49">
      <w:pPr>
        <w:pStyle w:val="Prrafodelista"/>
        <w:numPr>
          <w:ilvl w:val="0"/>
          <w:numId w:val="14"/>
        </w:numPr>
        <w:ind w:left="703" w:hanging="703"/>
        <w:contextualSpacing w:val="0"/>
        <w:rPr>
          <w:rFonts w:ascii="Arial" w:hAnsi="Arial" w:cs="Arial"/>
        </w:rPr>
      </w:pPr>
      <w:r w:rsidRPr="002F42B2">
        <w:rPr>
          <w:rFonts w:ascii="Arial" w:hAnsi="Arial" w:cs="Arial"/>
        </w:rPr>
        <w:t>El límite individual de aportaciones que podrán realizar los simpatizantes a las candidaturas independientes, será el equivalente al 0.5% del tope de gastos de la campaña de que se trate.</w:t>
      </w:r>
    </w:p>
    <w:p w:rsidR="00707073" w:rsidRPr="002F42B2" w:rsidRDefault="00707073" w:rsidP="00253D49">
      <w:pPr>
        <w:pStyle w:val="Prrafodelista"/>
        <w:numPr>
          <w:ilvl w:val="0"/>
          <w:numId w:val="14"/>
        </w:numPr>
        <w:ind w:left="703" w:hanging="703"/>
        <w:contextualSpacing w:val="0"/>
        <w:rPr>
          <w:rFonts w:ascii="Arial" w:hAnsi="Arial" w:cs="Arial"/>
        </w:rPr>
      </w:pPr>
      <w:r w:rsidRPr="002F42B2">
        <w:rPr>
          <w:rFonts w:ascii="Arial" w:hAnsi="Arial" w:cs="Arial"/>
        </w:rPr>
        <w:t>El límite individual de aportaciones que podrán realizar las candidaturas a sus campañas, será el equivalente al 10% del actual tope de gastos de su campaña, al ser este un parámetro racional y objetivo que garantiza la equidad entre todas las candidaturas.</w:t>
      </w:r>
    </w:p>
    <w:p w:rsidR="00707073" w:rsidRPr="002F42B2" w:rsidRDefault="00707073" w:rsidP="00707073">
      <w:pPr>
        <w:rPr>
          <w:rFonts w:ascii="Arial" w:hAnsi="Arial" w:cs="Arial"/>
        </w:rPr>
      </w:pPr>
      <w:r w:rsidRPr="002F42B2">
        <w:rPr>
          <w:rFonts w:ascii="Arial" w:hAnsi="Arial" w:cs="Arial"/>
        </w:rPr>
        <w:t>Lo anterior de conformidad con los artículos 56 numeral 2 de la Ley de Partidos que establece que, para el caso de las aportaciones de personas candidatas y simpatizantes durante los Procesos Electorales, ésta será del diez por ciento del tope de gastos para la elección inmediata anterior y de forma individual, las aportaciones de las personas simpatizantes tendrán como límite anual el 0.5% del tope de gasto para la elección inmediata anterior.</w:t>
      </w:r>
    </w:p>
    <w:p w:rsidR="00707073" w:rsidRPr="002F42B2" w:rsidRDefault="00253D49" w:rsidP="00253D49">
      <w:pPr>
        <w:rPr>
          <w:rFonts w:ascii="Arial" w:hAnsi="Arial" w:cs="Arial"/>
        </w:rPr>
      </w:pPr>
      <w:r w:rsidRPr="002F42B2">
        <w:rPr>
          <w:rFonts w:ascii="Arial" w:hAnsi="Arial" w:cs="Arial"/>
        </w:rPr>
        <w:t>P</w:t>
      </w:r>
      <w:r w:rsidR="00707073" w:rsidRPr="002F42B2">
        <w:rPr>
          <w:rFonts w:ascii="Arial" w:hAnsi="Arial" w:cs="Arial"/>
        </w:rPr>
        <w:t xml:space="preserve">orcentajes </w:t>
      </w:r>
      <w:r w:rsidRPr="002F42B2">
        <w:rPr>
          <w:rFonts w:ascii="Arial" w:hAnsi="Arial" w:cs="Arial"/>
        </w:rPr>
        <w:t xml:space="preserve">que además son acorde con los criterios establecidos por la Sala Superior en los juicios </w:t>
      </w:r>
      <w:r w:rsidR="00707073" w:rsidRPr="002F42B2">
        <w:rPr>
          <w:rFonts w:ascii="Arial" w:hAnsi="Arial" w:cs="Arial"/>
        </w:rPr>
        <w:t>SUP-JDC-222/2018</w:t>
      </w:r>
      <w:r w:rsidRPr="002F42B2">
        <w:rPr>
          <w:rFonts w:ascii="Arial" w:hAnsi="Arial" w:cs="Arial"/>
        </w:rPr>
        <w:t xml:space="preserve"> y </w:t>
      </w:r>
      <w:r w:rsidR="00707073" w:rsidRPr="002F42B2">
        <w:rPr>
          <w:rFonts w:ascii="Arial" w:hAnsi="Arial" w:cs="Arial"/>
        </w:rPr>
        <w:t>SUP-JDC-274/2018</w:t>
      </w:r>
      <w:r w:rsidRPr="002F42B2">
        <w:rPr>
          <w:rFonts w:ascii="Arial" w:hAnsi="Arial" w:cs="Arial"/>
        </w:rPr>
        <w:t xml:space="preserve"> que refiere que los límites de aportaciones individuales de los simpatizantes y de las personas que ostenten las candidaturas independientes se deben establecer en los mismos términos que la ley señala para los partidos políticos</w:t>
      </w:r>
      <w:r w:rsidR="00707073" w:rsidRPr="002F42B2">
        <w:rPr>
          <w:rFonts w:ascii="Arial" w:hAnsi="Arial" w:cs="Arial"/>
        </w:rPr>
        <w:t>.</w:t>
      </w:r>
    </w:p>
    <w:p w:rsidR="00E342AB" w:rsidRDefault="00C425F5" w:rsidP="00253D49">
      <w:pPr>
        <w:rPr>
          <w:rFonts w:ascii="Arial" w:hAnsi="Arial" w:cs="Arial"/>
        </w:rPr>
      </w:pPr>
      <w:r w:rsidRPr="002F42B2">
        <w:rPr>
          <w:rFonts w:ascii="Arial" w:hAnsi="Arial" w:cs="Arial"/>
        </w:rPr>
        <w:t>A partir de lo anterior, este Consejo Estatal procede a determinar los límites de financiamiento individual de conformidad con lo siguiente</w:t>
      </w:r>
      <w:r w:rsidR="003173ED" w:rsidRPr="002F42B2">
        <w:rPr>
          <w:rStyle w:val="Refdenotaalpie"/>
          <w:rFonts w:ascii="Arial" w:hAnsi="Arial" w:cs="Arial"/>
          <w:color w:val="000000" w:themeColor="text1"/>
          <w:szCs w:val="24"/>
        </w:rPr>
        <w:footnoteReference w:id="3"/>
      </w:r>
      <w:r w:rsidRPr="002F42B2">
        <w:rPr>
          <w:rFonts w:ascii="Arial" w:hAnsi="Arial" w:cs="Arial"/>
        </w:rPr>
        <w:t>:</w:t>
      </w:r>
    </w:p>
    <w:tbl>
      <w:tblPr>
        <w:tblStyle w:val="Tablaconcuadrcula"/>
        <w:tblW w:w="0" w:type="auto"/>
        <w:tblLook w:val="04A0" w:firstRow="1" w:lastRow="0" w:firstColumn="1" w:lastColumn="0" w:noHBand="0" w:noVBand="1"/>
      </w:tblPr>
      <w:tblGrid>
        <w:gridCol w:w="1052"/>
        <w:gridCol w:w="1273"/>
        <w:gridCol w:w="1479"/>
        <w:gridCol w:w="1390"/>
        <w:gridCol w:w="1346"/>
        <w:gridCol w:w="1106"/>
        <w:gridCol w:w="1275"/>
      </w:tblGrid>
      <w:tr w:rsidR="00DD6F1C" w:rsidTr="00D15AAB">
        <w:tc>
          <w:tcPr>
            <w:tcW w:w="1033" w:type="dxa"/>
            <w:vMerge w:val="restart"/>
            <w:shd w:val="clear" w:color="auto" w:fill="993366"/>
            <w:vAlign w:val="center"/>
          </w:tcPr>
          <w:p w:rsidR="00DD6F1C" w:rsidRPr="00D15AAB" w:rsidRDefault="003770A9"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 xml:space="preserve">Distrito/ </w:t>
            </w:r>
            <w:r w:rsidR="00DD6F1C" w:rsidRPr="00D15AAB">
              <w:rPr>
                <w:rFonts w:ascii="Arial" w:hAnsi="Arial" w:cs="Arial"/>
                <w:b/>
                <w:color w:val="FFFFFF" w:themeColor="background1"/>
                <w:sz w:val="16"/>
              </w:rPr>
              <w:t>Municipio</w:t>
            </w:r>
          </w:p>
        </w:tc>
        <w:tc>
          <w:tcPr>
            <w:tcW w:w="1251" w:type="dxa"/>
            <w:vMerge w:val="restart"/>
            <w:shd w:val="clear" w:color="auto" w:fill="993366"/>
            <w:vAlign w:val="center"/>
          </w:tcPr>
          <w:p w:rsidR="00DD6F1C" w:rsidRPr="00D15AAB" w:rsidRDefault="00DD6F1C"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Tope de gastos de campaña (general)</w:t>
            </w:r>
          </w:p>
        </w:tc>
        <w:tc>
          <w:tcPr>
            <w:tcW w:w="1463" w:type="dxa"/>
            <w:shd w:val="clear" w:color="auto" w:fill="993366"/>
            <w:vAlign w:val="center"/>
          </w:tcPr>
          <w:p w:rsidR="00DD6F1C" w:rsidRPr="00D15AAB" w:rsidRDefault="00DD6F1C"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Tope de gastos de campaña (individualizado)</w:t>
            </w:r>
          </w:p>
          <w:p w:rsidR="00C760A0" w:rsidRPr="00D15AAB" w:rsidRDefault="00C760A0"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Acuerdo CE/2023/048</w:t>
            </w:r>
          </w:p>
        </w:tc>
        <w:tc>
          <w:tcPr>
            <w:tcW w:w="1365" w:type="dxa"/>
            <w:shd w:val="clear" w:color="auto" w:fill="993366"/>
            <w:vAlign w:val="center"/>
          </w:tcPr>
          <w:p w:rsidR="00DD6F1C" w:rsidRPr="00D15AAB" w:rsidRDefault="00DD6F1C"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Financiamiento público</w:t>
            </w:r>
          </w:p>
        </w:tc>
        <w:tc>
          <w:tcPr>
            <w:tcW w:w="1335" w:type="dxa"/>
            <w:shd w:val="clear" w:color="auto" w:fill="993366"/>
            <w:vAlign w:val="center"/>
          </w:tcPr>
          <w:p w:rsidR="00DD6F1C" w:rsidRPr="00D15AAB" w:rsidRDefault="00DD6F1C"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Límite de financiamiento privado</w:t>
            </w:r>
          </w:p>
        </w:tc>
        <w:tc>
          <w:tcPr>
            <w:tcW w:w="1114" w:type="dxa"/>
            <w:shd w:val="clear" w:color="auto" w:fill="993366"/>
            <w:vAlign w:val="center"/>
          </w:tcPr>
          <w:p w:rsidR="00DD6F1C" w:rsidRPr="00D15AAB" w:rsidRDefault="00DD6F1C"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Límite de aportación individual del propio candidato.</w:t>
            </w:r>
          </w:p>
          <w:p w:rsidR="00DD6F1C" w:rsidRPr="00D15AAB" w:rsidRDefault="00DD6F1C"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10%</w:t>
            </w:r>
          </w:p>
        </w:tc>
        <w:tc>
          <w:tcPr>
            <w:tcW w:w="1267" w:type="dxa"/>
            <w:shd w:val="clear" w:color="auto" w:fill="993366"/>
            <w:vAlign w:val="center"/>
          </w:tcPr>
          <w:p w:rsidR="00DD6F1C" w:rsidRPr="00D15AAB" w:rsidRDefault="00DD6F1C"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Límite de aportación individual de sus simpatizantes</w:t>
            </w:r>
          </w:p>
          <w:p w:rsidR="00DD6F1C" w:rsidRPr="00D15AAB" w:rsidRDefault="00DD6F1C" w:rsidP="003142AC">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.5%</w:t>
            </w:r>
          </w:p>
        </w:tc>
      </w:tr>
      <w:tr w:rsidR="00DD6F1C" w:rsidTr="00D15AAB">
        <w:tc>
          <w:tcPr>
            <w:tcW w:w="1033" w:type="dxa"/>
            <w:vMerge/>
            <w:shd w:val="clear" w:color="auto" w:fill="993366"/>
            <w:vAlign w:val="center"/>
          </w:tcPr>
          <w:p w:rsidR="00DD6F1C" w:rsidRPr="00D15AAB" w:rsidRDefault="00DD6F1C" w:rsidP="00DD6F1C">
            <w:pPr>
              <w:spacing w:before="20" w:after="20"/>
              <w:rPr>
                <w:rFonts w:ascii="Arial" w:hAnsi="Arial" w:cs="Arial"/>
                <w:b/>
                <w:color w:val="FFFFFF" w:themeColor="background1"/>
                <w:sz w:val="16"/>
                <w:szCs w:val="16"/>
              </w:rPr>
            </w:pPr>
          </w:p>
        </w:tc>
        <w:tc>
          <w:tcPr>
            <w:tcW w:w="1251" w:type="dxa"/>
            <w:vMerge/>
            <w:shd w:val="clear" w:color="auto" w:fill="993366"/>
            <w:vAlign w:val="center"/>
          </w:tcPr>
          <w:p w:rsidR="00DD6F1C" w:rsidRPr="00D15AAB" w:rsidRDefault="00DD6F1C" w:rsidP="00DD6F1C">
            <w:pPr>
              <w:spacing w:before="20" w:after="20"/>
              <w:rPr>
                <w:rFonts w:ascii="Arial" w:hAnsi="Arial" w:cs="Arial"/>
                <w:b/>
                <w:color w:val="FFFFFF" w:themeColor="background1"/>
                <w:sz w:val="16"/>
                <w:szCs w:val="16"/>
              </w:rPr>
            </w:pPr>
          </w:p>
        </w:tc>
        <w:tc>
          <w:tcPr>
            <w:tcW w:w="1463" w:type="dxa"/>
            <w:shd w:val="clear" w:color="auto" w:fill="993366"/>
            <w:vAlign w:val="center"/>
          </w:tcPr>
          <w:p w:rsidR="00DD6F1C" w:rsidRPr="00D15AAB" w:rsidRDefault="00DD6F1C" w:rsidP="00DD6F1C">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A</w:t>
            </w:r>
          </w:p>
        </w:tc>
        <w:tc>
          <w:tcPr>
            <w:tcW w:w="1365" w:type="dxa"/>
            <w:shd w:val="clear" w:color="auto" w:fill="993366"/>
            <w:vAlign w:val="center"/>
          </w:tcPr>
          <w:p w:rsidR="00DD6F1C" w:rsidRPr="00D15AAB" w:rsidRDefault="00DD6F1C" w:rsidP="00DD6F1C">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B</w:t>
            </w:r>
          </w:p>
        </w:tc>
        <w:tc>
          <w:tcPr>
            <w:tcW w:w="1335" w:type="dxa"/>
            <w:shd w:val="clear" w:color="auto" w:fill="993366"/>
            <w:vAlign w:val="center"/>
          </w:tcPr>
          <w:p w:rsidR="00DD6F1C" w:rsidRPr="00D15AAB" w:rsidRDefault="00861901" w:rsidP="00861901">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C = A</w:t>
            </w:r>
            <w:r w:rsidR="00DD6F1C" w:rsidRPr="00D15AAB">
              <w:rPr>
                <w:rFonts w:ascii="Arial" w:hAnsi="Arial" w:cs="Arial"/>
                <w:b/>
                <w:color w:val="FFFFFF" w:themeColor="background1"/>
                <w:sz w:val="16"/>
                <w:szCs w:val="16"/>
              </w:rPr>
              <w:t xml:space="preserve"> – </w:t>
            </w:r>
            <w:r w:rsidRPr="00D15AAB">
              <w:rPr>
                <w:rFonts w:ascii="Arial" w:hAnsi="Arial" w:cs="Arial"/>
                <w:b/>
                <w:color w:val="FFFFFF" w:themeColor="background1"/>
                <w:sz w:val="16"/>
                <w:szCs w:val="16"/>
              </w:rPr>
              <w:t>B</w:t>
            </w:r>
          </w:p>
        </w:tc>
        <w:tc>
          <w:tcPr>
            <w:tcW w:w="1114" w:type="dxa"/>
            <w:shd w:val="clear" w:color="auto" w:fill="993366"/>
            <w:vAlign w:val="center"/>
          </w:tcPr>
          <w:p w:rsidR="00DD6F1C" w:rsidRPr="00D15AAB" w:rsidRDefault="00DD6F1C" w:rsidP="00DD6F1C">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D = A × 10%</w:t>
            </w:r>
          </w:p>
        </w:tc>
        <w:tc>
          <w:tcPr>
            <w:tcW w:w="1267" w:type="dxa"/>
            <w:shd w:val="clear" w:color="auto" w:fill="993366"/>
            <w:vAlign w:val="center"/>
          </w:tcPr>
          <w:p w:rsidR="00DD6F1C" w:rsidRPr="00D15AAB" w:rsidRDefault="00DD6F1C" w:rsidP="00DD6F1C">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E = A × .5%</w:t>
            </w:r>
          </w:p>
        </w:tc>
      </w:tr>
      <w:tr w:rsidR="00C760A0" w:rsidTr="00D15AAB">
        <w:tc>
          <w:tcPr>
            <w:tcW w:w="1033" w:type="dxa"/>
            <w:vAlign w:val="center"/>
          </w:tcPr>
          <w:p w:rsidR="00C760A0" w:rsidRPr="00D15AAB" w:rsidRDefault="00C760A0" w:rsidP="003142AC">
            <w:pPr>
              <w:spacing w:before="40" w:after="40"/>
              <w:rPr>
                <w:rFonts w:ascii="Arial" w:hAnsi="Arial" w:cs="Arial"/>
                <w:b/>
                <w:spacing w:val="-4"/>
                <w:sz w:val="16"/>
                <w:szCs w:val="16"/>
              </w:rPr>
            </w:pPr>
            <w:r w:rsidRPr="00D15AAB">
              <w:rPr>
                <w:rFonts w:ascii="Arial" w:hAnsi="Arial" w:cs="Arial"/>
                <w:b/>
                <w:spacing w:val="-4"/>
                <w:sz w:val="16"/>
                <w:szCs w:val="16"/>
              </w:rPr>
              <w:t>Distrito 13</w:t>
            </w:r>
          </w:p>
        </w:tc>
        <w:tc>
          <w:tcPr>
            <w:tcW w:w="1251" w:type="dxa"/>
            <w:vMerge w:val="restart"/>
            <w:vAlign w:val="center"/>
          </w:tcPr>
          <w:p w:rsidR="00C760A0" w:rsidRPr="00D15AAB" w:rsidRDefault="00C760A0" w:rsidP="003142AC">
            <w:pPr>
              <w:spacing w:before="40" w:after="40"/>
              <w:rPr>
                <w:rFonts w:ascii="Arial" w:hAnsi="Arial" w:cs="Arial"/>
                <w:b/>
                <w:spacing w:val="-4"/>
                <w:sz w:val="16"/>
                <w:szCs w:val="16"/>
              </w:rPr>
            </w:pPr>
            <w:r w:rsidRPr="00D15AAB">
              <w:rPr>
                <w:rFonts w:ascii="Arial" w:hAnsi="Arial" w:cs="Arial"/>
                <w:b/>
                <w:spacing w:val="-4"/>
                <w:sz w:val="16"/>
                <w:szCs w:val="16"/>
              </w:rPr>
              <w:t>$12’137,627.20</w:t>
            </w:r>
          </w:p>
        </w:tc>
        <w:tc>
          <w:tcPr>
            <w:tcW w:w="1463" w:type="dxa"/>
            <w:vAlign w:val="center"/>
          </w:tcPr>
          <w:p w:rsidR="00C760A0" w:rsidRPr="00D15AAB" w:rsidRDefault="00C760A0" w:rsidP="003142AC">
            <w:pPr>
              <w:spacing w:before="40" w:after="40"/>
              <w:jc w:val="right"/>
              <w:rPr>
                <w:rFonts w:ascii="Arial" w:hAnsi="Arial" w:cs="Arial"/>
                <w:b/>
                <w:spacing w:val="-4"/>
                <w:sz w:val="16"/>
                <w:szCs w:val="16"/>
              </w:rPr>
            </w:pPr>
            <w:r w:rsidRPr="00D15AAB">
              <w:rPr>
                <w:rFonts w:ascii="Arial" w:hAnsi="Arial" w:cs="Arial"/>
                <w:b/>
                <w:spacing w:val="-4"/>
                <w:sz w:val="16"/>
                <w:szCs w:val="16"/>
              </w:rPr>
              <w:t>$574,966.65</w:t>
            </w:r>
          </w:p>
        </w:tc>
        <w:tc>
          <w:tcPr>
            <w:tcW w:w="1365" w:type="dxa"/>
            <w:vAlign w:val="center"/>
          </w:tcPr>
          <w:p w:rsidR="00C760A0" w:rsidRPr="00D15AAB" w:rsidRDefault="005639B8" w:rsidP="003142AC">
            <w:pPr>
              <w:spacing w:before="40" w:after="40"/>
              <w:jc w:val="center"/>
              <w:rPr>
                <w:rFonts w:ascii="Arial" w:hAnsi="Arial" w:cs="Arial"/>
                <w:b/>
                <w:spacing w:val="-4"/>
                <w:sz w:val="16"/>
                <w:szCs w:val="16"/>
              </w:rPr>
            </w:pPr>
            <w:r w:rsidRPr="00D15AAB">
              <w:rPr>
                <w:rFonts w:ascii="Arial" w:hAnsi="Arial" w:cs="Arial"/>
                <w:b/>
                <w:spacing w:val="-4"/>
                <w:sz w:val="16"/>
                <w:szCs w:val="16"/>
              </w:rPr>
              <w:t>$202,091.49</w:t>
            </w:r>
          </w:p>
        </w:tc>
        <w:tc>
          <w:tcPr>
            <w:tcW w:w="1335" w:type="dxa"/>
            <w:vAlign w:val="center"/>
          </w:tcPr>
          <w:p w:rsidR="00C760A0" w:rsidRPr="00D15AAB" w:rsidRDefault="005639B8" w:rsidP="00DD6F1C">
            <w:pPr>
              <w:spacing w:before="40" w:after="40"/>
              <w:jc w:val="right"/>
              <w:rPr>
                <w:rFonts w:ascii="Arial" w:hAnsi="Arial" w:cs="Arial"/>
                <w:b/>
                <w:spacing w:val="-4"/>
                <w:sz w:val="16"/>
                <w:szCs w:val="16"/>
              </w:rPr>
            </w:pPr>
            <w:r w:rsidRPr="00D15AAB">
              <w:rPr>
                <w:rFonts w:ascii="Arial" w:hAnsi="Arial" w:cs="Arial"/>
                <w:b/>
                <w:spacing w:val="-4"/>
                <w:sz w:val="16"/>
                <w:szCs w:val="16"/>
              </w:rPr>
              <w:t>$372,875.16</w:t>
            </w:r>
          </w:p>
        </w:tc>
        <w:tc>
          <w:tcPr>
            <w:tcW w:w="1114" w:type="dxa"/>
            <w:vAlign w:val="center"/>
          </w:tcPr>
          <w:p w:rsidR="00C760A0" w:rsidRPr="00D15AAB" w:rsidRDefault="00C56754" w:rsidP="00DD6F1C">
            <w:pPr>
              <w:spacing w:before="40" w:after="40"/>
              <w:jc w:val="right"/>
              <w:rPr>
                <w:rFonts w:ascii="Arial" w:hAnsi="Arial" w:cs="Arial"/>
                <w:b/>
                <w:spacing w:val="-4"/>
                <w:sz w:val="16"/>
                <w:szCs w:val="16"/>
              </w:rPr>
            </w:pPr>
            <w:r w:rsidRPr="00D15AAB">
              <w:rPr>
                <w:rFonts w:ascii="Arial" w:hAnsi="Arial" w:cs="Arial"/>
                <w:b/>
                <w:spacing w:val="-4"/>
                <w:sz w:val="16"/>
                <w:szCs w:val="16"/>
              </w:rPr>
              <w:t>$57,496.67</w:t>
            </w:r>
          </w:p>
        </w:tc>
        <w:tc>
          <w:tcPr>
            <w:tcW w:w="1267" w:type="dxa"/>
            <w:vAlign w:val="center"/>
          </w:tcPr>
          <w:p w:rsidR="00C760A0" w:rsidRPr="00D15AAB" w:rsidRDefault="00C56754" w:rsidP="00DD6F1C">
            <w:pPr>
              <w:spacing w:before="40" w:after="40"/>
              <w:jc w:val="right"/>
              <w:rPr>
                <w:rFonts w:ascii="Arial" w:hAnsi="Arial" w:cs="Arial"/>
                <w:b/>
                <w:spacing w:val="-4"/>
                <w:sz w:val="16"/>
                <w:szCs w:val="16"/>
              </w:rPr>
            </w:pPr>
            <w:r w:rsidRPr="00D15AAB">
              <w:rPr>
                <w:rFonts w:ascii="Arial" w:hAnsi="Arial" w:cs="Arial"/>
                <w:b/>
                <w:spacing w:val="-4"/>
                <w:sz w:val="16"/>
                <w:szCs w:val="16"/>
              </w:rPr>
              <w:t>$2,874.83</w:t>
            </w:r>
          </w:p>
        </w:tc>
      </w:tr>
      <w:tr w:rsidR="00C760A0" w:rsidTr="00D15AAB">
        <w:tc>
          <w:tcPr>
            <w:tcW w:w="1033" w:type="dxa"/>
            <w:vAlign w:val="center"/>
          </w:tcPr>
          <w:p w:rsidR="00C760A0" w:rsidRPr="00D15AAB" w:rsidRDefault="00C760A0" w:rsidP="003142AC">
            <w:pPr>
              <w:spacing w:before="40" w:after="40"/>
              <w:rPr>
                <w:rFonts w:ascii="Arial" w:hAnsi="Arial" w:cs="Arial"/>
                <w:b/>
                <w:spacing w:val="-4"/>
                <w:sz w:val="16"/>
                <w:szCs w:val="16"/>
              </w:rPr>
            </w:pPr>
            <w:r w:rsidRPr="00D15AAB">
              <w:rPr>
                <w:rFonts w:ascii="Arial" w:hAnsi="Arial" w:cs="Arial"/>
                <w:b/>
                <w:spacing w:val="-4"/>
                <w:sz w:val="16"/>
                <w:szCs w:val="16"/>
              </w:rPr>
              <w:t>Cárdenas</w:t>
            </w:r>
          </w:p>
        </w:tc>
        <w:tc>
          <w:tcPr>
            <w:tcW w:w="1251" w:type="dxa"/>
            <w:vMerge/>
            <w:vAlign w:val="center"/>
          </w:tcPr>
          <w:p w:rsidR="00C760A0" w:rsidRPr="00D15AAB" w:rsidRDefault="00C760A0" w:rsidP="003142AC">
            <w:pPr>
              <w:spacing w:before="40" w:after="40"/>
              <w:rPr>
                <w:rFonts w:ascii="Arial" w:hAnsi="Arial" w:cs="Arial"/>
                <w:b/>
                <w:spacing w:val="-4"/>
                <w:sz w:val="16"/>
                <w:szCs w:val="16"/>
              </w:rPr>
            </w:pPr>
          </w:p>
        </w:tc>
        <w:tc>
          <w:tcPr>
            <w:tcW w:w="1463" w:type="dxa"/>
            <w:vAlign w:val="center"/>
          </w:tcPr>
          <w:p w:rsidR="00C760A0" w:rsidRPr="00D15AAB" w:rsidRDefault="00C760A0" w:rsidP="003142AC">
            <w:pPr>
              <w:spacing w:before="40" w:after="40"/>
              <w:jc w:val="right"/>
              <w:rPr>
                <w:rFonts w:ascii="Arial" w:hAnsi="Arial" w:cs="Arial"/>
                <w:b/>
                <w:spacing w:val="-4"/>
                <w:sz w:val="16"/>
                <w:szCs w:val="16"/>
              </w:rPr>
            </w:pPr>
            <w:r w:rsidRPr="00D15AAB">
              <w:rPr>
                <w:rFonts w:ascii="Arial" w:hAnsi="Arial" w:cs="Arial"/>
                <w:b/>
                <w:spacing w:val="-4"/>
                <w:sz w:val="16"/>
                <w:szCs w:val="16"/>
              </w:rPr>
              <w:t>$1’226,436.44</w:t>
            </w:r>
          </w:p>
        </w:tc>
        <w:tc>
          <w:tcPr>
            <w:tcW w:w="1365" w:type="dxa"/>
            <w:vAlign w:val="center"/>
          </w:tcPr>
          <w:p w:rsidR="00C760A0" w:rsidRPr="00D15AAB" w:rsidRDefault="005639B8" w:rsidP="003142AC">
            <w:pPr>
              <w:spacing w:before="40" w:after="40"/>
              <w:jc w:val="center"/>
              <w:rPr>
                <w:rFonts w:ascii="Arial" w:hAnsi="Arial" w:cs="Arial"/>
                <w:b/>
                <w:spacing w:val="-4"/>
                <w:sz w:val="16"/>
                <w:szCs w:val="16"/>
              </w:rPr>
            </w:pPr>
            <w:r w:rsidRPr="00D15AAB">
              <w:rPr>
                <w:rFonts w:ascii="Arial" w:hAnsi="Arial" w:cs="Arial"/>
                <w:b/>
                <w:spacing w:val="-4"/>
                <w:sz w:val="16"/>
                <w:szCs w:val="16"/>
              </w:rPr>
              <w:t>$134,727.66</w:t>
            </w:r>
          </w:p>
        </w:tc>
        <w:tc>
          <w:tcPr>
            <w:tcW w:w="1335" w:type="dxa"/>
            <w:vAlign w:val="center"/>
          </w:tcPr>
          <w:p w:rsidR="00C760A0" w:rsidRPr="00D15AAB" w:rsidRDefault="005639B8" w:rsidP="00DD6F1C">
            <w:pPr>
              <w:spacing w:before="40" w:after="40"/>
              <w:jc w:val="right"/>
              <w:rPr>
                <w:rFonts w:ascii="Arial" w:hAnsi="Arial" w:cs="Arial"/>
                <w:b/>
                <w:spacing w:val="-4"/>
                <w:sz w:val="16"/>
                <w:szCs w:val="16"/>
              </w:rPr>
            </w:pPr>
            <w:r w:rsidRPr="00D15AAB">
              <w:rPr>
                <w:rFonts w:ascii="Arial" w:hAnsi="Arial" w:cs="Arial"/>
                <w:b/>
                <w:spacing w:val="-4"/>
                <w:sz w:val="16"/>
                <w:szCs w:val="16"/>
              </w:rPr>
              <w:t>$1,091,708.78</w:t>
            </w:r>
          </w:p>
        </w:tc>
        <w:tc>
          <w:tcPr>
            <w:tcW w:w="1114" w:type="dxa"/>
            <w:vAlign w:val="center"/>
          </w:tcPr>
          <w:p w:rsidR="00C760A0" w:rsidRPr="00D15AAB" w:rsidRDefault="00C760A0" w:rsidP="00DD6F1C">
            <w:pPr>
              <w:spacing w:before="40" w:after="40"/>
              <w:jc w:val="right"/>
              <w:rPr>
                <w:rFonts w:ascii="Arial" w:hAnsi="Arial" w:cs="Arial"/>
                <w:b/>
                <w:spacing w:val="-4"/>
                <w:sz w:val="16"/>
                <w:szCs w:val="16"/>
              </w:rPr>
            </w:pPr>
            <w:r w:rsidRPr="00D15AAB">
              <w:rPr>
                <w:rFonts w:ascii="Arial" w:hAnsi="Arial" w:cs="Arial"/>
                <w:b/>
                <w:spacing w:val="-4"/>
                <w:sz w:val="16"/>
                <w:szCs w:val="16"/>
              </w:rPr>
              <w:t>$122,643.64</w:t>
            </w:r>
          </w:p>
        </w:tc>
        <w:tc>
          <w:tcPr>
            <w:tcW w:w="1267" w:type="dxa"/>
            <w:vAlign w:val="center"/>
          </w:tcPr>
          <w:p w:rsidR="00C760A0" w:rsidRPr="00D15AAB" w:rsidRDefault="00C760A0" w:rsidP="00DD6F1C">
            <w:pPr>
              <w:spacing w:before="40" w:after="40"/>
              <w:jc w:val="right"/>
              <w:rPr>
                <w:rFonts w:ascii="Arial" w:hAnsi="Arial" w:cs="Arial"/>
                <w:b/>
                <w:spacing w:val="-4"/>
                <w:sz w:val="16"/>
                <w:szCs w:val="16"/>
              </w:rPr>
            </w:pPr>
            <w:r w:rsidRPr="00D15AAB">
              <w:rPr>
                <w:rFonts w:ascii="Arial" w:hAnsi="Arial" w:cs="Arial"/>
                <w:b/>
                <w:spacing w:val="-4"/>
                <w:sz w:val="16"/>
                <w:szCs w:val="16"/>
              </w:rPr>
              <w:t>$6,132.18</w:t>
            </w:r>
          </w:p>
        </w:tc>
      </w:tr>
      <w:tr w:rsidR="00C760A0" w:rsidTr="00D15AAB">
        <w:tc>
          <w:tcPr>
            <w:tcW w:w="1033" w:type="dxa"/>
            <w:vAlign w:val="center"/>
          </w:tcPr>
          <w:p w:rsidR="00C760A0" w:rsidRPr="00D15AAB" w:rsidRDefault="00C760A0" w:rsidP="003142AC">
            <w:pPr>
              <w:spacing w:before="40" w:after="40"/>
              <w:rPr>
                <w:rFonts w:ascii="Arial" w:hAnsi="Arial" w:cs="Arial"/>
                <w:b/>
                <w:spacing w:val="-4"/>
                <w:sz w:val="16"/>
                <w:szCs w:val="16"/>
              </w:rPr>
            </w:pPr>
            <w:r w:rsidRPr="00D15AAB">
              <w:rPr>
                <w:rFonts w:ascii="Arial" w:hAnsi="Arial" w:cs="Arial"/>
                <w:b/>
                <w:spacing w:val="-4"/>
                <w:sz w:val="16"/>
                <w:szCs w:val="16"/>
              </w:rPr>
              <w:t>Centla</w:t>
            </w:r>
          </w:p>
        </w:tc>
        <w:tc>
          <w:tcPr>
            <w:tcW w:w="1251" w:type="dxa"/>
            <w:vMerge/>
            <w:vAlign w:val="center"/>
          </w:tcPr>
          <w:p w:rsidR="00C760A0" w:rsidRPr="00D15AAB" w:rsidRDefault="00C760A0" w:rsidP="003142AC">
            <w:pPr>
              <w:spacing w:before="40" w:after="40"/>
              <w:rPr>
                <w:rFonts w:ascii="Arial" w:hAnsi="Arial" w:cs="Arial"/>
                <w:b/>
                <w:spacing w:val="-4"/>
                <w:sz w:val="16"/>
                <w:szCs w:val="16"/>
              </w:rPr>
            </w:pPr>
          </w:p>
        </w:tc>
        <w:tc>
          <w:tcPr>
            <w:tcW w:w="1463" w:type="dxa"/>
            <w:vAlign w:val="center"/>
          </w:tcPr>
          <w:p w:rsidR="00C760A0" w:rsidRPr="00D15AAB" w:rsidRDefault="00C760A0" w:rsidP="003142AC">
            <w:pPr>
              <w:spacing w:before="40" w:after="40"/>
              <w:jc w:val="right"/>
              <w:rPr>
                <w:rFonts w:ascii="Arial" w:hAnsi="Arial" w:cs="Arial"/>
                <w:b/>
                <w:spacing w:val="-4"/>
                <w:sz w:val="16"/>
                <w:szCs w:val="16"/>
              </w:rPr>
            </w:pPr>
            <w:r w:rsidRPr="00D15AAB">
              <w:rPr>
                <w:rFonts w:ascii="Arial" w:hAnsi="Arial" w:cs="Arial"/>
                <w:b/>
                <w:spacing w:val="-4"/>
                <w:sz w:val="16"/>
                <w:szCs w:val="16"/>
              </w:rPr>
              <w:t>$531,699.88</w:t>
            </w:r>
          </w:p>
        </w:tc>
        <w:tc>
          <w:tcPr>
            <w:tcW w:w="1365" w:type="dxa"/>
            <w:vAlign w:val="center"/>
          </w:tcPr>
          <w:p w:rsidR="00C760A0" w:rsidRPr="00D15AAB" w:rsidRDefault="005639B8" w:rsidP="003142AC">
            <w:pPr>
              <w:spacing w:before="40" w:after="40"/>
              <w:jc w:val="center"/>
              <w:rPr>
                <w:rFonts w:ascii="Arial" w:hAnsi="Arial" w:cs="Arial"/>
                <w:b/>
                <w:spacing w:val="-4"/>
                <w:sz w:val="16"/>
                <w:szCs w:val="16"/>
              </w:rPr>
            </w:pPr>
            <w:r w:rsidRPr="00D15AAB">
              <w:rPr>
                <w:rFonts w:ascii="Arial" w:hAnsi="Arial" w:cs="Arial"/>
                <w:b/>
                <w:spacing w:val="-4"/>
                <w:sz w:val="16"/>
                <w:szCs w:val="16"/>
              </w:rPr>
              <w:t>$134,727.66</w:t>
            </w:r>
          </w:p>
        </w:tc>
        <w:tc>
          <w:tcPr>
            <w:tcW w:w="1335" w:type="dxa"/>
            <w:vAlign w:val="center"/>
          </w:tcPr>
          <w:p w:rsidR="00C760A0" w:rsidRPr="00D15AAB" w:rsidRDefault="005639B8" w:rsidP="00DD6F1C">
            <w:pPr>
              <w:spacing w:before="40" w:after="40"/>
              <w:jc w:val="right"/>
              <w:rPr>
                <w:rFonts w:ascii="Arial" w:hAnsi="Arial" w:cs="Arial"/>
                <w:b/>
                <w:spacing w:val="-4"/>
                <w:sz w:val="16"/>
                <w:szCs w:val="16"/>
              </w:rPr>
            </w:pPr>
            <w:r w:rsidRPr="00D15AAB">
              <w:rPr>
                <w:rFonts w:ascii="Arial" w:hAnsi="Arial" w:cs="Arial"/>
                <w:b/>
                <w:spacing w:val="-4"/>
                <w:sz w:val="16"/>
                <w:szCs w:val="16"/>
              </w:rPr>
              <w:t>$396,972.22</w:t>
            </w:r>
          </w:p>
        </w:tc>
        <w:tc>
          <w:tcPr>
            <w:tcW w:w="1114" w:type="dxa"/>
            <w:vAlign w:val="center"/>
          </w:tcPr>
          <w:p w:rsidR="00C760A0" w:rsidRPr="00D15AAB" w:rsidRDefault="00C760A0" w:rsidP="00DD6F1C">
            <w:pPr>
              <w:spacing w:before="40" w:after="40"/>
              <w:jc w:val="right"/>
              <w:rPr>
                <w:rFonts w:ascii="Arial" w:hAnsi="Arial" w:cs="Arial"/>
                <w:b/>
                <w:spacing w:val="-4"/>
                <w:sz w:val="16"/>
                <w:szCs w:val="16"/>
              </w:rPr>
            </w:pPr>
            <w:r w:rsidRPr="00D15AAB">
              <w:rPr>
                <w:rFonts w:ascii="Arial" w:hAnsi="Arial" w:cs="Arial"/>
                <w:b/>
                <w:spacing w:val="-4"/>
                <w:sz w:val="16"/>
                <w:szCs w:val="16"/>
              </w:rPr>
              <w:t>$53,169.99</w:t>
            </w:r>
          </w:p>
        </w:tc>
        <w:tc>
          <w:tcPr>
            <w:tcW w:w="1267" w:type="dxa"/>
            <w:vAlign w:val="center"/>
          </w:tcPr>
          <w:p w:rsidR="00C760A0" w:rsidRPr="00D15AAB" w:rsidRDefault="00C760A0" w:rsidP="00DD6F1C">
            <w:pPr>
              <w:spacing w:before="40" w:after="40"/>
              <w:jc w:val="right"/>
              <w:rPr>
                <w:rFonts w:ascii="Arial" w:hAnsi="Arial" w:cs="Arial"/>
                <w:b/>
                <w:spacing w:val="-4"/>
                <w:sz w:val="16"/>
                <w:szCs w:val="16"/>
              </w:rPr>
            </w:pPr>
            <w:r w:rsidRPr="00D15AAB">
              <w:rPr>
                <w:rFonts w:ascii="Arial" w:hAnsi="Arial" w:cs="Arial"/>
                <w:b/>
                <w:spacing w:val="-4"/>
                <w:sz w:val="16"/>
                <w:szCs w:val="16"/>
              </w:rPr>
              <w:t>$2,658.50</w:t>
            </w:r>
          </w:p>
        </w:tc>
      </w:tr>
      <w:tr w:rsidR="00C760A0" w:rsidTr="00D15AAB">
        <w:tc>
          <w:tcPr>
            <w:tcW w:w="1033" w:type="dxa"/>
            <w:vAlign w:val="center"/>
          </w:tcPr>
          <w:p w:rsidR="00C760A0" w:rsidRPr="00D15AAB" w:rsidRDefault="00C760A0" w:rsidP="003142AC">
            <w:pPr>
              <w:spacing w:before="40" w:after="40"/>
              <w:rPr>
                <w:rFonts w:ascii="Arial" w:hAnsi="Arial" w:cs="Arial"/>
                <w:b/>
                <w:spacing w:val="-4"/>
                <w:sz w:val="16"/>
                <w:szCs w:val="16"/>
              </w:rPr>
            </w:pPr>
            <w:r w:rsidRPr="00D15AAB">
              <w:rPr>
                <w:rFonts w:ascii="Arial" w:hAnsi="Arial" w:cs="Arial"/>
                <w:b/>
                <w:spacing w:val="-4"/>
                <w:sz w:val="16"/>
                <w:szCs w:val="16"/>
              </w:rPr>
              <w:t>Cunduacán</w:t>
            </w:r>
          </w:p>
        </w:tc>
        <w:tc>
          <w:tcPr>
            <w:tcW w:w="1251" w:type="dxa"/>
            <w:vMerge/>
            <w:vAlign w:val="center"/>
          </w:tcPr>
          <w:p w:rsidR="00C760A0" w:rsidRPr="00D15AAB" w:rsidRDefault="00C760A0" w:rsidP="003142AC">
            <w:pPr>
              <w:spacing w:before="40" w:after="40"/>
              <w:rPr>
                <w:rFonts w:ascii="Arial" w:hAnsi="Arial" w:cs="Arial"/>
                <w:b/>
                <w:spacing w:val="-4"/>
                <w:sz w:val="16"/>
                <w:szCs w:val="16"/>
              </w:rPr>
            </w:pPr>
          </w:p>
        </w:tc>
        <w:tc>
          <w:tcPr>
            <w:tcW w:w="1463" w:type="dxa"/>
            <w:vAlign w:val="center"/>
          </w:tcPr>
          <w:p w:rsidR="00C760A0" w:rsidRPr="00D15AAB" w:rsidRDefault="00C760A0" w:rsidP="003142AC">
            <w:pPr>
              <w:spacing w:before="40" w:after="40"/>
              <w:jc w:val="right"/>
              <w:rPr>
                <w:rFonts w:ascii="Arial" w:hAnsi="Arial" w:cs="Arial"/>
                <w:b/>
                <w:spacing w:val="-4"/>
                <w:sz w:val="16"/>
                <w:szCs w:val="16"/>
              </w:rPr>
            </w:pPr>
            <w:r w:rsidRPr="00D15AAB">
              <w:rPr>
                <w:rFonts w:ascii="Arial" w:hAnsi="Arial" w:cs="Arial"/>
                <w:b/>
                <w:spacing w:val="-4"/>
                <w:sz w:val="16"/>
                <w:szCs w:val="16"/>
              </w:rPr>
              <w:t>$666,265.82</w:t>
            </w:r>
          </w:p>
        </w:tc>
        <w:tc>
          <w:tcPr>
            <w:tcW w:w="1365" w:type="dxa"/>
            <w:vAlign w:val="center"/>
          </w:tcPr>
          <w:p w:rsidR="00C760A0" w:rsidRPr="00D15AAB" w:rsidRDefault="005639B8" w:rsidP="003142AC">
            <w:pPr>
              <w:spacing w:before="40" w:after="40"/>
              <w:jc w:val="center"/>
              <w:rPr>
                <w:rFonts w:ascii="Arial" w:hAnsi="Arial" w:cs="Arial"/>
                <w:b/>
                <w:spacing w:val="-4"/>
                <w:sz w:val="16"/>
                <w:szCs w:val="16"/>
              </w:rPr>
            </w:pPr>
            <w:r w:rsidRPr="00D15AAB">
              <w:rPr>
                <w:rFonts w:ascii="Arial" w:hAnsi="Arial" w:cs="Arial"/>
                <w:b/>
                <w:spacing w:val="-4"/>
                <w:sz w:val="16"/>
                <w:szCs w:val="16"/>
              </w:rPr>
              <w:t>$134,727.66</w:t>
            </w:r>
          </w:p>
        </w:tc>
        <w:tc>
          <w:tcPr>
            <w:tcW w:w="1335" w:type="dxa"/>
            <w:vAlign w:val="center"/>
          </w:tcPr>
          <w:p w:rsidR="00C760A0" w:rsidRPr="00D15AAB" w:rsidRDefault="005639B8" w:rsidP="00DD6F1C">
            <w:pPr>
              <w:spacing w:before="40" w:after="40"/>
              <w:jc w:val="right"/>
              <w:rPr>
                <w:rFonts w:ascii="Arial" w:hAnsi="Arial" w:cs="Arial"/>
                <w:b/>
                <w:spacing w:val="-4"/>
                <w:sz w:val="16"/>
                <w:szCs w:val="16"/>
              </w:rPr>
            </w:pPr>
            <w:r w:rsidRPr="00D15AAB">
              <w:rPr>
                <w:rFonts w:ascii="Arial" w:hAnsi="Arial" w:cs="Arial"/>
                <w:b/>
                <w:spacing w:val="-4"/>
                <w:sz w:val="16"/>
                <w:szCs w:val="16"/>
              </w:rPr>
              <w:t>$531,538.16</w:t>
            </w:r>
          </w:p>
        </w:tc>
        <w:tc>
          <w:tcPr>
            <w:tcW w:w="1114" w:type="dxa"/>
            <w:vAlign w:val="center"/>
          </w:tcPr>
          <w:p w:rsidR="00C760A0" w:rsidRPr="00D15AAB" w:rsidRDefault="00C760A0" w:rsidP="00DD6F1C">
            <w:pPr>
              <w:spacing w:before="40" w:after="40"/>
              <w:jc w:val="right"/>
              <w:rPr>
                <w:rFonts w:ascii="Arial" w:hAnsi="Arial" w:cs="Arial"/>
                <w:b/>
                <w:spacing w:val="-4"/>
                <w:sz w:val="16"/>
                <w:szCs w:val="16"/>
              </w:rPr>
            </w:pPr>
            <w:r w:rsidRPr="00D15AAB">
              <w:rPr>
                <w:rFonts w:ascii="Arial" w:hAnsi="Arial" w:cs="Arial"/>
                <w:b/>
                <w:spacing w:val="-4"/>
                <w:sz w:val="16"/>
                <w:szCs w:val="16"/>
              </w:rPr>
              <w:t>$66,626.58</w:t>
            </w:r>
          </w:p>
        </w:tc>
        <w:tc>
          <w:tcPr>
            <w:tcW w:w="1267" w:type="dxa"/>
            <w:vAlign w:val="center"/>
          </w:tcPr>
          <w:p w:rsidR="00C760A0" w:rsidRPr="00D15AAB" w:rsidRDefault="00C760A0" w:rsidP="00DD6F1C">
            <w:pPr>
              <w:spacing w:before="40" w:after="40"/>
              <w:jc w:val="right"/>
              <w:rPr>
                <w:rFonts w:ascii="Arial" w:hAnsi="Arial" w:cs="Arial"/>
                <w:b/>
                <w:spacing w:val="-4"/>
                <w:sz w:val="16"/>
                <w:szCs w:val="16"/>
              </w:rPr>
            </w:pPr>
            <w:r w:rsidRPr="00D15AAB">
              <w:rPr>
                <w:rFonts w:ascii="Arial" w:hAnsi="Arial" w:cs="Arial"/>
                <w:b/>
                <w:spacing w:val="-4"/>
                <w:sz w:val="16"/>
                <w:szCs w:val="16"/>
              </w:rPr>
              <w:t>$3,331.33</w:t>
            </w:r>
          </w:p>
        </w:tc>
      </w:tr>
    </w:tbl>
    <w:p w:rsidR="00D15AAB" w:rsidRDefault="00D15AAB" w:rsidP="00D15AAB">
      <w:pPr>
        <w:spacing w:before="0" w:after="0"/>
        <w:rPr>
          <w:rFonts w:ascii="Arial" w:hAnsi="Arial" w:cs="Arial"/>
        </w:rPr>
      </w:pPr>
    </w:p>
    <w:p w:rsidR="00326C4D" w:rsidRDefault="00326C4D" w:rsidP="00D15AAB">
      <w:pPr>
        <w:spacing w:before="0" w:after="0"/>
        <w:rPr>
          <w:rFonts w:ascii="Arial" w:hAnsi="Arial" w:cs="Arial"/>
        </w:rPr>
      </w:pPr>
      <w:r w:rsidRPr="002F42B2">
        <w:rPr>
          <w:rFonts w:ascii="Arial" w:hAnsi="Arial" w:cs="Arial"/>
        </w:rPr>
        <w:t>Sobre la base de las consideraciones señaladas, este Consejo Estatal emite el siguiente:</w:t>
      </w:r>
    </w:p>
    <w:p w:rsidR="00D15AAB" w:rsidRDefault="00D15AAB" w:rsidP="00D15AAB">
      <w:pPr>
        <w:spacing w:before="0" w:after="0"/>
        <w:rPr>
          <w:rFonts w:ascii="Arial" w:hAnsi="Arial" w:cs="Arial"/>
        </w:rPr>
      </w:pPr>
    </w:p>
    <w:p w:rsidR="00C41B91" w:rsidRDefault="00C41B91" w:rsidP="00D15AAB">
      <w:pPr>
        <w:pStyle w:val="Ttulo1"/>
        <w:spacing w:before="0" w:after="0"/>
        <w:rPr>
          <w:rFonts w:ascii="Arial" w:hAnsi="Arial" w:cs="Arial"/>
          <w:sz w:val="24"/>
          <w:szCs w:val="24"/>
        </w:rPr>
      </w:pPr>
      <w:r w:rsidRPr="002F42B2">
        <w:rPr>
          <w:rFonts w:ascii="Arial" w:hAnsi="Arial" w:cs="Arial"/>
          <w:sz w:val="24"/>
          <w:szCs w:val="24"/>
        </w:rPr>
        <w:t>Acuerdo</w:t>
      </w:r>
    </w:p>
    <w:p w:rsidR="00C41B91" w:rsidRPr="002F42B2" w:rsidRDefault="00C41B91" w:rsidP="00D15AAB">
      <w:pPr>
        <w:spacing w:before="0" w:after="0"/>
        <w:rPr>
          <w:rFonts w:ascii="Arial" w:hAnsi="Arial" w:cs="Arial"/>
        </w:rPr>
      </w:pPr>
      <w:r w:rsidRPr="002F42B2">
        <w:rPr>
          <w:rFonts w:ascii="Arial" w:hAnsi="Arial" w:cs="Arial"/>
          <w:b/>
        </w:rPr>
        <w:t xml:space="preserve">Primero. </w:t>
      </w:r>
      <w:r w:rsidR="0038028F" w:rsidRPr="002F42B2">
        <w:rPr>
          <w:rFonts w:ascii="Arial" w:hAnsi="Arial" w:cs="Arial"/>
        </w:rPr>
        <w:t xml:space="preserve">Se aprueba la distribución del financiamiento público local para gastos de campaña con motivo del Proceso Electoral Local Ordinario 2023 – 2024 que corresponde a las </w:t>
      </w:r>
      <w:r w:rsidR="001E2258" w:rsidRPr="002F42B2">
        <w:rPr>
          <w:rFonts w:ascii="Arial" w:hAnsi="Arial" w:cs="Arial"/>
        </w:rPr>
        <w:t xml:space="preserve">cuatro </w:t>
      </w:r>
      <w:r w:rsidR="0038028F" w:rsidRPr="002F42B2">
        <w:rPr>
          <w:rFonts w:ascii="Arial" w:hAnsi="Arial" w:cs="Arial"/>
        </w:rPr>
        <w:t>candidaturas independientes que obtuvieron su registro, de acuerdo con lo siguiente:</w:t>
      </w:r>
    </w:p>
    <w:p w:rsidR="00B30222" w:rsidRPr="002F42B2" w:rsidRDefault="00B30222" w:rsidP="00C41B91">
      <w:pPr>
        <w:rPr>
          <w:rFonts w:ascii="Arial" w:hAnsi="Arial" w:cs="Arial"/>
          <w:b/>
        </w:rPr>
      </w:pPr>
      <w:r w:rsidRPr="002F42B2">
        <w:rPr>
          <w:rFonts w:ascii="Arial" w:hAnsi="Arial" w:cs="Arial"/>
          <w:b/>
        </w:rPr>
        <w:t>Candidato independiente a la Diputación por el Distrito 13</w:t>
      </w:r>
    </w:p>
    <w:tbl>
      <w:tblPr>
        <w:tblStyle w:val="Tablaconcuadrcula"/>
        <w:tblW w:w="0" w:type="auto"/>
        <w:tblLook w:val="04A0" w:firstRow="1" w:lastRow="0" w:firstColumn="1" w:lastColumn="0" w:noHBand="0" w:noVBand="1"/>
      </w:tblPr>
      <w:tblGrid>
        <w:gridCol w:w="2207"/>
        <w:gridCol w:w="2207"/>
        <w:gridCol w:w="2207"/>
        <w:gridCol w:w="2207"/>
      </w:tblGrid>
      <w:tr w:rsidR="00B30222" w:rsidTr="00D15AAB">
        <w:tc>
          <w:tcPr>
            <w:tcW w:w="2207" w:type="dxa"/>
            <w:vMerge w:val="restart"/>
            <w:shd w:val="clear" w:color="auto" w:fill="993366"/>
            <w:vAlign w:val="center"/>
          </w:tcPr>
          <w:p w:rsidR="00B30222" w:rsidRPr="00D15AAB" w:rsidRDefault="00B30222" w:rsidP="00B30222">
            <w:pPr>
              <w:spacing w:before="20" w:after="20" w:line="240" w:lineRule="auto"/>
              <w:jc w:val="center"/>
              <w:rPr>
                <w:rFonts w:ascii="Arial" w:hAnsi="Arial" w:cs="Arial"/>
                <w:b/>
                <w:color w:val="FFFFFF" w:themeColor="background1"/>
                <w:sz w:val="14"/>
              </w:rPr>
            </w:pPr>
            <w:r w:rsidRPr="00D15AAB">
              <w:rPr>
                <w:rFonts w:ascii="Arial" w:hAnsi="Arial" w:cs="Arial"/>
                <w:b/>
                <w:color w:val="FFFFFF" w:themeColor="background1"/>
                <w:sz w:val="14"/>
              </w:rPr>
              <w:t>Total de candidaturas registradas</w:t>
            </w:r>
          </w:p>
        </w:tc>
        <w:tc>
          <w:tcPr>
            <w:tcW w:w="2207" w:type="dxa"/>
            <w:shd w:val="clear" w:color="auto" w:fill="993366"/>
            <w:vAlign w:val="center"/>
          </w:tcPr>
          <w:p w:rsidR="00B30222" w:rsidRPr="00D15AAB" w:rsidRDefault="00B30222" w:rsidP="00B30222">
            <w:pPr>
              <w:spacing w:before="20" w:after="20" w:line="240" w:lineRule="auto"/>
              <w:jc w:val="center"/>
              <w:rPr>
                <w:rFonts w:ascii="Arial" w:hAnsi="Arial" w:cs="Arial"/>
                <w:b/>
                <w:color w:val="FFFFFF" w:themeColor="background1"/>
                <w:sz w:val="14"/>
              </w:rPr>
            </w:pPr>
            <w:r w:rsidRPr="00D15AAB">
              <w:rPr>
                <w:rFonts w:ascii="Arial" w:hAnsi="Arial" w:cs="Arial"/>
                <w:b/>
                <w:color w:val="FFFFFF" w:themeColor="background1"/>
                <w:sz w:val="14"/>
              </w:rPr>
              <w:t>Porcentaje a aplicar (candidatura independiente única, art. 320 numeral 2 Ley Electoral)</w:t>
            </w:r>
          </w:p>
        </w:tc>
        <w:tc>
          <w:tcPr>
            <w:tcW w:w="2207" w:type="dxa"/>
            <w:shd w:val="clear" w:color="auto" w:fill="993366"/>
            <w:vAlign w:val="center"/>
          </w:tcPr>
          <w:p w:rsidR="00B30222" w:rsidRPr="00D15AAB" w:rsidRDefault="00B30222" w:rsidP="00B30222">
            <w:pPr>
              <w:spacing w:before="20" w:after="20" w:line="240" w:lineRule="auto"/>
              <w:jc w:val="center"/>
              <w:rPr>
                <w:rFonts w:ascii="Arial" w:hAnsi="Arial" w:cs="Arial"/>
                <w:b/>
                <w:color w:val="FFFFFF" w:themeColor="background1"/>
                <w:sz w:val="14"/>
              </w:rPr>
            </w:pPr>
            <w:r w:rsidRPr="00D15AAB">
              <w:rPr>
                <w:rFonts w:ascii="Arial" w:hAnsi="Arial" w:cs="Arial"/>
                <w:b/>
                <w:color w:val="FFFFFF" w:themeColor="background1"/>
                <w:sz w:val="14"/>
              </w:rPr>
              <w:t xml:space="preserve">33.3% a distribuir de forma igualitaria (art. 320 numeral 1 </w:t>
            </w:r>
            <w:proofErr w:type="spellStart"/>
            <w:r w:rsidRPr="00D15AAB">
              <w:rPr>
                <w:rFonts w:ascii="Arial" w:hAnsi="Arial" w:cs="Arial"/>
                <w:b/>
                <w:color w:val="FFFFFF" w:themeColor="background1"/>
                <w:sz w:val="14"/>
              </w:rPr>
              <w:t>fr.</w:t>
            </w:r>
            <w:proofErr w:type="spellEnd"/>
            <w:r w:rsidRPr="00D15AAB">
              <w:rPr>
                <w:rFonts w:ascii="Arial" w:hAnsi="Arial" w:cs="Arial"/>
                <w:b/>
                <w:color w:val="FFFFFF" w:themeColor="background1"/>
                <w:sz w:val="14"/>
              </w:rPr>
              <w:t xml:space="preserve"> II Ley Electoral)</w:t>
            </w:r>
          </w:p>
        </w:tc>
        <w:tc>
          <w:tcPr>
            <w:tcW w:w="2207" w:type="dxa"/>
            <w:shd w:val="clear" w:color="auto" w:fill="993366"/>
            <w:vAlign w:val="center"/>
          </w:tcPr>
          <w:p w:rsidR="00B30222" w:rsidRPr="00D15AAB" w:rsidRDefault="00B30222" w:rsidP="00B30222">
            <w:pPr>
              <w:spacing w:before="20" w:after="20" w:line="240" w:lineRule="auto"/>
              <w:jc w:val="center"/>
              <w:rPr>
                <w:rFonts w:ascii="Arial" w:hAnsi="Arial" w:cs="Arial"/>
                <w:b/>
                <w:color w:val="FFFFFF" w:themeColor="background1"/>
                <w:sz w:val="14"/>
              </w:rPr>
            </w:pPr>
            <w:r w:rsidRPr="00D15AAB">
              <w:rPr>
                <w:rFonts w:ascii="Arial" w:hAnsi="Arial" w:cs="Arial"/>
                <w:b/>
                <w:color w:val="FFFFFF" w:themeColor="background1"/>
                <w:sz w:val="14"/>
              </w:rPr>
              <w:t>Monto de financiamiento público local para gastos de campaña que corresponde al candidato independiente unitario.</w:t>
            </w:r>
          </w:p>
        </w:tc>
      </w:tr>
      <w:tr w:rsidR="00B30222" w:rsidTr="00D15AAB">
        <w:tc>
          <w:tcPr>
            <w:tcW w:w="2207" w:type="dxa"/>
            <w:vMerge/>
            <w:shd w:val="clear" w:color="auto" w:fill="993366"/>
            <w:vAlign w:val="center"/>
          </w:tcPr>
          <w:p w:rsidR="00B30222" w:rsidRPr="00D15AAB" w:rsidRDefault="00B30222" w:rsidP="00B30222">
            <w:pPr>
              <w:spacing w:before="20" w:after="20" w:line="240" w:lineRule="auto"/>
              <w:jc w:val="center"/>
              <w:rPr>
                <w:rFonts w:ascii="Arial" w:hAnsi="Arial" w:cs="Arial"/>
                <w:b/>
                <w:color w:val="FFFFFF" w:themeColor="background1"/>
                <w:sz w:val="20"/>
                <w:szCs w:val="20"/>
              </w:rPr>
            </w:pPr>
          </w:p>
        </w:tc>
        <w:tc>
          <w:tcPr>
            <w:tcW w:w="2207" w:type="dxa"/>
            <w:shd w:val="clear" w:color="auto" w:fill="993366"/>
            <w:vAlign w:val="center"/>
          </w:tcPr>
          <w:p w:rsidR="00B30222" w:rsidRPr="00D15AAB" w:rsidRDefault="00B30222" w:rsidP="00B30222">
            <w:pPr>
              <w:spacing w:before="20" w:after="20" w:line="240" w:lineRule="auto"/>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A</w:t>
            </w:r>
          </w:p>
        </w:tc>
        <w:tc>
          <w:tcPr>
            <w:tcW w:w="2207" w:type="dxa"/>
            <w:shd w:val="clear" w:color="auto" w:fill="993366"/>
            <w:vAlign w:val="center"/>
          </w:tcPr>
          <w:p w:rsidR="00B30222" w:rsidRPr="00D15AAB" w:rsidRDefault="00B30222" w:rsidP="00B30222">
            <w:pPr>
              <w:spacing w:before="20" w:after="20" w:line="240" w:lineRule="auto"/>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B</w:t>
            </w:r>
          </w:p>
        </w:tc>
        <w:tc>
          <w:tcPr>
            <w:tcW w:w="2207" w:type="dxa"/>
            <w:shd w:val="clear" w:color="auto" w:fill="993366"/>
            <w:vAlign w:val="center"/>
          </w:tcPr>
          <w:p w:rsidR="00B30222" w:rsidRPr="00D15AAB" w:rsidRDefault="00B30222" w:rsidP="00B30222">
            <w:pPr>
              <w:spacing w:before="20" w:after="20" w:line="240" w:lineRule="auto"/>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C = A × B</w:t>
            </w:r>
          </w:p>
        </w:tc>
      </w:tr>
      <w:tr w:rsidR="00B30222" w:rsidTr="00D15AAB">
        <w:tc>
          <w:tcPr>
            <w:tcW w:w="2207" w:type="dxa"/>
            <w:vAlign w:val="center"/>
          </w:tcPr>
          <w:p w:rsidR="00B30222" w:rsidRPr="00D15AAB" w:rsidRDefault="00B30222" w:rsidP="00F17D51">
            <w:pPr>
              <w:spacing w:before="40" w:after="40"/>
              <w:jc w:val="center"/>
              <w:rPr>
                <w:rFonts w:ascii="Arial" w:hAnsi="Arial" w:cs="Arial"/>
                <w:b/>
                <w:sz w:val="20"/>
                <w:szCs w:val="20"/>
              </w:rPr>
            </w:pPr>
            <w:r w:rsidRPr="00D15AAB">
              <w:rPr>
                <w:rFonts w:ascii="Arial" w:hAnsi="Arial" w:cs="Arial"/>
                <w:b/>
                <w:sz w:val="20"/>
                <w:szCs w:val="20"/>
              </w:rPr>
              <w:t>01</w:t>
            </w:r>
          </w:p>
        </w:tc>
        <w:tc>
          <w:tcPr>
            <w:tcW w:w="2207" w:type="dxa"/>
            <w:vAlign w:val="center"/>
          </w:tcPr>
          <w:p w:rsidR="00B30222" w:rsidRPr="00D15AAB" w:rsidRDefault="00B30222" w:rsidP="00F17D51">
            <w:pPr>
              <w:spacing w:before="40" w:after="40"/>
              <w:jc w:val="center"/>
              <w:rPr>
                <w:rFonts w:ascii="Arial" w:hAnsi="Arial" w:cs="Arial"/>
                <w:b/>
                <w:sz w:val="20"/>
                <w:szCs w:val="20"/>
              </w:rPr>
            </w:pPr>
            <w:r w:rsidRPr="00D15AAB">
              <w:rPr>
                <w:rFonts w:ascii="Arial" w:hAnsi="Arial" w:cs="Arial"/>
                <w:b/>
                <w:sz w:val="20"/>
                <w:szCs w:val="20"/>
              </w:rPr>
              <w:t>50%</w:t>
            </w:r>
          </w:p>
        </w:tc>
        <w:tc>
          <w:tcPr>
            <w:tcW w:w="2207" w:type="dxa"/>
            <w:vAlign w:val="center"/>
          </w:tcPr>
          <w:p w:rsidR="00B30222" w:rsidRPr="00D15AAB" w:rsidRDefault="0020222E" w:rsidP="00F17D51">
            <w:pPr>
              <w:spacing w:before="40" w:after="40"/>
              <w:jc w:val="center"/>
              <w:rPr>
                <w:rFonts w:ascii="Arial" w:hAnsi="Arial" w:cs="Arial"/>
                <w:b/>
                <w:sz w:val="20"/>
                <w:szCs w:val="20"/>
              </w:rPr>
            </w:pPr>
            <w:r w:rsidRPr="00D15AAB">
              <w:rPr>
                <w:rFonts w:ascii="Arial" w:hAnsi="Arial" w:cs="Arial"/>
                <w:b/>
                <w:sz w:val="20"/>
                <w:szCs w:val="20"/>
              </w:rPr>
              <w:t>$404,182.99</w:t>
            </w:r>
          </w:p>
        </w:tc>
        <w:tc>
          <w:tcPr>
            <w:tcW w:w="2207" w:type="dxa"/>
            <w:vAlign w:val="center"/>
          </w:tcPr>
          <w:p w:rsidR="00B30222" w:rsidRPr="00D15AAB" w:rsidRDefault="0020222E" w:rsidP="00F17D51">
            <w:pPr>
              <w:spacing w:before="40" w:after="40"/>
              <w:jc w:val="center"/>
              <w:rPr>
                <w:rFonts w:ascii="Arial" w:hAnsi="Arial" w:cs="Arial"/>
                <w:b/>
                <w:sz w:val="20"/>
                <w:szCs w:val="20"/>
              </w:rPr>
            </w:pPr>
            <w:r w:rsidRPr="00D15AAB">
              <w:rPr>
                <w:rFonts w:ascii="Arial" w:hAnsi="Arial" w:cs="Arial"/>
                <w:b/>
                <w:sz w:val="20"/>
                <w:szCs w:val="20"/>
              </w:rPr>
              <w:t>$202,091.49</w:t>
            </w:r>
          </w:p>
        </w:tc>
      </w:tr>
    </w:tbl>
    <w:p w:rsidR="00B30222" w:rsidRPr="002F42B2" w:rsidRDefault="00B30222" w:rsidP="00B30222">
      <w:pPr>
        <w:rPr>
          <w:rFonts w:ascii="Arial" w:hAnsi="Arial" w:cs="Arial"/>
          <w:b/>
        </w:rPr>
      </w:pPr>
      <w:r w:rsidRPr="002F42B2">
        <w:rPr>
          <w:rFonts w:ascii="Arial" w:hAnsi="Arial" w:cs="Arial"/>
          <w:b/>
        </w:rPr>
        <w:t xml:space="preserve">Candidatos independientes a Presidencias Municipales </w:t>
      </w:r>
    </w:p>
    <w:tbl>
      <w:tblPr>
        <w:tblStyle w:val="Tablaconcuadrcula"/>
        <w:tblW w:w="0" w:type="auto"/>
        <w:jc w:val="center"/>
        <w:tblLook w:val="04A0" w:firstRow="1" w:lastRow="0" w:firstColumn="1" w:lastColumn="0" w:noHBand="0" w:noVBand="1"/>
      </w:tblPr>
      <w:tblGrid>
        <w:gridCol w:w="2207"/>
        <w:gridCol w:w="2207"/>
        <w:gridCol w:w="3236"/>
      </w:tblGrid>
      <w:tr w:rsidR="00B30222" w:rsidTr="00D15AAB">
        <w:trPr>
          <w:jc w:val="center"/>
        </w:trPr>
        <w:tc>
          <w:tcPr>
            <w:tcW w:w="2207" w:type="dxa"/>
            <w:shd w:val="clear" w:color="auto" w:fill="993366"/>
            <w:vAlign w:val="center"/>
          </w:tcPr>
          <w:p w:rsidR="00B30222" w:rsidRPr="00D15AAB" w:rsidRDefault="00B30222" w:rsidP="00F17D51">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Total de candidaturas registradas</w:t>
            </w:r>
          </w:p>
        </w:tc>
        <w:tc>
          <w:tcPr>
            <w:tcW w:w="2207" w:type="dxa"/>
            <w:shd w:val="clear" w:color="auto" w:fill="993366"/>
            <w:vAlign w:val="center"/>
          </w:tcPr>
          <w:p w:rsidR="00B30222" w:rsidRPr="00D15AAB" w:rsidRDefault="00B30222" w:rsidP="00F17D51">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 xml:space="preserve">33.3% a distribuir de forma igualitaria (art. 320 numeral 1 </w:t>
            </w:r>
            <w:proofErr w:type="spellStart"/>
            <w:r w:rsidRPr="00D15AAB">
              <w:rPr>
                <w:rFonts w:ascii="Arial" w:hAnsi="Arial" w:cs="Arial"/>
                <w:b/>
                <w:color w:val="FFFFFF" w:themeColor="background1"/>
                <w:sz w:val="14"/>
              </w:rPr>
              <w:t>fr.</w:t>
            </w:r>
            <w:proofErr w:type="spellEnd"/>
            <w:r w:rsidRPr="00D15AAB">
              <w:rPr>
                <w:rFonts w:ascii="Arial" w:hAnsi="Arial" w:cs="Arial"/>
                <w:b/>
                <w:color w:val="FFFFFF" w:themeColor="background1"/>
                <w:sz w:val="14"/>
              </w:rPr>
              <w:t xml:space="preserve"> III Ley Electoral)</w:t>
            </w:r>
          </w:p>
        </w:tc>
        <w:tc>
          <w:tcPr>
            <w:tcW w:w="3236" w:type="dxa"/>
            <w:shd w:val="clear" w:color="auto" w:fill="993366"/>
            <w:vAlign w:val="center"/>
          </w:tcPr>
          <w:p w:rsidR="00B30222" w:rsidRPr="00D15AAB" w:rsidRDefault="00B30222" w:rsidP="00F17D51">
            <w:pPr>
              <w:spacing w:before="40" w:after="40"/>
              <w:jc w:val="center"/>
              <w:rPr>
                <w:rFonts w:ascii="Arial" w:hAnsi="Arial" w:cs="Arial"/>
                <w:b/>
                <w:color w:val="FFFFFF" w:themeColor="background1"/>
                <w:sz w:val="14"/>
              </w:rPr>
            </w:pPr>
            <w:r w:rsidRPr="00D15AAB">
              <w:rPr>
                <w:rFonts w:ascii="Arial" w:hAnsi="Arial" w:cs="Arial"/>
                <w:b/>
                <w:color w:val="FFFFFF" w:themeColor="background1"/>
                <w:sz w:val="14"/>
              </w:rPr>
              <w:t>Monto de financiamiento público local para gastos de campaña que corresponde a cada uno de los candidatos independientes</w:t>
            </w:r>
          </w:p>
        </w:tc>
      </w:tr>
      <w:tr w:rsidR="00B30222" w:rsidTr="00D15AAB">
        <w:trPr>
          <w:jc w:val="center"/>
        </w:trPr>
        <w:tc>
          <w:tcPr>
            <w:tcW w:w="2207" w:type="dxa"/>
            <w:shd w:val="clear" w:color="auto" w:fill="993366"/>
            <w:vAlign w:val="center"/>
          </w:tcPr>
          <w:p w:rsidR="00B30222" w:rsidRPr="00D15AAB" w:rsidRDefault="00B30222" w:rsidP="00F17D51">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A</w:t>
            </w:r>
          </w:p>
        </w:tc>
        <w:tc>
          <w:tcPr>
            <w:tcW w:w="2207" w:type="dxa"/>
            <w:shd w:val="clear" w:color="auto" w:fill="993366"/>
            <w:vAlign w:val="center"/>
          </w:tcPr>
          <w:p w:rsidR="00B30222" w:rsidRPr="00D15AAB" w:rsidRDefault="00B30222" w:rsidP="00F17D51">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B</w:t>
            </w:r>
          </w:p>
        </w:tc>
        <w:tc>
          <w:tcPr>
            <w:tcW w:w="3236" w:type="dxa"/>
            <w:shd w:val="clear" w:color="auto" w:fill="993366"/>
            <w:vAlign w:val="center"/>
          </w:tcPr>
          <w:p w:rsidR="00B30222" w:rsidRPr="00D15AAB" w:rsidRDefault="00EA4A0E" w:rsidP="00F17D51">
            <w:pPr>
              <w:spacing w:before="40" w:after="40"/>
              <w:jc w:val="center"/>
              <w:rPr>
                <w:rFonts w:ascii="Arial" w:hAnsi="Arial" w:cs="Arial"/>
                <w:b/>
                <w:color w:val="FFFFFF" w:themeColor="background1"/>
                <w:sz w:val="16"/>
                <w:szCs w:val="20"/>
              </w:rPr>
            </w:pPr>
            <w:r w:rsidRPr="00D15AAB">
              <w:rPr>
                <w:rFonts w:ascii="Arial" w:hAnsi="Arial" w:cs="Arial"/>
                <w:b/>
                <w:color w:val="FFFFFF" w:themeColor="background1"/>
                <w:sz w:val="16"/>
                <w:szCs w:val="20"/>
              </w:rPr>
              <w:t>C = B</w:t>
            </w:r>
            <w:r w:rsidR="00B30222" w:rsidRPr="00D15AAB">
              <w:rPr>
                <w:rFonts w:ascii="Arial" w:hAnsi="Arial" w:cs="Arial"/>
                <w:b/>
                <w:color w:val="FFFFFF" w:themeColor="background1"/>
                <w:sz w:val="16"/>
                <w:szCs w:val="20"/>
              </w:rPr>
              <w:t xml:space="preserve"> ÷</w:t>
            </w:r>
            <w:r w:rsidRPr="00D15AAB">
              <w:rPr>
                <w:rFonts w:ascii="Arial" w:hAnsi="Arial" w:cs="Arial"/>
                <w:b/>
                <w:color w:val="FFFFFF" w:themeColor="background1"/>
                <w:sz w:val="16"/>
                <w:szCs w:val="20"/>
              </w:rPr>
              <w:t xml:space="preserve"> A</w:t>
            </w:r>
          </w:p>
        </w:tc>
      </w:tr>
      <w:tr w:rsidR="00B30222" w:rsidTr="00D15AAB">
        <w:trPr>
          <w:jc w:val="center"/>
        </w:trPr>
        <w:tc>
          <w:tcPr>
            <w:tcW w:w="2207" w:type="dxa"/>
            <w:vAlign w:val="center"/>
          </w:tcPr>
          <w:p w:rsidR="00B30222" w:rsidRPr="00D15AAB" w:rsidRDefault="00B30222" w:rsidP="00F17D51">
            <w:pPr>
              <w:spacing w:before="40" w:after="40"/>
              <w:jc w:val="center"/>
              <w:rPr>
                <w:rFonts w:ascii="Arial" w:hAnsi="Arial" w:cs="Arial"/>
                <w:b/>
                <w:sz w:val="20"/>
                <w:szCs w:val="20"/>
              </w:rPr>
            </w:pPr>
            <w:r w:rsidRPr="00D15AAB">
              <w:rPr>
                <w:rFonts w:ascii="Arial" w:hAnsi="Arial" w:cs="Arial"/>
                <w:b/>
                <w:sz w:val="20"/>
                <w:szCs w:val="20"/>
              </w:rPr>
              <w:t>03</w:t>
            </w:r>
          </w:p>
        </w:tc>
        <w:tc>
          <w:tcPr>
            <w:tcW w:w="2207" w:type="dxa"/>
            <w:vAlign w:val="center"/>
          </w:tcPr>
          <w:p w:rsidR="00B30222" w:rsidRPr="00D15AAB" w:rsidRDefault="009B4849" w:rsidP="00F17D51">
            <w:pPr>
              <w:spacing w:before="40" w:after="40"/>
              <w:jc w:val="center"/>
              <w:rPr>
                <w:rFonts w:ascii="Arial" w:hAnsi="Arial" w:cs="Arial"/>
                <w:b/>
                <w:sz w:val="20"/>
                <w:szCs w:val="20"/>
              </w:rPr>
            </w:pPr>
            <w:r w:rsidRPr="00D15AAB">
              <w:rPr>
                <w:rFonts w:ascii="Arial" w:hAnsi="Arial" w:cs="Arial"/>
                <w:b/>
                <w:sz w:val="20"/>
                <w:szCs w:val="20"/>
              </w:rPr>
              <w:t>$404,182.99</w:t>
            </w:r>
          </w:p>
        </w:tc>
        <w:tc>
          <w:tcPr>
            <w:tcW w:w="3236" w:type="dxa"/>
            <w:vAlign w:val="center"/>
          </w:tcPr>
          <w:p w:rsidR="00B30222" w:rsidRPr="00D15AAB" w:rsidRDefault="009B4849" w:rsidP="00F17D51">
            <w:pPr>
              <w:spacing w:before="40" w:after="40"/>
              <w:jc w:val="center"/>
              <w:rPr>
                <w:rFonts w:ascii="Arial" w:hAnsi="Arial" w:cs="Arial"/>
                <w:b/>
                <w:sz w:val="20"/>
                <w:szCs w:val="20"/>
              </w:rPr>
            </w:pPr>
            <w:r w:rsidRPr="00D15AAB">
              <w:rPr>
                <w:rFonts w:ascii="Arial" w:hAnsi="Arial" w:cs="Arial"/>
                <w:b/>
                <w:sz w:val="20"/>
                <w:szCs w:val="20"/>
              </w:rPr>
              <w:t>$134,727.66</w:t>
            </w:r>
          </w:p>
        </w:tc>
      </w:tr>
    </w:tbl>
    <w:p w:rsidR="0038028F" w:rsidRPr="002F42B2" w:rsidRDefault="0038028F" w:rsidP="00C41B91">
      <w:pPr>
        <w:rPr>
          <w:rFonts w:ascii="Arial" w:hAnsi="Arial" w:cs="Arial"/>
        </w:rPr>
      </w:pPr>
      <w:r w:rsidRPr="002F42B2">
        <w:rPr>
          <w:rFonts w:ascii="Arial" w:hAnsi="Arial" w:cs="Arial"/>
          <w:b/>
        </w:rPr>
        <w:t>Segundo.</w:t>
      </w:r>
      <w:r w:rsidRPr="002F42B2">
        <w:rPr>
          <w:rFonts w:ascii="Arial" w:hAnsi="Arial" w:cs="Arial"/>
        </w:rPr>
        <w:t xml:space="preserve"> Se determinan los límites al financiamiento privado que corresponde a las candidaturas independientes a diputaciones y regidurías en el Proceso Electoral Local Ordinario 202</w:t>
      </w:r>
      <w:r w:rsidR="00DB42E2" w:rsidRPr="002F42B2">
        <w:rPr>
          <w:rFonts w:ascii="Arial" w:hAnsi="Arial" w:cs="Arial"/>
        </w:rPr>
        <w:t>3</w:t>
      </w:r>
      <w:r w:rsidRPr="002F42B2">
        <w:rPr>
          <w:rFonts w:ascii="Arial" w:hAnsi="Arial" w:cs="Arial"/>
        </w:rPr>
        <w:t xml:space="preserve"> – 202</w:t>
      </w:r>
      <w:r w:rsidR="00DB42E2" w:rsidRPr="002F42B2">
        <w:rPr>
          <w:rFonts w:ascii="Arial" w:hAnsi="Arial" w:cs="Arial"/>
        </w:rPr>
        <w:t>4</w:t>
      </w:r>
      <w:r w:rsidRPr="002F42B2">
        <w:rPr>
          <w:rFonts w:ascii="Arial" w:hAnsi="Arial" w:cs="Arial"/>
        </w:rPr>
        <w:t>, de conformidad con lo siguiente:</w:t>
      </w:r>
    </w:p>
    <w:tbl>
      <w:tblPr>
        <w:tblStyle w:val="Tablaconcuadrcula"/>
        <w:tblW w:w="0" w:type="auto"/>
        <w:tblLook w:val="04A0" w:firstRow="1" w:lastRow="0" w:firstColumn="1" w:lastColumn="0" w:noHBand="0" w:noVBand="1"/>
      </w:tblPr>
      <w:tblGrid>
        <w:gridCol w:w="1052"/>
        <w:gridCol w:w="1273"/>
        <w:gridCol w:w="1479"/>
        <w:gridCol w:w="1390"/>
        <w:gridCol w:w="1346"/>
        <w:gridCol w:w="1106"/>
        <w:gridCol w:w="1275"/>
      </w:tblGrid>
      <w:tr w:rsidR="0040160D" w:rsidTr="00D15AAB">
        <w:tc>
          <w:tcPr>
            <w:tcW w:w="1033" w:type="dxa"/>
            <w:vMerge w:val="restart"/>
            <w:shd w:val="clear" w:color="auto" w:fill="993366"/>
            <w:vAlign w:val="center"/>
          </w:tcPr>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Distrito/ Municipio</w:t>
            </w:r>
          </w:p>
        </w:tc>
        <w:tc>
          <w:tcPr>
            <w:tcW w:w="1251" w:type="dxa"/>
            <w:vMerge w:val="restart"/>
            <w:shd w:val="clear" w:color="auto" w:fill="993366"/>
            <w:vAlign w:val="center"/>
          </w:tcPr>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Tope de gastos de campaña (general)</w:t>
            </w:r>
          </w:p>
        </w:tc>
        <w:tc>
          <w:tcPr>
            <w:tcW w:w="1463" w:type="dxa"/>
            <w:shd w:val="clear" w:color="auto" w:fill="993366"/>
            <w:vAlign w:val="center"/>
          </w:tcPr>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Tope de gastos de campaña (individualizado)</w:t>
            </w:r>
          </w:p>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Acuerdo CE/2023/048</w:t>
            </w:r>
          </w:p>
        </w:tc>
        <w:tc>
          <w:tcPr>
            <w:tcW w:w="1365" w:type="dxa"/>
            <w:shd w:val="clear" w:color="auto" w:fill="993366"/>
            <w:vAlign w:val="center"/>
          </w:tcPr>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Financiamiento público</w:t>
            </w:r>
          </w:p>
        </w:tc>
        <w:tc>
          <w:tcPr>
            <w:tcW w:w="1335" w:type="dxa"/>
            <w:shd w:val="clear" w:color="auto" w:fill="993366"/>
            <w:vAlign w:val="center"/>
          </w:tcPr>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Límite de financiamiento privado</w:t>
            </w:r>
          </w:p>
        </w:tc>
        <w:tc>
          <w:tcPr>
            <w:tcW w:w="1114" w:type="dxa"/>
            <w:shd w:val="clear" w:color="auto" w:fill="993366"/>
            <w:vAlign w:val="center"/>
          </w:tcPr>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Límite de aportación individual del propio candidato.</w:t>
            </w:r>
          </w:p>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10%</w:t>
            </w:r>
          </w:p>
        </w:tc>
        <w:tc>
          <w:tcPr>
            <w:tcW w:w="1267" w:type="dxa"/>
            <w:shd w:val="clear" w:color="auto" w:fill="993366"/>
            <w:vAlign w:val="center"/>
          </w:tcPr>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Límite de aportación individual de sus simpatizantes</w:t>
            </w:r>
          </w:p>
          <w:p w:rsidR="0040160D" w:rsidRPr="00D15AAB" w:rsidRDefault="0040160D" w:rsidP="00F17D51">
            <w:pPr>
              <w:spacing w:before="40" w:after="40"/>
              <w:jc w:val="center"/>
              <w:rPr>
                <w:rFonts w:ascii="Arial" w:hAnsi="Arial" w:cs="Arial"/>
                <w:b/>
                <w:color w:val="FFFFFF" w:themeColor="background1"/>
                <w:sz w:val="16"/>
              </w:rPr>
            </w:pPr>
            <w:r w:rsidRPr="00D15AAB">
              <w:rPr>
                <w:rFonts w:ascii="Arial" w:hAnsi="Arial" w:cs="Arial"/>
                <w:b/>
                <w:color w:val="FFFFFF" w:themeColor="background1"/>
                <w:sz w:val="16"/>
              </w:rPr>
              <w:t>.5%</w:t>
            </w:r>
          </w:p>
        </w:tc>
      </w:tr>
      <w:tr w:rsidR="0040160D" w:rsidTr="00D15AAB">
        <w:tc>
          <w:tcPr>
            <w:tcW w:w="1033" w:type="dxa"/>
            <w:vMerge/>
            <w:shd w:val="clear" w:color="auto" w:fill="993366"/>
            <w:vAlign w:val="center"/>
          </w:tcPr>
          <w:p w:rsidR="0040160D" w:rsidRPr="00D15AAB" w:rsidRDefault="0040160D" w:rsidP="00F17D51">
            <w:pPr>
              <w:spacing w:before="20" w:after="20"/>
              <w:rPr>
                <w:rFonts w:ascii="Arial" w:hAnsi="Arial" w:cs="Arial"/>
                <w:b/>
                <w:color w:val="FFFFFF" w:themeColor="background1"/>
                <w:sz w:val="16"/>
                <w:szCs w:val="16"/>
              </w:rPr>
            </w:pPr>
          </w:p>
        </w:tc>
        <w:tc>
          <w:tcPr>
            <w:tcW w:w="1251" w:type="dxa"/>
            <w:vMerge/>
            <w:shd w:val="clear" w:color="auto" w:fill="993366"/>
            <w:vAlign w:val="center"/>
          </w:tcPr>
          <w:p w:rsidR="0040160D" w:rsidRPr="00D15AAB" w:rsidRDefault="0040160D" w:rsidP="00F17D51">
            <w:pPr>
              <w:spacing w:before="20" w:after="20"/>
              <w:rPr>
                <w:rFonts w:ascii="Arial" w:hAnsi="Arial" w:cs="Arial"/>
                <w:b/>
                <w:color w:val="FFFFFF" w:themeColor="background1"/>
                <w:sz w:val="16"/>
                <w:szCs w:val="16"/>
              </w:rPr>
            </w:pPr>
          </w:p>
        </w:tc>
        <w:tc>
          <w:tcPr>
            <w:tcW w:w="1463" w:type="dxa"/>
            <w:shd w:val="clear" w:color="auto" w:fill="993366"/>
            <w:vAlign w:val="center"/>
          </w:tcPr>
          <w:p w:rsidR="0040160D" w:rsidRPr="00D15AAB" w:rsidRDefault="0040160D" w:rsidP="00F17D51">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A</w:t>
            </w:r>
          </w:p>
        </w:tc>
        <w:tc>
          <w:tcPr>
            <w:tcW w:w="1365" w:type="dxa"/>
            <w:shd w:val="clear" w:color="auto" w:fill="993366"/>
            <w:vAlign w:val="center"/>
          </w:tcPr>
          <w:p w:rsidR="0040160D" w:rsidRPr="00D15AAB" w:rsidRDefault="0040160D" w:rsidP="00F17D51">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B</w:t>
            </w:r>
          </w:p>
        </w:tc>
        <w:tc>
          <w:tcPr>
            <w:tcW w:w="1335" w:type="dxa"/>
            <w:shd w:val="clear" w:color="auto" w:fill="993366"/>
            <w:vAlign w:val="center"/>
          </w:tcPr>
          <w:p w:rsidR="0040160D" w:rsidRPr="00D15AAB" w:rsidRDefault="00861901" w:rsidP="00F17D51">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C = A – B</w:t>
            </w:r>
          </w:p>
        </w:tc>
        <w:tc>
          <w:tcPr>
            <w:tcW w:w="1114" w:type="dxa"/>
            <w:shd w:val="clear" w:color="auto" w:fill="993366"/>
            <w:vAlign w:val="center"/>
          </w:tcPr>
          <w:p w:rsidR="0040160D" w:rsidRPr="00D15AAB" w:rsidRDefault="0040160D" w:rsidP="00F17D51">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D = A × 10%</w:t>
            </w:r>
          </w:p>
        </w:tc>
        <w:tc>
          <w:tcPr>
            <w:tcW w:w="1267" w:type="dxa"/>
            <w:shd w:val="clear" w:color="auto" w:fill="993366"/>
            <w:vAlign w:val="center"/>
          </w:tcPr>
          <w:p w:rsidR="0040160D" w:rsidRPr="00D15AAB" w:rsidRDefault="0040160D" w:rsidP="00F17D51">
            <w:pPr>
              <w:spacing w:before="20" w:after="20"/>
              <w:jc w:val="center"/>
              <w:rPr>
                <w:rFonts w:ascii="Arial" w:hAnsi="Arial" w:cs="Arial"/>
                <w:b/>
                <w:color w:val="FFFFFF" w:themeColor="background1"/>
                <w:sz w:val="16"/>
                <w:szCs w:val="16"/>
              </w:rPr>
            </w:pPr>
            <w:r w:rsidRPr="00D15AAB">
              <w:rPr>
                <w:rFonts w:ascii="Arial" w:hAnsi="Arial" w:cs="Arial"/>
                <w:b/>
                <w:color w:val="FFFFFF" w:themeColor="background1"/>
                <w:sz w:val="16"/>
                <w:szCs w:val="16"/>
              </w:rPr>
              <w:t>E = A × .5%</w:t>
            </w:r>
          </w:p>
        </w:tc>
      </w:tr>
      <w:tr w:rsidR="0040160D" w:rsidTr="00D15AAB">
        <w:tc>
          <w:tcPr>
            <w:tcW w:w="1033" w:type="dxa"/>
            <w:vAlign w:val="center"/>
          </w:tcPr>
          <w:p w:rsidR="0040160D" w:rsidRPr="00D15AAB" w:rsidRDefault="0040160D" w:rsidP="00F17D51">
            <w:pPr>
              <w:spacing w:before="40" w:after="40"/>
              <w:rPr>
                <w:rFonts w:ascii="Arial" w:hAnsi="Arial" w:cs="Arial"/>
                <w:b/>
                <w:spacing w:val="-4"/>
                <w:sz w:val="16"/>
                <w:szCs w:val="16"/>
              </w:rPr>
            </w:pPr>
            <w:r w:rsidRPr="00D15AAB">
              <w:rPr>
                <w:rFonts w:ascii="Arial" w:hAnsi="Arial" w:cs="Arial"/>
                <w:b/>
                <w:spacing w:val="-4"/>
                <w:sz w:val="16"/>
                <w:szCs w:val="16"/>
              </w:rPr>
              <w:t>Distrito 13</w:t>
            </w:r>
          </w:p>
        </w:tc>
        <w:tc>
          <w:tcPr>
            <w:tcW w:w="1251" w:type="dxa"/>
            <w:vMerge w:val="restart"/>
            <w:vAlign w:val="center"/>
          </w:tcPr>
          <w:p w:rsidR="0040160D" w:rsidRPr="00D15AAB" w:rsidRDefault="0040160D" w:rsidP="00F17D51">
            <w:pPr>
              <w:spacing w:before="40" w:after="40"/>
              <w:rPr>
                <w:rFonts w:ascii="Arial" w:hAnsi="Arial" w:cs="Arial"/>
                <w:b/>
                <w:spacing w:val="-4"/>
                <w:sz w:val="16"/>
                <w:szCs w:val="16"/>
              </w:rPr>
            </w:pPr>
            <w:r w:rsidRPr="00D15AAB">
              <w:rPr>
                <w:rFonts w:ascii="Arial" w:hAnsi="Arial" w:cs="Arial"/>
                <w:b/>
                <w:spacing w:val="-4"/>
                <w:sz w:val="16"/>
                <w:szCs w:val="16"/>
              </w:rPr>
              <w:t>$12’137,627.20</w:t>
            </w:r>
          </w:p>
        </w:tc>
        <w:tc>
          <w:tcPr>
            <w:tcW w:w="1463"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$574,966.65</w:t>
            </w:r>
          </w:p>
        </w:tc>
        <w:tc>
          <w:tcPr>
            <w:tcW w:w="1365" w:type="dxa"/>
            <w:vAlign w:val="center"/>
          </w:tcPr>
          <w:p w:rsidR="0040160D" w:rsidRPr="00D15AAB" w:rsidRDefault="0040160D" w:rsidP="00F17D51">
            <w:pPr>
              <w:spacing w:before="40" w:after="40"/>
              <w:jc w:val="center"/>
              <w:rPr>
                <w:rFonts w:ascii="Arial" w:hAnsi="Arial" w:cs="Arial"/>
                <w:b/>
                <w:spacing w:val="-4"/>
                <w:sz w:val="16"/>
                <w:szCs w:val="16"/>
              </w:rPr>
            </w:pPr>
            <w:r w:rsidRPr="00D15AAB">
              <w:rPr>
                <w:rFonts w:ascii="Arial" w:hAnsi="Arial" w:cs="Arial"/>
                <w:b/>
                <w:spacing w:val="-4"/>
                <w:sz w:val="16"/>
                <w:szCs w:val="16"/>
              </w:rPr>
              <w:t>$202,091.49</w:t>
            </w:r>
          </w:p>
        </w:tc>
        <w:tc>
          <w:tcPr>
            <w:tcW w:w="1335"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$372,875.16</w:t>
            </w:r>
          </w:p>
        </w:tc>
        <w:tc>
          <w:tcPr>
            <w:tcW w:w="1114"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$57,496.67</w:t>
            </w:r>
          </w:p>
        </w:tc>
        <w:tc>
          <w:tcPr>
            <w:tcW w:w="1267"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$2,874.83</w:t>
            </w:r>
          </w:p>
        </w:tc>
      </w:tr>
      <w:tr w:rsidR="0040160D" w:rsidTr="00D15AAB">
        <w:tc>
          <w:tcPr>
            <w:tcW w:w="1033" w:type="dxa"/>
            <w:vAlign w:val="center"/>
          </w:tcPr>
          <w:p w:rsidR="0040160D" w:rsidRPr="00D15AAB" w:rsidRDefault="0040160D" w:rsidP="00F17D51">
            <w:pPr>
              <w:spacing w:before="40" w:after="40"/>
              <w:rPr>
                <w:rFonts w:ascii="Arial" w:hAnsi="Arial" w:cs="Arial"/>
                <w:b/>
                <w:spacing w:val="-4"/>
                <w:sz w:val="16"/>
                <w:szCs w:val="16"/>
              </w:rPr>
            </w:pPr>
            <w:r w:rsidRPr="00D15AAB">
              <w:rPr>
                <w:rFonts w:ascii="Arial" w:hAnsi="Arial" w:cs="Arial"/>
                <w:b/>
                <w:spacing w:val="-4"/>
                <w:sz w:val="16"/>
                <w:szCs w:val="16"/>
              </w:rPr>
              <w:t>Cárdenas</w:t>
            </w:r>
          </w:p>
        </w:tc>
        <w:tc>
          <w:tcPr>
            <w:tcW w:w="1251" w:type="dxa"/>
            <w:vMerge/>
            <w:vAlign w:val="center"/>
          </w:tcPr>
          <w:p w:rsidR="0040160D" w:rsidRPr="00D15AAB" w:rsidRDefault="0040160D" w:rsidP="00F17D51">
            <w:pPr>
              <w:spacing w:before="40" w:after="40"/>
              <w:rPr>
                <w:rFonts w:ascii="Arial" w:hAnsi="Arial" w:cs="Arial"/>
                <w:b/>
                <w:spacing w:val="-4"/>
                <w:sz w:val="16"/>
                <w:szCs w:val="16"/>
              </w:rPr>
            </w:pPr>
          </w:p>
        </w:tc>
        <w:tc>
          <w:tcPr>
            <w:tcW w:w="1463"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$1’226,436.44</w:t>
            </w:r>
          </w:p>
        </w:tc>
        <w:tc>
          <w:tcPr>
            <w:tcW w:w="1365" w:type="dxa"/>
            <w:vAlign w:val="center"/>
          </w:tcPr>
          <w:p w:rsidR="0040160D" w:rsidRPr="00D15AAB" w:rsidRDefault="0040160D" w:rsidP="00F17D51">
            <w:pPr>
              <w:spacing w:before="40" w:after="40"/>
              <w:jc w:val="center"/>
              <w:rPr>
                <w:rFonts w:ascii="Arial" w:hAnsi="Arial" w:cs="Arial"/>
                <w:b/>
                <w:spacing w:val="-4"/>
                <w:sz w:val="16"/>
                <w:szCs w:val="16"/>
              </w:rPr>
            </w:pPr>
            <w:r w:rsidRPr="00D15AAB">
              <w:rPr>
                <w:rFonts w:ascii="Arial" w:hAnsi="Arial" w:cs="Arial"/>
                <w:b/>
                <w:spacing w:val="-4"/>
                <w:sz w:val="16"/>
                <w:szCs w:val="16"/>
              </w:rPr>
              <w:t>$134,727.66</w:t>
            </w:r>
          </w:p>
        </w:tc>
        <w:tc>
          <w:tcPr>
            <w:tcW w:w="1335"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$1,091,708.78</w:t>
            </w:r>
          </w:p>
        </w:tc>
        <w:tc>
          <w:tcPr>
            <w:tcW w:w="1114"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$122,643.64</w:t>
            </w:r>
          </w:p>
        </w:tc>
        <w:tc>
          <w:tcPr>
            <w:tcW w:w="1267"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$6,132.18</w:t>
            </w:r>
          </w:p>
        </w:tc>
      </w:tr>
      <w:tr w:rsidR="0040160D" w:rsidTr="00D15AAB">
        <w:tc>
          <w:tcPr>
            <w:tcW w:w="1033" w:type="dxa"/>
            <w:vAlign w:val="center"/>
          </w:tcPr>
          <w:p w:rsidR="0040160D" w:rsidRPr="00D15AAB" w:rsidRDefault="0040160D" w:rsidP="00F17D51">
            <w:pPr>
              <w:spacing w:before="40" w:after="40"/>
              <w:rPr>
                <w:rFonts w:ascii="Arial" w:hAnsi="Arial" w:cs="Arial"/>
                <w:b/>
                <w:spacing w:val="-4"/>
                <w:sz w:val="16"/>
                <w:szCs w:val="16"/>
              </w:rPr>
            </w:pPr>
            <w:r w:rsidRPr="00D15AAB">
              <w:rPr>
                <w:rFonts w:ascii="Arial" w:hAnsi="Arial" w:cs="Arial"/>
                <w:b/>
                <w:spacing w:val="-4"/>
                <w:sz w:val="16"/>
                <w:szCs w:val="16"/>
              </w:rPr>
              <w:t>Centla</w:t>
            </w:r>
          </w:p>
        </w:tc>
        <w:tc>
          <w:tcPr>
            <w:tcW w:w="1251" w:type="dxa"/>
            <w:vMerge/>
            <w:vAlign w:val="center"/>
          </w:tcPr>
          <w:p w:rsidR="0040160D" w:rsidRPr="00D15AAB" w:rsidRDefault="0040160D" w:rsidP="00F17D51">
            <w:pPr>
              <w:spacing w:before="40" w:after="40"/>
              <w:rPr>
                <w:rFonts w:ascii="Arial" w:hAnsi="Arial" w:cs="Arial"/>
                <w:b/>
                <w:spacing w:val="-4"/>
                <w:sz w:val="16"/>
                <w:szCs w:val="16"/>
              </w:rPr>
            </w:pPr>
          </w:p>
        </w:tc>
        <w:tc>
          <w:tcPr>
            <w:tcW w:w="1463"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$531,699.88</w:t>
            </w:r>
          </w:p>
        </w:tc>
        <w:tc>
          <w:tcPr>
            <w:tcW w:w="1365" w:type="dxa"/>
            <w:vAlign w:val="center"/>
          </w:tcPr>
          <w:p w:rsidR="0040160D" w:rsidRPr="00D15AAB" w:rsidRDefault="0040160D" w:rsidP="00F17D51">
            <w:pPr>
              <w:spacing w:before="40" w:after="40"/>
              <w:jc w:val="center"/>
              <w:rPr>
                <w:rFonts w:ascii="Arial" w:hAnsi="Arial" w:cs="Arial"/>
                <w:b/>
                <w:spacing w:val="-4"/>
                <w:sz w:val="16"/>
                <w:szCs w:val="16"/>
              </w:rPr>
            </w:pPr>
            <w:r w:rsidRPr="00D15AAB">
              <w:rPr>
                <w:rFonts w:ascii="Arial" w:hAnsi="Arial" w:cs="Arial"/>
                <w:b/>
                <w:spacing w:val="-4"/>
                <w:sz w:val="16"/>
                <w:szCs w:val="16"/>
              </w:rPr>
              <w:t>$134,727.66</w:t>
            </w:r>
          </w:p>
        </w:tc>
        <w:tc>
          <w:tcPr>
            <w:tcW w:w="1335"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$396,972.22</w:t>
            </w:r>
          </w:p>
        </w:tc>
        <w:tc>
          <w:tcPr>
            <w:tcW w:w="1114"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$53,169.99</w:t>
            </w:r>
          </w:p>
        </w:tc>
        <w:tc>
          <w:tcPr>
            <w:tcW w:w="1267"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$2,658.50</w:t>
            </w:r>
          </w:p>
        </w:tc>
      </w:tr>
      <w:tr w:rsidR="0040160D" w:rsidTr="00D15AAB">
        <w:tc>
          <w:tcPr>
            <w:tcW w:w="1033" w:type="dxa"/>
            <w:vAlign w:val="center"/>
          </w:tcPr>
          <w:p w:rsidR="0040160D" w:rsidRPr="00D15AAB" w:rsidRDefault="0040160D" w:rsidP="00F17D51">
            <w:pPr>
              <w:spacing w:before="40" w:after="40"/>
              <w:rPr>
                <w:rFonts w:ascii="Arial" w:hAnsi="Arial" w:cs="Arial"/>
                <w:b/>
                <w:spacing w:val="-4"/>
                <w:sz w:val="16"/>
                <w:szCs w:val="16"/>
              </w:rPr>
            </w:pPr>
            <w:r w:rsidRPr="00D15AAB">
              <w:rPr>
                <w:rFonts w:ascii="Arial" w:hAnsi="Arial" w:cs="Arial"/>
                <w:b/>
                <w:spacing w:val="-4"/>
                <w:sz w:val="16"/>
                <w:szCs w:val="16"/>
              </w:rPr>
              <w:t>Cunduacán</w:t>
            </w:r>
          </w:p>
        </w:tc>
        <w:tc>
          <w:tcPr>
            <w:tcW w:w="1251" w:type="dxa"/>
            <w:vMerge/>
            <w:vAlign w:val="center"/>
          </w:tcPr>
          <w:p w:rsidR="0040160D" w:rsidRPr="00D15AAB" w:rsidRDefault="0040160D" w:rsidP="00F17D51">
            <w:pPr>
              <w:spacing w:before="40" w:after="40"/>
              <w:rPr>
                <w:rFonts w:ascii="Arial" w:hAnsi="Arial" w:cs="Arial"/>
                <w:b/>
                <w:spacing w:val="-4"/>
                <w:sz w:val="16"/>
                <w:szCs w:val="16"/>
              </w:rPr>
            </w:pPr>
          </w:p>
        </w:tc>
        <w:tc>
          <w:tcPr>
            <w:tcW w:w="1463"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$666,265.82</w:t>
            </w:r>
          </w:p>
        </w:tc>
        <w:tc>
          <w:tcPr>
            <w:tcW w:w="1365" w:type="dxa"/>
            <w:vAlign w:val="center"/>
          </w:tcPr>
          <w:p w:rsidR="0040160D" w:rsidRPr="00D15AAB" w:rsidRDefault="0040160D" w:rsidP="00F17D51">
            <w:pPr>
              <w:spacing w:before="40" w:after="40"/>
              <w:jc w:val="center"/>
              <w:rPr>
                <w:rFonts w:ascii="Arial" w:hAnsi="Arial" w:cs="Arial"/>
                <w:b/>
                <w:spacing w:val="-4"/>
                <w:sz w:val="16"/>
                <w:szCs w:val="16"/>
              </w:rPr>
            </w:pPr>
            <w:r w:rsidRPr="00D15AAB">
              <w:rPr>
                <w:rFonts w:ascii="Arial" w:hAnsi="Arial" w:cs="Arial"/>
                <w:b/>
                <w:spacing w:val="-4"/>
                <w:sz w:val="16"/>
                <w:szCs w:val="16"/>
              </w:rPr>
              <w:t>$134,727.66</w:t>
            </w:r>
          </w:p>
        </w:tc>
        <w:tc>
          <w:tcPr>
            <w:tcW w:w="1335"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$531,538.16</w:t>
            </w:r>
          </w:p>
        </w:tc>
        <w:tc>
          <w:tcPr>
            <w:tcW w:w="1114"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$66,626.58</w:t>
            </w:r>
          </w:p>
        </w:tc>
        <w:tc>
          <w:tcPr>
            <w:tcW w:w="1267" w:type="dxa"/>
            <w:vAlign w:val="center"/>
          </w:tcPr>
          <w:p w:rsidR="0040160D" w:rsidRPr="00D15AAB" w:rsidRDefault="0040160D" w:rsidP="00F17D51">
            <w:pPr>
              <w:spacing w:before="40" w:after="40"/>
              <w:jc w:val="right"/>
              <w:rPr>
                <w:rFonts w:ascii="Arial" w:hAnsi="Arial" w:cs="Arial"/>
                <w:b/>
                <w:spacing w:val="-4"/>
                <w:sz w:val="16"/>
                <w:szCs w:val="16"/>
              </w:rPr>
            </w:pPr>
            <w:r w:rsidRPr="00D15AAB">
              <w:rPr>
                <w:rFonts w:ascii="Arial" w:hAnsi="Arial" w:cs="Arial"/>
                <w:b/>
                <w:spacing w:val="-4"/>
                <w:sz w:val="16"/>
                <w:szCs w:val="16"/>
              </w:rPr>
              <w:t>$3,331.33</w:t>
            </w:r>
          </w:p>
        </w:tc>
      </w:tr>
    </w:tbl>
    <w:p w:rsidR="00B8447D" w:rsidRPr="002F42B2" w:rsidRDefault="00B8447D" w:rsidP="00B8447D">
      <w:pPr>
        <w:rPr>
          <w:rFonts w:ascii="Arial" w:hAnsi="Arial" w:cs="Arial"/>
        </w:rPr>
      </w:pPr>
      <w:r w:rsidRPr="002F42B2">
        <w:rPr>
          <w:rFonts w:ascii="Arial" w:hAnsi="Arial" w:cs="Arial"/>
          <w:b/>
          <w:bCs/>
        </w:rPr>
        <w:t xml:space="preserve">Tercero. </w:t>
      </w:r>
      <w:r w:rsidRPr="002F42B2">
        <w:rPr>
          <w:rFonts w:ascii="Arial" w:hAnsi="Arial" w:cs="Arial"/>
          <w:bCs/>
        </w:rPr>
        <w:t>S</w:t>
      </w:r>
      <w:r w:rsidRPr="002F42B2">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B8447D" w:rsidRPr="002F42B2" w:rsidRDefault="00B8447D" w:rsidP="00B8447D">
      <w:pPr>
        <w:rPr>
          <w:rFonts w:ascii="Arial" w:hAnsi="Arial" w:cs="Arial"/>
        </w:rPr>
      </w:pPr>
      <w:r w:rsidRPr="002F42B2">
        <w:rPr>
          <w:rFonts w:ascii="Arial" w:hAnsi="Arial" w:cs="Arial"/>
          <w:b/>
        </w:rPr>
        <w:t>Cuarto.</w:t>
      </w:r>
      <w:r w:rsidRPr="002F42B2">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B8447D" w:rsidRPr="002F42B2" w:rsidRDefault="00B8447D" w:rsidP="00B8447D">
      <w:pPr>
        <w:rPr>
          <w:rFonts w:ascii="Arial" w:hAnsi="Arial" w:cs="Arial"/>
        </w:rPr>
      </w:pPr>
      <w:r w:rsidRPr="002F42B2">
        <w:rPr>
          <w:rFonts w:ascii="Arial" w:hAnsi="Arial" w:cs="Arial"/>
        </w:rPr>
        <w:t>El presente acuerdo fue</w:t>
      </w:r>
      <w:r w:rsidR="002F42B2">
        <w:rPr>
          <w:rFonts w:ascii="Arial" w:hAnsi="Arial" w:cs="Arial"/>
        </w:rPr>
        <w:t xml:space="preserve"> aprobado </w:t>
      </w:r>
      <w:r w:rsidRPr="002F42B2">
        <w:rPr>
          <w:rFonts w:ascii="Arial" w:hAnsi="Arial" w:cs="Arial"/>
        </w:rPr>
        <w:t xml:space="preserve">en sesión </w:t>
      </w:r>
      <w:r w:rsidR="002F42B2">
        <w:rPr>
          <w:rFonts w:ascii="Arial" w:hAnsi="Arial" w:cs="Arial"/>
        </w:rPr>
        <w:t>Extraordinaria Urgente</w:t>
      </w:r>
      <w:r w:rsidRPr="002F42B2">
        <w:rPr>
          <w:rFonts w:ascii="Arial" w:hAnsi="Arial" w:cs="Arial"/>
        </w:rPr>
        <w:t xml:space="preserve"> efectuada el </w:t>
      </w:r>
      <w:r w:rsidR="002F42B2">
        <w:rPr>
          <w:rFonts w:ascii="Arial" w:hAnsi="Arial" w:cs="Arial"/>
        </w:rPr>
        <w:t>quince</w:t>
      </w:r>
      <w:r w:rsidRPr="002F42B2">
        <w:rPr>
          <w:rFonts w:ascii="Arial" w:hAnsi="Arial" w:cs="Arial"/>
        </w:rPr>
        <w:t xml:space="preserve"> de </w:t>
      </w:r>
      <w:r w:rsidR="002F42B2">
        <w:rPr>
          <w:rFonts w:ascii="Arial" w:hAnsi="Arial" w:cs="Arial"/>
        </w:rPr>
        <w:t>marzo</w:t>
      </w:r>
      <w:r w:rsidRPr="002F42B2">
        <w:rPr>
          <w:rFonts w:ascii="Arial" w:hAnsi="Arial" w:cs="Arial"/>
        </w:rPr>
        <w:t xml:space="preserve"> del año dos mil veinticuatro, por votación </w:t>
      </w:r>
      <w:r w:rsidR="002F42B2">
        <w:rPr>
          <w:rFonts w:ascii="Arial" w:hAnsi="Arial" w:cs="Arial"/>
        </w:rPr>
        <w:t>unánime</w:t>
      </w:r>
      <w:r w:rsidRPr="002F42B2">
        <w:rPr>
          <w:rFonts w:ascii="Arial" w:hAnsi="Arial" w:cs="Arial"/>
        </w:rPr>
        <w:t xml:space="preserve"> de las y los Consejeros Electorales del Consejo Estatal del Instituto Electoral y de Participación Ciudadana de Tabasco: Dra. </w:t>
      </w:r>
      <w:proofErr w:type="spellStart"/>
      <w:r w:rsidRPr="002F42B2">
        <w:rPr>
          <w:rFonts w:ascii="Arial" w:hAnsi="Arial" w:cs="Arial"/>
        </w:rPr>
        <w:t>Rosselvy</w:t>
      </w:r>
      <w:proofErr w:type="spellEnd"/>
      <w:r w:rsidRPr="002F42B2">
        <w:rPr>
          <w:rFonts w:ascii="Arial" w:hAnsi="Arial" w:cs="Arial"/>
        </w:rPr>
        <w:t xml:space="preserve"> del Carmen Domínguez Arévalo, Licda. María</w:t>
      </w:r>
      <w:r w:rsidR="00A156DB">
        <w:rPr>
          <w:rFonts w:ascii="Arial" w:hAnsi="Arial" w:cs="Arial"/>
        </w:rPr>
        <w:t xml:space="preserve"> Elvia Magaña Sandoval, </w:t>
      </w:r>
      <w:r w:rsidRPr="002F42B2">
        <w:rPr>
          <w:rFonts w:ascii="Arial" w:hAnsi="Arial" w:cs="Arial"/>
        </w:rPr>
        <w:t xml:space="preserve"> M.D. Víctor Humberto Mejía Naranjo, Lic. Hernán González Sala, Lic. Vladimir Hernández Venegas</w:t>
      </w:r>
      <w:r w:rsidR="002F42B2">
        <w:rPr>
          <w:rFonts w:ascii="Arial" w:hAnsi="Arial" w:cs="Arial"/>
        </w:rPr>
        <w:t>,</w:t>
      </w:r>
      <w:r w:rsidRPr="002F42B2">
        <w:rPr>
          <w:rFonts w:ascii="Arial" w:hAnsi="Arial" w:cs="Arial"/>
        </w:rPr>
        <w:t xml:space="preserve"> la Consejera Presidenta, Mtra. Elizabeth Nava</w:t>
      </w:r>
      <w:bookmarkStart w:id="1" w:name="_GoBack"/>
      <w:bookmarkEnd w:id="1"/>
      <w:r w:rsidRPr="002F42B2">
        <w:rPr>
          <w:rFonts w:ascii="Arial" w:hAnsi="Arial" w:cs="Arial"/>
        </w:rPr>
        <w:t xml:space="preserve"> Gu</w:t>
      </w:r>
      <w:r w:rsidR="002F42B2">
        <w:rPr>
          <w:rFonts w:ascii="Arial" w:hAnsi="Arial" w:cs="Arial"/>
        </w:rPr>
        <w:t>tiérrez,</w:t>
      </w:r>
      <w:r w:rsidR="002F42B2" w:rsidRPr="002F42B2">
        <w:rPr>
          <w:rFonts w:ascii="Arial" w:hAnsi="Arial" w:cs="Arial"/>
        </w:rPr>
        <w:t xml:space="preserve"> </w:t>
      </w:r>
      <w:r w:rsidR="002F42B2">
        <w:rPr>
          <w:rFonts w:ascii="Arial" w:hAnsi="Arial" w:cs="Arial"/>
        </w:rPr>
        <w:t xml:space="preserve">con la excusa presentada por el Consejero Electoral </w:t>
      </w:r>
      <w:r w:rsidR="002F42B2" w:rsidRPr="002F42B2">
        <w:rPr>
          <w:rFonts w:ascii="Arial" w:hAnsi="Arial" w:cs="Arial"/>
        </w:rPr>
        <w:t>Mtro. Juan Correa López</w:t>
      </w:r>
      <w:r w:rsidR="002F42B2">
        <w:rPr>
          <w:rFonts w:ascii="Arial" w:hAnsi="Arial" w:cs="Arial"/>
        </w:rPr>
        <w:t>.</w:t>
      </w:r>
    </w:p>
    <w:p w:rsidR="00D7069A" w:rsidRDefault="00D7069A" w:rsidP="00B8447D">
      <w:pPr>
        <w:rPr>
          <w:rFonts w:ascii="Arial" w:hAnsi="Arial" w:cs="Arial"/>
        </w:rPr>
      </w:pPr>
    </w:p>
    <w:p w:rsidR="002F42B2" w:rsidRDefault="002F42B2" w:rsidP="00B8447D">
      <w:pPr>
        <w:rPr>
          <w:rFonts w:ascii="Arial" w:hAnsi="Arial" w:cs="Arial"/>
        </w:rPr>
      </w:pPr>
    </w:p>
    <w:tbl>
      <w:tblPr>
        <w:tblStyle w:val="Tablaconcuadrcula"/>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299"/>
        <w:gridCol w:w="4544"/>
      </w:tblGrid>
      <w:tr w:rsidR="00B8447D" w:rsidRPr="002F42B2" w:rsidTr="002F42B2">
        <w:trPr>
          <w:trHeight w:val="1014"/>
        </w:trPr>
        <w:tc>
          <w:tcPr>
            <w:tcW w:w="4492" w:type="dxa"/>
          </w:tcPr>
          <w:p w:rsidR="00B8447D" w:rsidRPr="002F42B2" w:rsidRDefault="00B8447D" w:rsidP="00F17D51">
            <w:pPr>
              <w:spacing w:before="0" w:after="0"/>
              <w:jc w:val="center"/>
              <w:rPr>
                <w:rFonts w:ascii="Arial" w:hAnsi="Arial" w:cs="Arial"/>
                <w:b/>
              </w:rPr>
            </w:pPr>
            <w:r w:rsidRPr="002F42B2">
              <w:rPr>
                <w:rFonts w:ascii="Arial" w:hAnsi="Arial" w:cs="Arial"/>
                <w:b/>
              </w:rPr>
              <w:t>MTRA. ELIZABETH NAVA GUTIÉRREZ</w:t>
            </w:r>
          </w:p>
          <w:p w:rsidR="00B8447D" w:rsidRPr="002F42B2" w:rsidRDefault="00B8447D" w:rsidP="00F17D51">
            <w:pPr>
              <w:spacing w:before="0" w:after="0"/>
              <w:jc w:val="center"/>
              <w:rPr>
                <w:rFonts w:ascii="Arial" w:hAnsi="Arial" w:cs="Arial"/>
                <w:b/>
              </w:rPr>
            </w:pPr>
            <w:r w:rsidRPr="002F42B2">
              <w:rPr>
                <w:rFonts w:ascii="Arial" w:hAnsi="Arial" w:cs="Arial"/>
                <w:b/>
              </w:rPr>
              <w:t>CONSEJERA PRESIDENTA</w:t>
            </w:r>
          </w:p>
        </w:tc>
        <w:tc>
          <w:tcPr>
            <w:tcW w:w="299" w:type="dxa"/>
          </w:tcPr>
          <w:p w:rsidR="00B8447D" w:rsidRPr="002F42B2" w:rsidRDefault="00B8447D" w:rsidP="00F17D51">
            <w:pPr>
              <w:spacing w:before="0" w:after="0"/>
              <w:rPr>
                <w:rFonts w:ascii="Arial" w:hAnsi="Arial" w:cs="Arial"/>
                <w:b/>
              </w:rPr>
            </w:pPr>
          </w:p>
        </w:tc>
        <w:tc>
          <w:tcPr>
            <w:tcW w:w="4544" w:type="dxa"/>
          </w:tcPr>
          <w:p w:rsidR="00B8447D" w:rsidRPr="002F42B2" w:rsidRDefault="00B8447D" w:rsidP="00F17D51">
            <w:pPr>
              <w:spacing w:before="0" w:after="0"/>
              <w:jc w:val="center"/>
              <w:rPr>
                <w:rFonts w:ascii="Arial" w:hAnsi="Arial" w:cs="Arial"/>
                <w:b/>
              </w:rPr>
            </w:pPr>
            <w:r w:rsidRPr="002F42B2">
              <w:rPr>
                <w:rFonts w:ascii="Arial" w:hAnsi="Arial" w:cs="Arial"/>
                <w:b/>
              </w:rPr>
              <w:t>LIC. JORGE ALBERTO ZAVALA FRÍAS</w:t>
            </w:r>
          </w:p>
          <w:p w:rsidR="00B8447D" w:rsidRPr="002F42B2" w:rsidRDefault="00B8447D" w:rsidP="00F17D51">
            <w:pPr>
              <w:spacing w:before="0" w:after="0"/>
              <w:jc w:val="center"/>
              <w:rPr>
                <w:rFonts w:ascii="Arial" w:hAnsi="Arial" w:cs="Arial"/>
                <w:b/>
              </w:rPr>
            </w:pPr>
            <w:r w:rsidRPr="002F42B2">
              <w:rPr>
                <w:rFonts w:ascii="Arial" w:hAnsi="Arial" w:cs="Arial"/>
                <w:b/>
              </w:rPr>
              <w:t>SECRETARIO DEL CONSEJO</w:t>
            </w:r>
          </w:p>
        </w:tc>
      </w:tr>
    </w:tbl>
    <w:p w:rsidR="001E2258" w:rsidRPr="00D15AAB" w:rsidRDefault="001E2258" w:rsidP="00D15AAB">
      <w:pPr>
        <w:spacing w:before="0" w:after="0" w:line="240" w:lineRule="auto"/>
        <w:rPr>
          <w:sz w:val="8"/>
        </w:rPr>
      </w:pPr>
    </w:p>
    <w:sectPr w:rsidR="001E2258" w:rsidRPr="00D15AAB" w:rsidSect="00D15AAB">
      <w:headerReference w:type="default" r:id="rId8"/>
      <w:footerReference w:type="default" r:id="rId9"/>
      <w:pgSz w:w="12240" w:h="15840" w:code="1"/>
      <w:pgMar w:top="2835" w:right="1608"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A6" w:rsidRDefault="00F56CA6" w:rsidP="00D85A55">
      <w:pPr>
        <w:spacing w:before="0" w:after="0" w:line="240" w:lineRule="auto"/>
      </w:pPr>
      <w:r>
        <w:separator/>
      </w:r>
    </w:p>
  </w:endnote>
  <w:endnote w:type="continuationSeparator" w:id="0">
    <w:p w:rsidR="00F56CA6" w:rsidRDefault="00F56CA6" w:rsidP="00D85A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1490634433"/>
      <w:docPartObj>
        <w:docPartGallery w:val="Page Numbers (Top of Page)"/>
        <w:docPartUnique/>
      </w:docPartObj>
    </w:sdtPr>
    <w:sdtEndPr/>
    <w:sdtContent>
      <w:p w:rsidR="00F4701E" w:rsidRPr="00F4701E" w:rsidRDefault="00F4701E" w:rsidP="00F4701E">
        <w:pPr>
          <w:pStyle w:val="Piedepgina"/>
          <w:jc w:val="right"/>
          <w:rPr>
            <w:rFonts w:cs="Arial"/>
            <w:color w:val="993366"/>
            <w:sz w:val="20"/>
            <w:szCs w:val="20"/>
          </w:rPr>
        </w:pPr>
        <w:r w:rsidRPr="00C87D51">
          <w:rPr>
            <w:rFonts w:cs="Arial"/>
            <w:b/>
            <w:bCs/>
            <w:color w:val="993366"/>
          </w:rPr>
          <w:t xml:space="preserve">Página </w:t>
        </w:r>
        <w:r w:rsidRPr="00C87D51">
          <w:rPr>
            <w:rFonts w:cs="Arial"/>
            <w:b/>
            <w:bCs/>
            <w:color w:val="993366"/>
          </w:rPr>
          <w:fldChar w:fldCharType="begin"/>
        </w:r>
        <w:r w:rsidRPr="00C87D51">
          <w:rPr>
            <w:rFonts w:cs="Arial"/>
            <w:b/>
            <w:bCs/>
            <w:color w:val="993366"/>
          </w:rPr>
          <w:instrText>PAGE</w:instrText>
        </w:r>
        <w:r w:rsidRPr="00C87D51">
          <w:rPr>
            <w:rFonts w:cs="Arial"/>
            <w:b/>
            <w:bCs/>
            <w:color w:val="993366"/>
          </w:rPr>
          <w:fldChar w:fldCharType="separate"/>
        </w:r>
        <w:r w:rsidR="00A156DB">
          <w:rPr>
            <w:rFonts w:cs="Arial"/>
            <w:b/>
            <w:bCs/>
            <w:noProof/>
            <w:color w:val="993366"/>
          </w:rPr>
          <w:t>16</w:t>
        </w:r>
        <w:r w:rsidRPr="00C87D51">
          <w:rPr>
            <w:rFonts w:cs="Arial"/>
            <w:b/>
            <w:bCs/>
            <w:color w:val="993366"/>
          </w:rPr>
          <w:fldChar w:fldCharType="end"/>
        </w:r>
        <w:r w:rsidRPr="00C87D51">
          <w:rPr>
            <w:rFonts w:cs="Arial"/>
            <w:b/>
            <w:bCs/>
            <w:color w:val="993366"/>
          </w:rPr>
          <w:t xml:space="preserve"> | </w:t>
        </w:r>
        <w:r w:rsidRPr="00C87D51">
          <w:rPr>
            <w:rFonts w:cs="Arial"/>
            <w:b/>
            <w:bCs/>
            <w:color w:val="993366"/>
          </w:rPr>
          <w:fldChar w:fldCharType="begin"/>
        </w:r>
        <w:r w:rsidRPr="00C87D51">
          <w:rPr>
            <w:rFonts w:cs="Arial"/>
            <w:b/>
            <w:bCs/>
            <w:color w:val="993366"/>
          </w:rPr>
          <w:instrText>NUMPAGES</w:instrText>
        </w:r>
        <w:r w:rsidRPr="00C87D51">
          <w:rPr>
            <w:rFonts w:cs="Arial"/>
            <w:b/>
            <w:bCs/>
            <w:color w:val="993366"/>
          </w:rPr>
          <w:fldChar w:fldCharType="separate"/>
        </w:r>
        <w:r w:rsidR="00A156DB">
          <w:rPr>
            <w:rFonts w:cs="Arial"/>
            <w:b/>
            <w:bCs/>
            <w:noProof/>
            <w:color w:val="993366"/>
          </w:rPr>
          <w:t>16</w:t>
        </w:r>
        <w:r w:rsidRPr="00C87D51">
          <w:rPr>
            <w:rFonts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A6" w:rsidRDefault="00F56CA6" w:rsidP="00D85A55">
      <w:pPr>
        <w:spacing w:before="0" w:after="0" w:line="240" w:lineRule="auto"/>
      </w:pPr>
      <w:r>
        <w:separator/>
      </w:r>
    </w:p>
  </w:footnote>
  <w:footnote w:type="continuationSeparator" w:id="0">
    <w:p w:rsidR="00F56CA6" w:rsidRDefault="00F56CA6" w:rsidP="00D85A55">
      <w:pPr>
        <w:spacing w:before="0" w:after="0" w:line="240" w:lineRule="auto"/>
      </w:pPr>
      <w:r>
        <w:continuationSeparator/>
      </w:r>
    </w:p>
  </w:footnote>
  <w:footnote w:id="1">
    <w:p w:rsidR="007D4789" w:rsidRPr="003173ED" w:rsidRDefault="007D4789">
      <w:pPr>
        <w:pStyle w:val="Textonotapie"/>
        <w:rPr>
          <w:lang w:val="es-ES"/>
        </w:rPr>
      </w:pPr>
      <w:r w:rsidRPr="003173ED">
        <w:rPr>
          <w:rStyle w:val="Refdenotaalpie"/>
        </w:rPr>
        <w:footnoteRef/>
      </w:r>
      <w:r w:rsidRPr="003173ED">
        <w:t xml:space="preserve"> SUP-JDC-274/2018</w:t>
      </w:r>
    </w:p>
  </w:footnote>
  <w:footnote w:id="2">
    <w:p w:rsidR="00D17F31" w:rsidRPr="003173ED" w:rsidRDefault="00D17F31" w:rsidP="00D17F31">
      <w:pPr>
        <w:spacing w:before="7" w:line="190" w:lineRule="exact"/>
        <w:rPr>
          <w:sz w:val="16"/>
          <w:szCs w:val="16"/>
        </w:rPr>
      </w:pPr>
      <w:r w:rsidRPr="003173ED">
        <w:rPr>
          <w:rStyle w:val="Refdenotaalpie"/>
          <w:sz w:val="16"/>
          <w:szCs w:val="16"/>
        </w:rPr>
        <w:footnoteRef/>
      </w:r>
      <w:r w:rsidRPr="003173ED">
        <w:rPr>
          <w:sz w:val="16"/>
          <w:szCs w:val="16"/>
        </w:rPr>
        <w:t xml:space="preserve"> Para los cálculos se emplearon la totalidad de decimales que considera la hoja de cálculo del programa Excel, y por motivos de presentación y redondeo se reflejan en sólo dos decimales. Las cifras de los montos económicos fijadas corresponden a operaciones matemáticas en las que se emplearon todos los decimales, sin redondeo.</w:t>
      </w:r>
    </w:p>
  </w:footnote>
  <w:footnote w:id="3">
    <w:p w:rsidR="003173ED" w:rsidRPr="003173ED" w:rsidRDefault="003173ED" w:rsidP="003173ED">
      <w:pPr>
        <w:pStyle w:val="Textonotapie"/>
        <w:rPr>
          <w:rFonts w:cs="Arial"/>
        </w:rPr>
      </w:pPr>
      <w:r w:rsidRPr="003173ED">
        <w:rPr>
          <w:rStyle w:val="Refdenotaalpie"/>
          <w:rFonts w:cs="Arial"/>
          <w:sz w:val="16"/>
        </w:rPr>
        <w:footnoteRef/>
      </w:r>
      <w:r w:rsidRPr="003173ED">
        <w:rPr>
          <w:rFonts w:cs="Arial"/>
          <w:sz w:val="16"/>
        </w:rPr>
        <w:t xml:space="preserve">  Para los cálculos se emplearon cifras que incluyen la totalidad de decimales que considera la hoja de cálculo del programa Excel, y por motivos de presentación y redondeo se reflejan en sólo dos decimales. Las cifras de los montos económicos fijadas corresponden a operaciones matemáticas en las que se emplearon todos los decimales, sin redondeo.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9D2D18" w:rsidRPr="00063338" w:rsidTr="00F17D51">
      <w:tc>
        <w:tcPr>
          <w:tcW w:w="1418" w:type="dxa"/>
        </w:tcPr>
        <w:p w:rsidR="009D2D18" w:rsidRPr="00063338" w:rsidRDefault="009D2D18" w:rsidP="009D2D18">
          <w:pPr>
            <w:pStyle w:val="Encabezado"/>
            <w:ind w:left="-170"/>
          </w:pPr>
          <w:r>
            <w:rPr>
              <w:b/>
              <w:noProof/>
              <w:sz w:val="32"/>
              <w:lang w:eastAsia="es-MX"/>
            </w:rPr>
            <w:drawing>
              <wp:inline distT="0" distB="0" distL="0" distR="0" wp14:anchorId="6ED8BCFD" wp14:editId="0BD7239C">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9D2D18" w:rsidRPr="00FA6047" w:rsidRDefault="009D2D18" w:rsidP="009D2D1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9D2D18" w:rsidRPr="00063338" w:rsidRDefault="009D2D18" w:rsidP="009D2D18">
          <w:pPr>
            <w:pStyle w:val="Encabezado"/>
            <w:jc w:val="center"/>
          </w:pPr>
          <w:r w:rsidRPr="00FA6047">
            <w:rPr>
              <w:rFonts w:ascii="Arial" w:hAnsi="Arial" w:cs="Arial"/>
              <w:sz w:val="26"/>
              <w:szCs w:val="26"/>
            </w:rPr>
            <w:t>CONSEJO ESTATAL</w:t>
          </w:r>
        </w:p>
      </w:tc>
      <w:tc>
        <w:tcPr>
          <w:tcW w:w="1701" w:type="dxa"/>
        </w:tcPr>
        <w:p w:rsidR="009D2D18" w:rsidRPr="00063338" w:rsidRDefault="009D2D18" w:rsidP="009D2D18">
          <w:pPr>
            <w:pStyle w:val="Encabezado"/>
            <w:spacing w:before="480"/>
          </w:pPr>
          <w:r>
            <w:rPr>
              <w:noProof/>
              <w:lang w:eastAsia="es-MX"/>
            </w:rPr>
            <w:drawing>
              <wp:inline distT="0" distB="0" distL="0" distR="0" wp14:anchorId="577DC826" wp14:editId="0F7447A7">
                <wp:extent cx="921600" cy="756000"/>
                <wp:effectExtent l="0" t="0" r="0" b="6350"/>
                <wp:docPr id="8" name="Imagen 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9D2D18" w:rsidRPr="002F42B2" w:rsidRDefault="002F42B2" w:rsidP="002F42B2">
    <w:pPr>
      <w:pStyle w:val="Encabezado"/>
      <w:jc w:val="right"/>
      <w:rPr>
        <w:rFonts w:ascii="Arial" w:hAnsi="Arial" w:cs="Arial"/>
        <w:b/>
        <w:sz w:val="24"/>
        <w:szCs w:val="24"/>
      </w:rPr>
    </w:pPr>
    <w:r w:rsidRPr="002F42B2">
      <w:rPr>
        <w:rFonts w:ascii="Arial" w:hAnsi="Arial" w:cs="Arial"/>
        <w:b/>
        <w:sz w:val="24"/>
        <w:szCs w:val="24"/>
      </w:rPr>
      <w:t>CE/2024/029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E59B0"/>
    <w:multiLevelType w:val="hybridMultilevel"/>
    <w:tmpl w:val="4F08625A"/>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9760E"/>
    <w:multiLevelType w:val="hybridMultilevel"/>
    <w:tmpl w:val="7DD844D6"/>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BE4021"/>
    <w:multiLevelType w:val="hybridMultilevel"/>
    <w:tmpl w:val="72907366"/>
    <w:lvl w:ilvl="0" w:tplc="7474E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D464B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288E7C91"/>
    <w:multiLevelType w:val="hybridMultilevel"/>
    <w:tmpl w:val="0E10DF06"/>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212805"/>
    <w:multiLevelType w:val="hybridMultilevel"/>
    <w:tmpl w:val="0ECE3E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8D1921"/>
    <w:multiLevelType w:val="hybridMultilevel"/>
    <w:tmpl w:val="0A1E7870"/>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6F0FD8"/>
    <w:multiLevelType w:val="hybridMultilevel"/>
    <w:tmpl w:val="AF224CBA"/>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F0376B"/>
    <w:multiLevelType w:val="hybridMultilevel"/>
    <w:tmpl w:val="7B328F36"/>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2E67EC"/>
    <w:multiLevelType w:val="hybridMultilevel"/>
    <w:tmpl w:val="12E2AA04"/>
    <w:lvl w:ilvl="0" w:tplc="25DE2B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4B4CAD"/>
    <w:multiLevelType w:val="hybridMultilevel"/>
    <w:tmpl w:val="4DDC89D0"/>
    <w:lvl w:ilvl="0" w:tplc="E5FA64C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103161"/>
    <w:multiLevelType w:val="hybridMultilevel"/>
    <w:tmpl w:val="0396EC14"/>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6C0B5A"/>
    <w:multiLevelType w:val="hybridMultilevel"/>
    <w:tmpl w:val="DC34739E"/>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4406D2"/>
    <w:multiLevelType w:val="hybridMultilevel"/>
    <w:tmpl w:val="C4941C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5C1532"/>
    <w:multiLevelType w:val="hybridMultilevel"/>
    <w:tmpl w:val="FF5E5C88"/>
    <w:lvl w:ilvl="0" w:tplc="25DE2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11"/>
  </w:num>
  <w:num w:numId="6">
    <w:abstractNumId w:val="6"/>
  </w:num>
  <w:num w:numId="7">
    <w:abstractNumId w:val="1"/>
  </w:num>
  <w:num w:numId="8">
    <w:abstractNumId w:val="0"/>
  </w:num>
  <w:num w:numId="9">
    <w:abstractNumId w:val="14"/>
  </w:num>
  <w:num w:numId="10">
    <w:abstractNumId w:val="2"/>
  </w:num>
  <w:num w:numId="11">
    <w:abstractNumId w:val="9"/>
  </w:num>
  <w:num w:numId="12">
    <w:abstractNumId w:val="12"/>
  </w:num>
  <w:num w:numId="13">
    <w:abstractNumId w:val="13"/>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2A"/>
    <w:rsid w:val="00013CAB"/>
    <w:rsid w:val="0003360B"/>
    <w:rsid w:val="000565ED"/>
    <w:rsid w:val="00075D71"/>
    <w:rsid w:val="000B0F7D"/>
    <w:rsid w:val="000B41DD"/>
    <w:rsid w:val="000E24FB"/>
    <w:rsid w:val="00171C2D"/>
    <w:rsid w:val="001D108E"/>
    <w:rsid w:val="001E2258"/>
    <w:rsid w:val="001F5583"/>
    <w:rsid w:val="001F6E6F"/>
    <w:rsid w:val="0020222E"/>
    <w:rsid w:val="0020320E"/>
    <w:rsid w:val="00207060"/>
    <w:rsid w:val="00212EEE"/>
    <w:rsid w:val="0023051C"/>
    <w:rsid w:val="0023078E"/>
    <w:rsid w:val="00253D49"/>
    <w:rsid w:val="0026711D"/>
    <w:rsid w:val="00293C2A"/>
    <w:rsid w:val="00294784"/>
    <w:rsid w:val="002B3CD7"/>
    <w:rsid w:val="002F42B2"/>
    <w:rsid w:val="003142AC"/>
    <w:rsid w:val="003173ED"/>
    <w:rsid w:val="00325DD0"/>
    <w:rsid w:val="00326C4D"/>
    <w:rsid w:val="00331A79"/>
    <w:rsid w:val="003770A9"/>
    <w:rsid w:val="0038028F"/>
    <w:rsid w:val="0039226E"/>
    <w:rsid w:val="003E3E3C"/>
    <w:rsid w:val="003E41B3"/>
    <w:rsid w:val="0040160D"/>
    <w:rsid w:val="004109F3"/>
    <w:rsid w:val="00447860"/>
    <w:rsid w:val="00491576"/>
    <w:rsid w:val="004934BA"/>
    <w:rsid w:val="004A2073"/>
    <w:rsid w:val="004C668C"/>
    <w:rsid w:val="004F329A"/>
    <w:rsid w:val="00550334"/>
    <w:rsid w:val="00557433"/>
    <w:rsid w:val="005639B8"/>
    <w:rsid w:val="00563D29"/>
    <w:rsid w:val="005A7D54"/>
    <w:rsid w:val="0061177F"/>
    <w:rsid w:val="006344AD"/>
    <w:rsid w:val="00634901"/>
    <w:rsid w:val="006857B3"/>
    <w:rsid w:val="006A461B"/>
    <w:rsid w:val="006C33CB"/>
    <w:rsid w:val="006F2D45"/>
    <w:rsid w:val="006F72CE"/>
    <w:rsid w:val="00707073"/>
    <w:rsid w:val="00725283"/>
    <w:rsid w:val="00734D39"/>
    <w:rsid w:val="00761AE1"/>
    <w:rsid w:val="00790DC6"/>
    <w:rsid w:val="007A071F"/>
    <w:rsid w:val="007D4789"/>
    <w:rsid w:val="007E41ED"/>
    <w:rsid w:val="007F61D4"/>
    <w:rsid w:val="00803D26"/>
    <w:rsid w:val="00861901"/>
    <w:rsid w:val="00892BF0"/>
    <w:rsid w:val="009178EF"/>
    <w:rsid w:val="00951709"/>
    <w:rsid w:val="009B4849"/>
    <w:rsid w:val="009D2D18"/>
    <w:rsid w:val="009E257A"/>
    <w:rsid w:val="009E7C8F"/>
    <w:rsid w:val="00A156DB"/>
    <w:rsid w:val="00A352B2"/>
    <w:rsid w:val="00A42331"/>
    <w:rsid w:val="00A4525F"/>
    <w:rsid w:val="00A676CF"/>
    <w:rsid w:val="00AA1E43"/>
    <w:rsid w:val="00AC7EF5"/>
    <w:rsid w:val="00AF2CEA"/>
    <w:rsid w:val="00B063D8"/>
    <w:rsid w:val="00B30222"/>
    <w:rsid w:val="00B3487F"/>
    <w:rsid w:val="00B50AAA"/>
    <w:rsid w:val="00B8447D"/>
    <w:rsid w:val="00BC04DC"/>
    <w:rsid w:val="00BF5749"/>
    <w:rsid w:val="00C41B91"/>
    <w:rsid w:val="00C425F5"/>
    <w:rsid w:val="00C56754"/>
    <w:rsid w:val="00C64E23"/>
    <w:rsid w:val="00C760A0"/>
    <w:rsid w:val="00CA26F3"/>
    <w:rsid w:val="00CC515D"/>
    <w:rsid w:val="00CD21DA"/>
    <w:rsid w:val="00D12E1D"/>
    <w:rsid w:val="00D15AAB"/>
    <w:rsid w:val="00D17F31"/>
    <w:rsid w:val="00D313E4"/>
    <w:rsid w:val="00D65AD9"/>
    <w:rsid w:val="00D7069A"/>
    <w:rsid w:val="00D83E02"/>
    <w:rsid w:val="00D85A55"/>
    <w:rsid w:val="00D97F0E"/>
    <w:rsid w:val="00DB42E2"/>
    <w:rsid w:val="00DC2610"/>
    <w:rsid w:val="00DC759A"/>
    <w:rsid w:val="00DD48EA"/>
    <w:rsid w:val="00DD6F1C"/>
    <w:rsid w:val="00DF090E"/>
    <w:rsid w:val="00DF0F7C"/>
    <w:rsid w:val="00E342AB"/>
    <w:rsid w:val="00E75A02"/>
    <w:rsid w:val="00E854D2"/>
    <w:rsid w:val="00EA4A0E"/>
    <w:rsid w:val="00EB0735"/>
    <w:rsid w:val="00F4701E"/>
    <w:rsid w:val="00F521E0"/>
    <w:rsid w:val="00F56CA6"/>
    <w:rsid w:val="00F7035A"/>
    <w:rsid w:val="00FF3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FE42"/>
  <w15:chartTrackingRefBased/>
  <w15:docId w15:val="{B9124501-606C-41E7-9B96-DF85662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2A"/>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293C2A"/>
    <w:pPr>
      <w:numPr>
        <w:numId w:val="15"/>
      </w:numPr>
      <w:spacing w:before="600" w:after="480"/>
      <w:jc w:val="center"/>
      <w:outlineLvl w:val="0"/>
    </w:pPr>
    <w:rPr>
      <w:b/>
      <w:sz w:val="28"/>
    </w:rPr>
  </w:style>
  <w:style w:type="paragraph" w:styleId="Ttulo2">
    <w:name w:val="heading 2"/>
    <w:basedOn w:val="Normal"/>
    <w:next w:val="Normal"/>
    <w:link w:val="Ttulo2Car"/>
    <w:uiPriority w:val="9"/>
    <w:unhideWhenUsed/>
    <w:qFormat/>
    <w:rsid w:val="00293C2A"/>
    <w:pPr>
      <w:numPr>
        <w:ilvl w:val="1"/>
        <w:numId w:val="15"/>
      </w:numPr>
      <w:spacing w:before="480"/>
      <w:outlineLvl w:val="1"/>
    </w:pPr>
    <w:rPr>
      <w:b/>
      <w:sz w:val="24"/>
    </w:rPr>
  </w:style>
  <w:style w:type="paragraph" w:styleId="Ttulo3">
    <w:name w:val="heading 3"/>
    <w:basedOn w:val="Ttulo2"/>
    <w:next w:val="Normal"/>
    <w:link w:val="Ttulo3Car"/>
    <w:uiPriority w:val="9"/>
    <w:unhideWhenUsed/>
    <w:qFormat/>
    <w:rsid w:val="007E41ED"/>
    <w:pPr>
      <w:numPr>
        <w:ilvl w:val="2"/>
      </w:numPr>
      <w:outlineLvl w:val="2"/>
    </w:pPr>
    <w:rPr>
      <w:sz w:val="23"/>
    </w:rPr>
  </w:style>
  <w:style w:type="paragraph" w:styleId="Ttulo4">
    <w:name w:val="heading 4"/>
    <w:basedOn w:val="Normal"/>
    <w:next w:val="Normal"/>
    <w:link w:val="Ttulo4Car"/>
    <w:uiPriority w:val="9"/>
    <w:semiHidden/>
    <w:unhideWhenUsed/>
    <w:qFormat/>
    <w:rsid w:val="004934BA"/>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934BA"/>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934BA"/>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934BA"/>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934BA"/>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934BA"/>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3C2A"/>
    <w:rPr>
      <w:rFonts w:ascii="Exo" w:hAnsi="Exo"/>
      <w:b/>
      <w:sz w:val="28"/>
      <w:szCs w:val="23"/>
    </w:rPr>
  </w:style>
  <w:style w:type="character" w:customStyle="1" w:styleId="Ttulo2Car">
    <w:name w:val="Título 2 Car"/>
    <w:basedOn w:val="Fuentedeprrafopredeter"/>
    <w:link w:val="Ttulo2"/>
    <w:uiPriority w:val="9"/>
    <w:rsid w:val="00293C2A"/>
    <w:rPr>
      <w:rFonts w:ascii="Exo" w:hAnsi="Exo"/>
      <w:b/>
      <w:sz w:val="24"/>
      <w:szCs w:val="23"/>
    </w:r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293C2A"/>
    <w:pPr>
      <w:ind w:left="720"/>
      <w:contextualSpacing/>
    </w:pPr>
  </w:style>
  <w:style w:type="character" w:styleId="Refdenotaalpie">
    <w:name w:val="footnote reference"/>
    <w:basedOn w:val="Fuentedeprrafopredeter"/>
    <w:uiPriority w:val="99"/>
    <w:semiHidden/>
    <w:unhideWhenUsed/>
    <w:rsid w:val="00293C2A"/>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293C2A"/>
    <w:rPr>
      <w:rFonts w:ascii="Exo" w:hAnsi="Exo"/>
      <w:sz w:val="23"/>
      <w:szCs w:val="23"/>
    </w:rPr>
  </w:style>
  <w:style w:type="table" w:styleId="Tablaconcuadrcula">
    <w:name w:val="Table Grid"/>
    <w:basedOn w:val="Tablanormal"/>
    <w:uiPriority w:val="39"/>
    <w:rsid w:val="00293C2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E41ED"/>
    <w:rPr>
      <w:rFonts w:ascii="Exo" w:hAnsi="Exo"/>
      <w:b/>
      <w:sz w:val="23"/>
      <w:szCs w:val="23"/>
    </w:rPr>
  </w:style>
  <w:style w:type="paragraph" w:styleId="Textonotapie">
    <w:name w:val="footnote text"/>
    <w:basedOn w:val="Normal"/>
    <w:link w:val="TextonotapieCar"/>
    <w:uiPriority w:val="99"/>
    <w:unhideWhenUsed/>
    <w:rsid w:val="007D478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7D4789"/>
    <w:rPr>
      <w:rFonts w:ascii="Exo" w:hAnsi="Exo"/>
      <w:sz w:val="20"/>
      <w:szCs w:val="20"/>
    </w:rPr>
  </w:style>
  <w:style w:type="paragraph" w:styleId="Encabezado">
    <w:name w:val="header"/>
    <w:basedOn w:val="Normal"/>
    <w:link w:val="EncabezadoCar"/>
    <w:uiPriority w:val="99"/>
    <w:unhideWhenUsed/>
    <w:rsid w:val="00F4701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4701E"/>
    <w:rPr>
      <w:rFonts w:ascii="Exo" w:hAnsi="Exo"/>
      <w:sz w:val="23"/>
      <w:szCs w:val="23"/>
    </w:rPr>
  </w:style>
  <w:style w:type="paragraph" w:styleId="Piedepgina">
    <w:name w:val="footer"/>
    <w:basedOn w:val="Normal"/>
    <w:link w:val="PiedepginaCar"/>
    <w:uiPriority w:val="99"/>
    <w:unhideWhenUsed/>
    <w:rsid w:val="00F4701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4701E"/>
    <w:rPr>
      <w:rFonts w:ascii="Exo" w:hAnsi="Exo"/>
      <w:sz w:val="23"/>
      <w:szCs w:val="23"/>
    </w:rPr>
  </w:style>
  <w:style w:type="character" w:customStyle="1" w:styleId="Ttulo4Car">
    <w:name w:val="Título 4 Car"/>
    <w:basedOn w:val="Fuentedeprrafopredeter"/>
    <w:link w:val="Ttulo4"/>
    <w:uiPriority w:val="9"/>
    <w:semiHidden/>
    <w:rsid w:val="004934BA"/>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4934BA"/>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4934BA"/>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4934BA"/>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4934B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934BA"/>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803D2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3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40025-7FA8-49F7-B0F4-0FF5E51F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16</Pages>
  <Words>4919</Words>
  <Characters>27056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114</cp:revision>
  <cp:lastPrinted>2024-03-16T09:24:00Z</cp:lastPrinted>
  <dcterms:created xsi:type="dcterms:W3CDTF">2024-02-21T17:02:00Z</dcterms:created>
  <dcterms:modified xsi:type="dcterms:W3CDTF">2024-03-16T09:28:00Z</dcterms:modified>
</cp:coreProperties>
</file>