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A4C" w:rsidRPr="00DD6C65" w:rsidRDefault="00DD6C65" w:rsidP="007662A5">
      <w:pPr>
        <w:rPr>
          <w:rFonts w:ascii="Arial" w:hAnsi="Arial" w:cs="Arial"/>
          <w:b/>
          <w:sz w:val="24"/>
          <w:szCs w:val="24"/>
        </w:rPr>
      </w:pPr>
      <w:r w:rsidRPr="00DD6C65">
        <w:rPr>
          <w:rFonts w:ascii="Arial" w:hAnsi="Arial" w:cs="Arial"/>
          <w:b/>
          <w:sz w:val="24"/>
          <w:szCs w:val="24"/>
        </w:rPr>
        <w:t xml:space="preserve">ACUERDO QUE, A PROPUESTA DE LA COMISIÓN PERMANENTE DE ORGANIZACIÓN ELECTORAL Y EDUCACIÓN CÍVICA, EMITE EL CONSEJO ESTATAL DEL INSTITUTO ELECTORAL Y DE PARTICIPACIÓN CIUDADANA DE TABASCO POR EL QUE APRUEBA EL PROCEDIMIENTO PARA LA VERIFICACIÓN DE LAS MEDIDAS DE SEGURIDAD ESTABLECIDAS EN LAS BOLETAS ELECTORALES, ACTAS DE JORNADA ELECTORAL Y DE ESCRUTINIO Y CÓMPUTO QUE SE UTILIZARÁN CON MOTIVO DEL PROCESO ELECTORAL LOCAL ORDINARIO 2023 – 2024 </w:t>
      </w:r>
    </w:p>
    <w:p w:rsidR="00C10CCE" w:rsidRPr="00DD6C65" w:rsidRDefault="00C10CCE" w:rsidP="00C10CCE">
      <w:pPr>
        <w:rPr>
          <w:rFonts w:ascii="Arial" w:hAnsi="Arial" w:cs="Arial"/>
          <w:sz w:val="23"/>
          <w:szCs w:val="23"/>
        </w:rPr>
      </w:pPr>
      <w:r w:rsidRPr="00DD6C65">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Comisión:</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Comisión Permanente de Organización Electoral y Educación Cívica.</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Consejo Estatal:</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Consejo Estatal del Instituto Electoral y de Participación Ciudadana de Tabasco.</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Consejos Distritales</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Consejos Electorales Distritales del Instituto Electoral y de Participación Ciudadana de Tabasco.</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Constitución Federal:</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Constitución Política de los Estados Unidos Mexicanos.</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Constitución Local:</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Constitución Política del Estado Libre y Soberano de Tabasco.</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Dirección Ejecutiva:</w:t>
            </w:r>
          </w:p>
        </w:tc>
        <w:tc>
          <w:tcPr>
            <w:tcW w:w="2958" w:type="pct"/>
            <w:shd w:val="clear" w:color="auto" w:fill="auto"/>
            <w:vAlign w:val="center"/>
          </w:tcPr>
          <w:p w:rsidR="000124A6" w:rsidRPr="00DD6C65" w:rsidRDefault="000124A6" w:rsidP="00C10CCE">
            <w:pPr>
              <w:widowControl w:val="0"/>
              <w:spacing w:before="60" w:after="60"/>
              <w:ind w:left="57"/>
              <w:rPr>
                <w:rFonts w:ascii="Arial" w:hAnsi="Arial" w:cs="Arial"/>
                <w:sz w:val="20"/>
                <w:szCs w:val="20"/>
              </w:rPr>
            </w:pPr>
            <w:r w:rsidRPr="00DD6C65">
              <w:rPr>
                <w:rFonts w:ascii="Arial" w:hAnsi="Arial" w:cs="Arial"/>
                <w:sz w:val="20"/>
                <w:szCs w:val="20"/>
              </w:rPr>
              <w:t>Dirección Ejecutiva de Organización Electoral y Educación Cívica del Instituto Nacional Electoral.</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INE:</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Instituto Nacional Electoral.</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Instituto:</w:t>
            </w:r>
          </w:p>
        </w:tc>
        <w:tc>
          <w:tcPr>
            <w:tcW w:w="2958" w:type="pct"/>
            <w:shd w:val="clear" w:color="auto" w:fill="auto"/>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Instituto Electoral y de Participación Ciudadana de Tabasco.</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Ley Electoral:</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Ley Electoral y de Partidos Políticos del Estado de Tabasco.</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Ley General:</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Ley General de Instituciones y Procedimientos Electorales.</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Organismo electoral:</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 xml:space="preserve">Organismo(s) público(s) local(es) electoral(es). </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lastRenderedPageBreak/>
              <w:t>Proceso Electoral:</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Proceso Electoral Local Ordinario 2023-2024.</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Reglamento de Elecciones:</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Reglamento de Elecciones del Instituto Nacional Electoral.</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Reglamento de los órganos distritales:</w:t>
            </w:r>
          </w:p>
        </w:tc>
        <w:tc>
          <w:tcPr>
            <w:tcW w:w="2958" w:type="pct"/>
            <w:shd w:val="clear" w:color="auto" w:fill="auto"/>
            <w:vAlign w:val="center"/>
          </w:tcPr>
          <w:p w:rsidR="000124A6" w:rsidRPr="00DD6C65" w:rsidRDefault="000124A6" w:rsidP="006F4C72">
            <w:pPr>
              <w:widowControl w:val="0"/>
              <w:spacing w:before="60" w:after="60"/>
              <w:ind w:left="57"/>
              <w:rPr>
                <w:rFonts w:ascii="Arial" w:hAnsi="Arial" w:cs="Arial"/>
                <w:sz w:val="20"/>
                <w:szCs w:val="20"/>
              </w:rPr>
            </w:pPr>
            <w:r w:rsidRPr="00DD6C65">
              <w:rPr>
                <w:rFonts w:ascii="Arial" w:hAnsi="Arial" w:cs="Arial"/>
                <w:sz w:val="20"/>
                <w:szCs w:val="20"/>
              </w:rPr>
              <w:t>Reglamento para el funcionamiento de los órganos distritales del Instituto Electoral y de Participación Ciudadana de Tabasco.</w:t>
            </w:r>
          </w:p>
        </w:tc>
      </w:tr>
      <w:tr w:rsidR="000124A6" w:rsidRPr="00DD6C65" w:rsidTr="00145847">
        <w:trPr>
          <w:trHeight w:val="624"/>
          <w:jc w:val="center"/>
        </w:trPr>
        <w:tc>
          <w:tcPr>
            <w:tcW w:w="2042" w:type="pct"/>
            <w:shd w:val="clear" w:color="auto" w:fill="auto"/>
            <w:vAlign w:val="center"/>
          </w:tcPr>
          <w:p w:rsidR="000124A6" w:rsidRPr="00DD6C65" w:rsidRDefault="000124A6" w:rsidP="00145847">
            <w:pPr>
              <w:widowControl w:val="0"/>
              <w:spacing w:before="60" w:after="60"/>
              <w:ind w:left="57"/>
              <w:jc w:val="right"/>
              <w:rPr>
                <w:rFonts w:ascii="Arial" w:hAnsi="Arial" w:cs="Arial"/>
                <w:b/>
                <w:sz w:val="20"/>
                <w:szCs w:val="20"/>
              </w:rPr>
            </w:pPr>
            <w:r w:rsidRPr="00DD6C65">
              <w:rPr>
                <w:rFonts w:ascii="Arial" w:hAnsi="Arial" w:cs="Arial"/>
                <w:b/>
                <w:sz w:val="20"/>
                <w:szCs w:val="20"/>
              </w:rPr>
              <w:t>Secretaría Ejecutiva:</w:t>
            </w:r>
          </w:p>
        </w:tc>
        <w:tc>
          <w:tcPr>
            <w:tcW w:w="2958" w:type="pct"/>
            <w:shd w:val="clear" w:color="auto" w:fill="auto"/>
            <w:vAlign w:val="center"/>
          </w:tcPr>
          <w:p w:rsidR="000124A6" w:rsidRPr="00DD6C65" w:rsidRDefault="000124A6" w:rsidP="00145847">
            <w:pPr>
              <w:widowControl w:val="0"/>
              <w:spacing w:before="60" w:after="60"/>
              <w:ind w:left="57"/>
              <w:rPr>
                <w:rFonts w:ascii="Arial" w:hAnsi="Arial" w:cs="Arial"/>
                <w:sz w:val="20"/>
                <w:szCs w:val="20"/>
              </w:rPr>
            </w:pPr>
            <w:r w:rsidRPr="00DD6C65">
              <w:rPr>
                <w:rFonts w:ascii="Arial" w:hAnsi="Arial" w:cs="Arial"/>
                <w:sz w:val="20"/>
                <w:szCs w:val="20"/>
              </w:rPr>
              <w:t>Secretaría Ejecutiva del Instituto Electoral y de Participación Ciudadana de Tabasco.</w:t>
            </w:r>
          </w:p>
        </w:tc>
      </w:tr>
    </w:tbl>
    <w:p w:rsidR="000F2A4C" w:rsidRPr="00DD6C65" w:rsidRDefault="000F2A4C" w:rsidP="00AA7263">
      <w:pPr>
        <w:pStyle w:val="Ttulo1"/>
        <w:rPr>
          <w:rFonts w:ascii="Arial" w:hAnsi="Arial" w:cs="Arial"/>
          <w:sz w:val="24"/>
          <w:szCs w:val="24"/>
        </w:rPr>
      </w:pPr>
      <w:r w:rsidRPr="00DD6C65">
        <w:rPr>
          <w:rFonts w:ascii="Arial" w:hAnsi="Arial" w:cs="Arial"/>
          <w:sz w:val="24"/>
          <w:szCs w:val="24"/>
        </w:rPr>
        <w:t>Antecedentes</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Modificación de la circunscripción plurinominal</w:t>
      </w:r>
    </w:p>
    <w:p w:rsidR="000F2A4C" w:rsidRPr="00DD6C65" w:rsidRDefault="000F2A4C" w:rsidP="007662A5">
      <w:pPr>
        <w:rPr>
          <w:rFonts w:ascii="Arial" w:hAnsi="Arial" w:cs="Arial"/>
          <w:sz w:val="23"/>
          <w:szCs w:val="23"/>
        </w:rPr>
      </w:pPr>
      <w:r w:rsidRPr="00DD6C65">
        <w:rPr>
          <w:rFonts w:ascii="Arial" w:hAnsi="Arial" w:cs="Arial"/>
          <w:sz w:val="23"/>
          <w:szCs w:val="23"/>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0F2A4C" w:rsidRPr="00DD6C65" w:rsidRDefault="00A34F4D" w:rsidP="007662A5">
      <w:pPr>
        <w:rPr>
          <w:rFonts w:ascii="Arial" w:hAnsi="Arial" w:cs="Arial"/>
          <w:sz w:val="23"/>
          <w:szCs w:val="23"/>
        </w:rPr>
      </w:pPr>
      <w:r w:rsidRPr="00DD6C65">
        <w:rPr>
          <w:rFonts w:ascii="Arial" w:hAnsi="Arial" w:cs="Arial"/>
          <w:sz w:val="23"/>
          <w:szCs w:val="23"/>
        </w:rPr>
        <w:t>Con</w:t>
      </w:r>
      <w:r w:rsidR="000F2A4C" w:rsidRPr="00DD6C65">
        <w:rPr>
          <w:rFonts w:ascii="Arial" w:hAnsi="Arial" w:cs="Arial"/>
          <w:sz w:val="23"/>
          <w:szCs w:val="23"/>
        </w:rPr>
        <w:t xml:space="preserve">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A34F4D" w:rsidRDefault="00A34F4D" w:rsidP="007662A5">
      <w:pPr>
        <w:rPr>
          <w:rFonts w:ascii="Arial" w:hAnsi="Arial" w:cs="Arial"/>
          <w:sz w:val="23"/>
          <w:szCs w:val="23"/>
        </w:rPr>
      </w:pPr>
      <w:r w:rsidRPr="00DD6C65">
        <w:rPr>
          <w:rFonts w:ascii="Arial" w:hAnsi="Arial" w:cs="Arial"/>
          <w:sz w:val="23"/>
          <w:szCs w:val="23"/>
        </w:rPr>
        <w:t>A partir de lo anterior, el 28 de diciembre de 2023, el Consejo Estatal, a propuesta de la Comisión, aprobó el acuerdo CE/2023/064 mediante el cual designó al propio Consejo como cabecera de circunscripción, estableciendo parámetros de viabilidad operativa, con lo cual se dotó de congruencia, armonía y completitud al sistema normativo para el logro de las finalidades del Instituto.</w:t>
      </w:r>
    </w:p>
    <w:p w:rsidR="00DD6C65" w:rsidRPr="00DD6C65" w:rsidRDefault="00DD6C65" w:rsidP="007662A5">
      <w:pPr>
        <w:rPr>
          <w:rFonts w:ascii="Arial" w:hAnsi="Arial" w:cs="Arial"/>
          <w:sz w:val="23"/>
          <w:szCs w:val="23"/>
        </w:rPr>
      </w:pPr>
    </w:p>
    <w:p w:rsidR="000F2A4C" w:rsidRPr="00DD6C65" w:rsidRDefault="000F2A4C" w:rsidP="00AA7263">
      <w:pPr>
        <w:pStyle w:val="Ttulo2"/>
        <w:rPr>
          <w:rFonts w:ascii="Arial" w:hAnsi="Arial" w:cs="Arial"/>
          <w:sz w:val="23"/>
          <w:szCs w:val="23"/>
        </w:rPr>
      </w:pPr>
      <w:r w:rsidRPr="00DD6C65">
        <w:rPr>
          <w:rFonts w:ascii="Arial" w:hAnsi="Arial" w:cs="Arial"/>
          <w:sz w:val="23"/>
          <w:szCs w:val="23"/>
        </w:rPr>
        <w:lastRenderedPageBreak/>
        <w:t>Distritación Electoral</w:t>
      </w:r>
    </w:p>
    <w:p w:rsidR="000F2A4C" w:rsidRPr="00DD6C65" w:rsidRDefault="000F2A4C" w:rsidP="007662A5">
      <w:pPr>
        <w:rPr>
          <w:rFonts w:ascii="Arial" w:hAnsi="Arial" w:cs="Arial"/>
          <w:sz w:val="23"/>
          <w:szCs w:val="23"/>
        </w:rPr>
      </w:pPr>
      <w:r w:rsidRPr="00DD6C65">
        <w:rPr>
          <w:rFonts w:ascii="Arial" w:hAnsi="Arial" w:cs="Arial"/>
          <w:sz w:val="23"/>
          <w:szCs w:val="23"/>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Homologación de plazos y fechas en los procesos electorales locales concurrentes</w:t>
      </w:r>
    </w:p>
    <w:p w:rsidR="000F2A4C" w:rsidRPr="00DD6C65" w:rsidRDefault="000F2A4C" w:rsidP="007662A5">
      <w:pPr>
        <w:rPr>
          <w:rFonts w:ascii="Arial" w:hAnsi="Arial" w:cs="Arial"/>
          <w:sz w:val="23"/>
          <w:szCs w:val="23"/>
        </w:rPr>
      </w:pPr>
      <w:r w:rsidRPr="00DD6C65">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 xml:space="preserve">Plan integral y calendario de coordinación </w:t>
      </w:r>
    </w:p>
    <w:p w:rsidR="000F2A4C" w:rsidRPr="00DD6C65" w:rsidRDefault="000F2A4C" w:rsidP="007662A5">
      <w:pPr>
        <w:rPr>
          <w:rFonts w:ascii="Arial" w:hAnsi="Arial" w:cs="Arial"/>
          <w:sz w:val="23"/>
          <w:szCs w:val="23"/>
        </w:rPr>
      </w:pPr>
      <w:r w:rsidRPr="00DD6C65">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Calendario electoral</w:t>
      </w:r>
    </w:p>
    <w:p w:rsidR="000F2A4C" w:rsidRPr="00DD6C65" w:rsidRDefault="000F2A4C" w:rsidP="007662A5">
      <w:pPr>
        <w:rPr>
          <w:rFonts w:ascii="Arial" w:hAnsi="Arial" w:cs="Arial"/>
          <w:sz w:val="23"/>
          <w:szCs w:val="23"/>
        </w:rPr>
      </w:pPr>
      <w:r w:rsidRPr="00DD6C65">
        <w:rPr>
          <w:rFonts w:ascii="Arial" w:hAnsi="Arial" w:cs="Arial"/>
          <w:sz w:val="23"/>
          <w:szCs w:val="23"/>
        </w:rPr>
        <w:t>El 29 de septiembre de 2023, el Consejo Estatal aprobó el acuerdo CE/2023/021 relativo al calendario electoral para el Proceso Electoral.</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Inicio del Proceso Electoral</w:t>
      </w:r>
    </w:p>
    <w:p w:rsidR="000F2A4C" w:rsidRPr="00DD6C65" w:rsidRDefault="000F2A4C" w:rsidP="007662A5">
      <w:pPr>
        <w:rPr>
          <w:rFonts w:ascii="Arial" w:hAnsi="Arial" w:cs="Arial"/>
          <w:sz w:val="23"/>
          <w:szCs w:val="23"/>
        </w:rPr>
      </w:pPr>
      <w:r w:rsidRPr="00DD6C65">
        <w:rPr>
          <w:rFonts w:ascii="Arial" w:hAnsi="Arial" w:cs="Arial"/>
          <w:sz w:val="23"/>
          <w:szCs w:val="23"/>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lastRenderedPageBreak/>
        <w:t>Convocatoria para la renovación del Poder Ejecutivo, Legislativo y los Ayuntamientos</w:t>
      </w:r>
    </w:p>
    <w:p w:rsidR="000F2A4C" w:rsidRPr="00DD6C65" w:rsidRDefault="000F2A4C" w:rsidP="007662A5">
      <w:pPr>
        <w:rPr>
          <w:rFonts w:ascii="Arial" w:hAnsi="Arial" w:cs="Arial"/>
          <w:sz w:val="23"/>
          <w:szCs w:val="23"/>
        </w:rPr>
      </w:pPr>
      <w:r w:rsidRPr="00DD6C65">
        <w:rPr>
          <w:rFonts w:ascii="Arial" w:hAnsi="Arial" w:cs="Arial"/>
          <w:sz w:val="23"/>
          <w:szCs w:val="23"/>
        </w:rPr>
        <w:t>El 20 de octubre de 2023, mediante acuerdo CE/2023/035, el Consejo Estatal expidió la convocatoria para renovar a las y los integrantes de los Poderes Ejecutivo, Legislativo y los Ayuntamientos del Estado, con motivo del Proceso Electoral.</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Jornada electoral</w:t>
      </w:r>
    </w:p>
    <w:p w:rsidR="000F2A4C" w:rsidRPr="00DD6C65" w:rsidRDefault="000F2A4C" w:rsidP="007662A5">
      <w:pPr>
        <w:rPr>
          <w:rFonts w:ascii="Arial" w:hAnsi="Arial" w:cs="Arial"/>
          <w:sz w:val="23"/>
          <w:szCs w:val="23"/>
        </w:rPr>
      </w:pPr>
      <w:r w:rsidRPr="00DD6C65">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0124A6" w:rsidRPr="00DD6C65" w:rsidRDefault="000124A6" w:rsidP="000124A6">
      <w:pPr>
        <w:pStyle w:val="Ttulo2"/>
        <w:rPr>
          <w:rFonts w:ascii="Arial" w:hAnsi="Arial" w:cs="Arial"/>
          <w:sz w:val="23"/>
          <w:szCs w:val="23"/>
        </w:rPr>
      </w:pPr>
      <w:r w:rsidRPr="00DD6C65">
        <w:rPr>
          <w:rFonts w:ascii="Arial" w:hAnsi="Arial" w:cs="Arial"/>
          <w:sz w:val="23"/>
          <w:szCs w:val="23"/>
        </w:rPr>
        <w:t>Propuesta de la Comisión</w:t>
      </w:r>
    </w:p>
    <w:p w:rsidR="000124A6" w:rsidRPr="00DD6C65" w:rsidRDefault="000124A6" w:rsidP="007662A5">
      <w:pPr>
        <w:rPr>
          <w:rFonts w:ascii="Arial" w:hAnsi="Arial" w:cs="Arial"/>
          <w:sz w:val="23"/>
          <w:szCs w:val="23"/>
        </w:rPr>
      </w:pPr>
      <w:r w:rsidRPr="00DD6C65">
        <w:rPr>
          <w:rFonts w:ascii="Arial" w:hAnsi="Arial" w:cs="Arial"/>
          <w:sz w:val="23"/>
          <w:szCs w:val="23"/>
        </w:rPr>
        <w:t>El 7 de mayo de la presente anualidad, previa reunión de trabajo, la Comisión aprobó la propuesta relativa al procedimiento para la verificación de las medidas de seguridad establecidas en las boletas electorales, actas de jornada electoral y de escrutinio y cómputo que se utilizarán con motivo del Proceso Electoral. En ese sentido, la Secretaría Técnica de la Comisión remitió a la Presidencia del Consejo, dicha propuesta, para la deliberación, y en su caso, aprobación por parte de este Consejo Estatal.</w:t>
      </w:r>
    </w:p>
    <w:p w:rsidR="000F2A4C" w:rsidRPr="00DD6C65" w:rsidRDefault="000F2A4C" w:rsidP="00AA7263">
      <w:pPr>
        <w:pStyle w:val="Ttulo1"/>
        <w:rPr>
          <w:rFonts w:ascii="Arial" w:hAnsi="Arial" w:cs="Arial"/>
          <w:sz w:val="24"/>
          <w:szCs w:val="24"/>
        </w:rPr>
      </w:pPr>
      <w:r w:rsidRPr="00DD6C65">
        <w:rPr>
          <w:rFonts w:ascii="Arial" w:hAnsi="Arial" w:cs="Arial"/>
          <w:sz w:val="24"/>
          <w:szCs w:val="24"/>
        </w:rPr>
        <w:t>Considerando</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 xml:space="preserve">Fines del Instituto </w:t>
      </w:r>
    </w:p>
    <w:p w:rsidR="000F2A4C" w:rsidRPr="00DD6C65" w:rsidRDefault="000F2A4C" w:rsidP="007662A5">
      <w:pPr>
        <w:rPr>
          <w:rFonts w:ascii="Arial" w:hAnsi="Arial" w:cs="Arial"/>
          <w:sz w:val="23"/>
          <w:szCs w:val="23"/>
        </w:rPr>
      </w:pPr>
      <w:r w:rsidRPr="00DD6C65">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0F2A4C" w:rsidRPr="00DD6C65" w:rsidRDefault="000F2A4C" w:rsidP="007662A5">
      <w:pPr>
        <w:rPr>
          <w:rFonts w:ascii="Arial" w:hAnsi="Arial" w:cs="Arial"/>
          <w:sz w:val="23"/>
          <w:szCs w:val="23"/>
        </w:rPr>
      </w:pPr>
      <w:r w:rsidRPr="00DD6C65">
        <w:rPr>
          <w:rFonts w:ascii="Arial" w:hAnsi="Arial" w:cs="Arial"/>
          <w:sz w:val="23"/>
          <w:szCs w:val="23"/>
        </w:rPr>
        <w:lastRenderedPageBreak/>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 xml:space="preserve">Órgano Superior de Dirección del Instituto </w:t>
      </w:r>
    </w:p>
    <w:p w:rsidR="000F2A4C" w:rsidRPr="00DD6C65" w:rsidRDefault="000F2A4C" w:rsidP="007662A5">
      <w:pPr>
        <w:rPr>
          <w:rFonts w:ascii="Arial" w:hAnsi="Arial" w:cs="Arial"/>
          <w:sz w:val="23"/>
          <w:szCs w:val="23"/>
        </w:rPr>
      </w:pPr>
      <w:r w:rsidRPr="00DD6C65">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0F2A4C" w:rsidRPr="00DD6C65" w:rsidRDefault="000F2A4C" w:rsidP="00AA7263">
      <w:pPr>
        <w:pStyle w:val="Ttulo2"/>
        <w:rPr>
          <w:rFonts w:ascii="Arial" w:hAnsi="Arial" w:cs="Arial"/>
          <w:sz w:val="23"/>
          <w:szCs w:val="23"/>
        </w:rPr>
      </w:pPr>
      <w:r w:rsidRPr="00DD6C65">
        <w:rPr>
          <w:rFonts w:ascii="Arial" w:hAnsi="Arial" w:cs="Arial"/>
          <w:sz w:val="23"/>
          <w:szCs w:val="23"/>
        </w:rPr>
        <w:t>Integración del Órgano de Dirección Superior</w:t>
      </w:r>
    </w:p>
    <w:p w:rsidR="000F2A4C" w:rsidRPr="00DD6C65" w:rsidRDefault="000F2A4C" w:rsidP="007662A5">
      <w:pPr>
        <w:rPr>
          <w:rFonts w:ascii="Arial" w:hAnsi="Arial" w:cs="Arial"/>
          <w:sz w:val="23"/>
          <w:szCs w:val="23"/>
        </w:rPr>
      </w:pPr>
      <w:r w:rsidRPr="00DD6C65">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5F671B" w:rsidRPr="00DD6C65" w:rsidRDefault="005F671B" w:rsidP="00AA7263">
      <w:pPr>
        <w:pStyle w:val="Ttulo2"/>
        <w:rPr>
          <w:rFonts w:ascii="Arial" w:hAnsi="Arial" w:cs="Arial"/>
          <w:sz w:val="23"/>
          <w:szCs w:val="23"/>
        </w:rPr>
      </w:pPr>
      <w:r w:rsidRPr="00DD6C65">
        <w:rPr>
          <w:rFonts w:ascii="Arial" w:hAnsi="Arial" w:cs="Arial"/>
          <w:sz w:val="23"/>
          <w:szCs w:val="23"/>
        </w:rPr>
        <w:t>Competencia del Consejo Estatal</w:t>
      </w:r>
    </w:p>
    <w:p w:rsidR="005F671B" w:rsidRPr="00DD6C65" w:rsidRDefault="005F671B" w:rsidP="007662A5">
      <w:pPr>
        <w:rPr>
          <w:rFonts w:ascii="Arial" w:hAnsi="Arial" w:cs="Arial"/>
          <w:sz w:val="23"/>
          <w:szCs w:val="23"/>
        </w:rPr>
      </w:pPr>
      <w:r w:rsidRPr="00DD6C65">
        <w:rPr>
          <w:rFonts w:ascii="Arial" w:hAnsi="Arial" w:cs="Arial"/>
          <w:sz w:val="23"/>
          <w:szCs w:val="23"/>
        </w:rPr>
        <w:t>Que, de acuerdo con el artículo 104 numeral 1, incisos a) y g) de la Ley General, corresponde a los organismos electorales aplicar las disposiciones generales, reglas, lineamientos, formatos y criterios que establezca el INE, así como imprimir los documentos y producir los materiales electorales, en términos de los Lineamientos que al efecto emita el propio INE.</w:t>
      </w:r>
    </w:p>
    <w:p w:rsidR="005F671B" w:rsidRPr="00DD6C65" w:rsidRDefault="005F671B" w:rsidP="007662A5">
      <w:pPr>
        <w:rPr>
          <w:rFonts w:ascii="Arial" w:hAnsi="Arial" w:cs="Arial"/>
          <w:sz w:val="23"/>
          <w:szCs w:val="23"/>
        </w:rPr>
      </w:pPr>
      <w:r w:rsidRPr="00DD6C65">
        <w:rPr>
          <w:rFonts w:ascii="Arial" w:hAnsi="Arial" w:cs="Arial"/>
          <w:sz w:val="23"/>
          <w:szCs w:val="23"/>
        </w:rPr>
        <w:lastRenderedPageBreak/>
        <w:t xml:space="preserve">En ese contexto, </w:t>
      </w:r>
      <w:r w:rsidR="00587523" w:rsidRPr="00DD6C65">
        <w:rPr>
          <w:rFonts w:ascii="Arial" w:hAnsi="Arial" w:cs="Arial"/>
          <w:sz w:val="23"/>
          <w:szCs w:val="23"/>
        </w:rPr>
        <w:t>el artículo 115</w:t>
      </w:r>
      <w:r w:rsidRPr="00DD6C65">
        <w:rPr>
          <w:rFonts w:ascii="Arial" w:hAnsi="Arial" w:cs="Arial"/>
          <w:sz w:val="23"/>
          <w:szCs w:val="23"/>
        </w:rPr>
        <w:t xml:space="preserve"> numeral 1, fracciones I</w:t>
      </w:r>
      <w:r w:rsidR="00587523" w:rsidRPr="00DD6C65">
        <w:rPr>
          <w:rFonts w:ascii="Arial" w:hAnsi="Arial" w:cs="Arial"/>
          <w:sz w:val="23"/>
          <w:szCs w:val="23"/>
        </w:rPr>
        <w:t>, XV y XVI de la Ley Electoral establece que</w:t>
      </w:r>
      <w:r w:rsidRPr="00DD6C65">
        <w:rPr>
          <w:rFonts w:ascii="Arial" w:hAnsi="Arial" w:cs="Arial"/>
          <w:sz w:val="23"/>
          <w:szCs w:val="23"/>
        </w:rPr>
        <w:t xml:space="preserve">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rsidR="005F671B" w:rsidRPr="00DD6C65" w:rsidRDefault="005F671B" w:rsidP="007662A5">
      <w:pPr>
        <w:rPr>
          <w:rFonts w:ascii="Arial" w:hAnsi="Arial" w:cs="Arial"/>
          <w:sz w:val="23"/>
          <w:szCs w:val="23"/>
        </w:rPr>
      </w:pPr>
      <w:r w:rsidRPr="00DD6C65">
        <w:rPr>
          <w:rFonts w:ascii="Arial" w:hAnsi="Arial" w:cs="Arial"/>
          <w:sz w:val="23"/>
          <w:szCs w:val="23"/>
        </w:rPr>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5F671B" w:rsidRPr="00DD6C65" w:rsidRDefault="005F671B" w:rsidP="00AA7263">
      <w:pPr>
        <w:pStyle w:val="Ttulo2"/>
        <w:rPr>
          <w:rFonts w:ascii="Arial" w:hAnsi="Arial" w:cs="Arial"/>
          <w:sz w:val="23"/>
          <w:szCs w:val="23"/>
        </w:rPr>
      </w:pPr>
      <w:r w:rsidRPr="00DD6C65">
        <w:rPr>
          <w:rFonts w:ascii="Arial" w:hAnsi="Arial" w:cs="Arial"/>
          <w:sz w:val="23"/>
          <w:szCs w:val="23"/>
        </w:rPr>
        <w:t>Facultad del INE para regular la documentación y material</w:t>
      </w:r>
      <w:r w:rsidR="00587523" w:rsidRPr="00DD6C65">
        <w:rPr>
          <w:rFonts w:ascii="Arial" w:hAnsi="Arial" w:cs="Arial"/>
          <w:sz w:val="23"/>
          <w:szCs w:val="23"/>
        </w:rPr>
        <w:t>es</w:t>
      </w:r>
      <w:r w:rsidRPr="00DD6C65">
        <w:rPr>
          <w:rFonts w:ascii="Arial" w:hAnsi="Arial" w:cs="Arial"/>
          <w:sz w:val="23"/>
          <w:szCs w:val="23"/>
        </w:rPr>
        <w:t xml:space="preserve"> electorales</w:t>
      </w:r>
    </w:p>
    <w:p w:rsidR="005F671B" w:rsidRPr="00DD6C65" w:rsidRDefault="005F671B" w:rsidP="007662A5">
      <w:pPr>
        <w:rPr>
          <w:rFonts w:ascii="Arial" w:hAnsi="Arial" w:cs="Arial"/>
          <w:sz w:val="23"/>
          <w:szCs w:val="23"/>
        </w:rPr>
      </w:pPr>
      <w:r w:rsidRPr="00DD6C65">
        <w:rPr>
          <w:rFonts w:ascii="Arial" w:hAnsi="Arial" w:cs="Arial"/>
          <w:sz w:val="23"/>
          <w:szCs w:val="23"/>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rsidR="00587523" w:rsidRPr="00DD6C65" w:rsidRDefault="00587523" w:rsidP="00AA7263">
      <w:pPr>
        <w:pStyle w:val="Ttulo2"/>
        <w:rPr>
          <w:rFonts w:ascii="Arial" w:hAnsi="Arial" w:cs="Arial"/>
          <w:sz w:val="23"/>
          <w:szCs w:val="23"/>
        </w:rPr>
      </w:pPr>
      <w:r w:rsidRPr="00DD6C65">
        <w:rPr>
          <w:rFonts w:ascii="Arial" w:hAnsi="Arial" w:cs="Arial"/>
          <w:sz w:val="23"/>
          <w:szCs w:val="23"/>
        </w:rPr>
        <w:t>Regulación de la documentación electoral</w:t>
      </w:r>
    </w:p>
    <w:p w:rsidR="00587523" w:rsidRPr="00DD6C65" w:rsidRDefault="00587523" w:rsidP="007662A5">
      <w:pPr>
        <w:rPr>
          <w:rFonts w:ascii="Arial" w:hAnsi="Arial" w:cs="Arial"/>
          <w:sz w:val="23"/>
          <w:szCs w:val="23"/>
        </w:rPr>
      </w:pPr>
      <w:r w:rsidRPr="00DD6C65">
        <w:rPr>
          <w:rFonts w:ascii="Arial" w:hAnsi="Arial" w:cs="Arial"/>
          <w:sz w:val="23"/>
          <w:szCs w:val="23"/>
        </w:rPr>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rsidR="00587523" w:rsidRPr="00DD6C65" w:rsidRDefault="00587523" w:rsidP="007662A5">
      <w:pPr>
        <w:rPr>
          <w:rFonts w:ascii="Arial" w:hAnsi="Arial" w:cs="Arial"/>
          <w:sz w:val="23"/>
          <w:szCs w:val="23"/>
        </w:rPr>
      </w:pPr>
      <w:r w:rsidRPr="00DD6C65">
        <w:rPr>
          <w:rFonts w:ascii="Arial" w:hAnsi="Arial" w:cs="Arial"/>
          <w:sz w:val="23"/>
          <w:szCs w:val="23"/>
        </w:rPr>
        <w:t xml:space="preserve">Asimismo, en términos del numeral 3 del artículo en cita, la documentación y materiales electorales correspondientes a las elecciones locales, podrán contener </w:t>
      </w:r>
      <w:r w:rsidRPr="00DD6C65">
        <w:rPr>
          <w:rFonts w:ascii="Arial" w:hAnsi="Arial" w:cs="Arial"/>
          <w:sz w:val="23"/>
          <w:szCs w:val="23"/>
        </w:rPr>
        <w:lastRenderedPageBreak/>
        <w:t>aquellos elementos adicionales que mandaten las legislaciones estatales, siempre y cuando no se contrapongan a lo previsto en dicho ordenamiento y en su anexo 4.1.</w:t>
      </w:r>
    </w:p>
    <w:p w:rsidR="00587523" w:rsidRPr="00DD6C65" w:rsidRDefault="00587523" w:rsidP="00AA7263">
      <w:pPr>
        <w:pStyle w:val="Ttulo2"/>
        <w:rPr>
          <w:rFonts w:ascii="Arial" w:hAnsi="Arial" w:cs="Arial"/>
          <w:sz w:val="23"/>
          <w:szCs w:val="23"/>
        </w:rPr>
      </w:pPr>
      <w:r w:rsidRPr="00DD6C65">
        <w:rPr>
          <w:rFonts w:ascii="Arial" w:hAnsi="Arial" w:cs="Arial"/>
          <w:sz w:val="23"/>
          <w:szCs w:val="23"/>
        </w:rPr>
        <w:t>Responsable de la documentación y materiales electorales</w:t>
      </w:r>
    </w:p>
    <w:p w:rsidR="00587523" w:rsidRPr="00DD6C65" w:rsidRDefault="00587523" w:rsidP="007662A5">
      <w:pPr>
        <w:rPr>
          <w:rFonts w:ascii="Arial" w:hAnsi="Arial" w:cs="Arial"/>
          <w:sz w:val="23"/>
          <w:szCs w:val="23"/>
        </w:rPr>
      </w:pPr>
      <w:r w:rsidRPr="00DD6C65">
        <w:rPr>
          <w:rFonts w:ascii="Arial" w:hAnsi="Arial" w:cs="Arial"/>
          <w:sz w:val="23"/>
          <w:szCs w:val="23"/>
        </w:rPr>
        <w:t>Que, el artículo 149 numeral 4 del Reglamento de Elecciones dispone que la Dirección Ejecutiva 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rsidR="00587523" w:rsidRPr="00DD6C65" w:rsidRDefault="00587523" w:rsidP="007662A5">
      <w:pPr>
        <w:rPr>
          <w:rFonts w:ascii="Arial" w:hAnsi="Arial" w:cs="Arial"/>
          <w:sz w:val="23"/>
          <w:szCs w:val="23"/>
        </w:rPr>
      </w:pPr>
      <w:r w:rsidRPr="00DD6C65">
        <w:rPr>
          <w:rFonts w:ascii="Arial" w:hAnsi="Arial" w:cs="Arial"/>
          <w:sz w:val="23"/>
          <w:szCs w:val="23"/>
        </w:rPr>
        <w:t>Acorde a lo anterior, el artículo 121 numeral 1, fracciones XI y XII de la Ley Electoral establece, entre otras atribuciones, que corresponde a la Dirección de Organización Electoral y Educación Cívica del Instituto la elaboración de los formatos de toda la documentación electoral para proponerlos a la aprobación del Consejo Estatal por conducto de la Secretaría Ejecutiva, así como proveer lo necesario para la impresión y distribución de la documentación electoral autorizada.</w:t>
      </w:r>
    </w:p>
    <w:p w:rsidR="00587523" w:rsidRPr="00DD6C65" w:rsidRDefault="00587523" w:rsidP="00AA7263">
      <w:pPr>
        <w:pStyle w:val="Ttulo2"/>
        <w:rPr>
          <w:rFonts w:ascii="Arial" w:hAnsi="Arial" w:cs="Arial"/>
          <w:sz w:val="23"/>
          <w:szCs w:val="23"/>
        </w:rPr>
      </w:pPr>
      <w:r w:rsidRPr="00DD6C65">
        <w:rPr>
          <w:rFonts w:ascii="Arial" w:hAnsi="Arial" w:cs="Arial"/>
          <w:sz w:val="23"/>
          <w:szCs w:val="23"/>
        </w:rPr>
        <w:t>Documentación electoral</w:t>
      </w:r>
    </w:p>
    <w:p w:rsidR="00587523" w:rsidRPr="00DD6C65" w:rsidRDefault="00587523" w:rsidP="007662A5">
      <w:pPr>
        <w:rPr>
          <w:rFonts w:ascii="Arial" w:hAnsi="Arial" w:cs="Arial"/>
          <w:sz w:val="23"/>
          <w:szCs w:val="23"/>
        </w:rPr>
      </w:pPr>
      <w:r w:rsidRPr="00DD6C65">
        <w:rPr>
          <w:rFonts w:ascii="Arial" w:hAnsi="Arial" w:cs="Arial"/>
          <w:sz w:val="23"/>
          <w:szCs w:val="23"/>
        </w:rPr>
        <w:t>Que, de acuerdo con el artículo 150 del Reglamento de Elecciones, los documentos electorales se dividen en los dos grupos siguientes:</w:t>
      </w:r>
    </w:p>
    <w:p w:rsidR="00587523" w:rsidRPr="00DD6C65" w:rsidRDefault="00587523" w:rsidP="007662A5">
      <w:pPr>
        <w:pStyle w:val="Prrafodelista"/>
        <w:numPr>
          <w:ilvl w:val="0"/>
          <w:numId w:val="3"/>
        </w:numPr>
        <w:rPr>
          <w:rFonts w:ascii="Arial" w:hAnsi="Arial" w:cs="Arial"/>
          <w:sz w:val="23"/>
          <w:szCs w:val="23"/>
        </w:rPr>
      </w:pPr>
      <w:r w:rsidRPr="00DD6C65">
        <w:rPr>
          <w:rFonts w:ascii="Arial" w:hAnsi="Arial" w:cs="Arial"/>
          <w:sz w:val="23"/>
          <w:szCs w:val="23"/>
        </w:rPr>
        <w:t xml:space="preserve">Documentos con emblemas de partidos políticos y candidaturas independientes; y </w:t>
      </w:r>
    </w:p>
    <w:p w:rsidR="00587523" w:rsidRPr="00DD6C65" w:rsidRDefault="00587523" w:rsidP="007662A5">
      <w:pPr>
        <w:pStyle w:val="Prrafodelista"/>
        <w:numPr>
          <w:ilvl w:val="0"/>
          <w:numId w:val="3"/>
        </w:numPr>
        <w:rPr>
          <w:rFonts w:ascii="Arial" w:hAnsi="Arial" w:cs="Arial"/>
          <w:sz w:val="23"/>
          <w:szCs w:val="23"/>
        </w:rPr>
      </w:pPr>
      <w:r w:rsidRPr="00DD6C65">
        <w:rPr>
          <w:rFonts w:ascii="Arial" w:hAnsi="Arial" w:cs="Arial"/>
          <w:sz w:val="23"/>
          <w:szCs w:val="23"/>
        </w:rPr>
        <w:t>Documentos sin emblemas de partidos políticos ni candidaturas independientes.</w:t>
      </w:r>
    </w:p>
    <w:p w:rsidR="00587523" w:rsidRPr="00DD6C65" w:rsidRDefault="00587523" w:rsidP="007662A5">
      <w:pPr>
        <w:rPr>
          <w:rFonts w:ascii="Arial" w:hAnsi="Arial" w:cs="Arial"/>
          <w:sz w:val="23"/>
          <w:szCs w:val="23"/>
        </w:rPr>
      </w:pPr>
      <w:r w:rsidRPr="00DD6C65">
        <w:rPr>
          <w:rFonts w:ascii="Arial" w:hAnsi="Arial" w:cs="Arial"/>
          <w:sz w:val="23"/>
          <w:szCs w:val="23"/>
        </w:rPr>
        <w:t xml:space="preserve">Además, las especificaciones técnicas de los dos grupos de documentos electorales mencionados están contenidas en el anexo 4.1 del Reglamento de Elecciones y los documentos podrán integrarse en dos o más en una impresión, cuando contengan elementos comunes y conserven las características particulares contenidas en las </w:t>
      </w:r>
      <w:r w:rsidRPr="00DD6C65">
        <w:rPr>
          <w:rFonts w:ascii="Arial" w:hAnsi="Arial" w:cs="Arial"/>
          <w:sz w:val="23"/>
          <w:szCs w:val="23"/>
        </w:rPr>
        <w:lastRenderedPageBreak/>
        <w:t xml:space="preserve">especificaciones técnicas, previa aprobación de la Comisión </w:t>
      </w:r>
      <w:r w:rsidR="00534A1A" w:rsidRPr="00DD6C65">
        <w:rPr>
          <w:rFonts w:ascii="Arial" w:hAnsi="Arial" w:cs="Arial"/>
          <w:sz w:val="23"/>
          <w:szCs w:val="23"/>
        </w:rPr>
        <w:t xml:space="preserve">competente </w:t>
      </w:r>
      <w:r w:rsidRPr="00DD6C65">
        <w:rPr>
          <w:rFonts w:ascii="Arial" w:hAnsi="Arial" w:cs="Arial"/>
          <w:sz w:val="23"/>
          <w:szCs w:val="23"/>
        </w:rPr>
        <w:t>o del órgano superior de dirección del organismo electoral.</w:t>
      </w:r>
    </w:p>
    <w:p w:rsidR="00587523" w:rsidRPr="00DD6C65" w:rsidRDefault="00587523" w:rsidP="007662A5">
      <w:pPr>
        <w:rPr>
          <w:rFonts w:ascii="Arial" w:hAnsi="Arial" w:cs="Arial"/>
          <w:sz w:val="23"/>
          <w:szCs w:val="23"/>
        </w:rPr>
      </w:pPr>
      <w:r w:rsidRPr="00DD6C65">
        <w:rPr>
          <w:rFonts w:ascii="Arial" w:hAnsi="Arial" w:cs="Arial"/>
          <w:sz w:val="23"/>
          <w:szCs w:val="23"/>
        </w:rPr>
        <w:t>Para el caso de los organismos electorales, se deberá contar con la validación previa de la Dirección Ejecutiva, atendiendo a lo establecido en el artículo 160 del Reglamento de Elecciones.</w:t>
      </w:r>
    </w:p>
    <w:p w:rsidR="00587523" w:rsidRPr="00DD6C65" w:rsidRDefault="00587523" w:rsidP="00AA7263">
      <w:pPr>
        <w:pStyle w:val="Ttulo2"/>
        <w:rPr>
          <w:rFonts w:ascii="Arial" w:hAnsi="Arial" w:cs="Arial"/>
          <w:sz w:val="23"/>
          <w:szCs w:val="23"/>
        </w:rPr>
      </w:pPr>
      <w:r w:rsidRPr="00DD6C65">
        <w:rPr>
          <w:rFonts w:ascii="Arial" w:hAnsi="Arial" w:cs="Arial"/>
          <w:sz w:val="23"/>
          <w:szCs w:val="23"/>
        </w:rPr>
        <w:t>Contenido de las boletas electorales</w:t>
      </w:r>
    </w:p>
    <w:p w:rsidR="00587523" w:rsidRPr="00DD6C65" w:rsidRDefault="00587523" w:rsidP="007662A5">
      <w:pPr>
        <w:rPr>
          <w:rFonts w:ascii="Arial" w:hAnsi="Arial" w:cs="Arial"/>
          <w:sz w:val="23"/>
          <w:szCs w:val="23"/>
        </w:rPr>
      </w:pPr>
      <w:r w:rsidRPr="00DD6C65">
        <w:rPr>
          <w:rFonts w:ascii="Arial" w:hAnsi="Arial" w:cs="Arial"/>
          <w:sz w:val="23"/>
          <w:szCs w:val="23"/>
        </w:rPr>
        <w:t>Que, entre la documentación electoral con emblemas de partidos políticos y candidaturas independientes que se requiere para la realización de las elecciones, se ubican las boletas electorales por cada tipo de elección, las actas de jornada electoral y de escrutinio y cómputo, cuyas especificaciones técnicas están contenidas en el anexo 4.1 del citado ordenamiento, de acuerdo con lo que señala el artículo 150 numeral 1, inciso a) del Reglamento de Elecciones.</w:t>
      </w:r>
    </w:p>
    <w:p w:rsidR="00B63C3A" w:rsidRPr="00DD6C65" w:rsidRDefault="00B63C3A" w:rsidP="00AA7263">
      <w:pPr>
        <w:pStyle w:val="Ttulo2"/>
        <w:rPr>
          <w:rFonts w:ascii="Arial" w:hAnsi="Arial" w:cs="Arial"/>
          <w:sz w:val="23"/>
          <w:szCs w:val="23"/>
        </w:rPr>
      </w:pPr>
      <w:r w:rsidRPr="00DD6C65">
        <w:rPr>
          <w:rFonts w:ascii="Arial" w:hAnsi="Arial" w:cs="Arial"/>
          <w:sz w:val="23"/>
          <w:szCs w:val="23"/>
        </w:rPr>
        <w:t>Entrega de la documentación y material electorales a los Consejos Distritales</w:t>
      </w:r>
    </w:p>
    <w:p w:rsidR="00B63C3A" w:rsidRPr="00DD6C65" w:rsidRDefault="00B63C3A" w:rsidP="007662A5">
      <w:pPr>
        <w:rPr>
          <w:rFonts w:ascii="Arial" w:hAnsi="Arial" w:cs="Arial"/>
          <w:sz w:val="23"/>
          <w:szCs w:val="23"/>
        </w:rPr>
      </w:pPr>
      <w:r w:rsidRPr="00DD6C65">
        <w:rPr>
          <w:rFonts w:ascii="Arial" w:hAnsi="Arial" w:cs="Arial"/>
          <w:sz w:val="23"/>
          <w:szCs w:val="23"/>
        </w:rPr>
        <w:t>Que, de conformidad con lo dispuesto por los artículos 268 numeral 1, inciso e) de la Ley General y 218 numeral 2, fracción V de la Ley Electoral,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rsidR="00B63C3A" w:rsidRPr="00DD6C65" w:rsidRDefault="00B63C3A" w:rsidP="00AA7263">
      <w:pPr>
        <w:pStyle w:val="Ttulo2"/>
        <w:rPr>
          <w:rFonts w:ascii="Arial" w:hAnsi="Arial" w:cs="Arial"/>
          <w:sz w:val="23"/>
          <w:szCs w:val="23"/>
        </w:rPr>
      </w:pPr>
      <w:r w:rsidRPr="00DD6C65">
        <w:rPr>
          <w:rFonts w:ascii="Arial" w:hAnsi="Arial" w:cs="Arial"/>
          <w:sz w:val="23"/>
          <w:szCs w:val="23"/>
        </w:rPr>
        <w:t>Entrega de la documentación y material electorales a las Presidencias de las Mesas Directivas de Casilla</w:t>
      </w:r>
    </w:p>
    <w:p w:rsidR="00B63C3A" w:rsidRPr="00DD6C65" w:rsidRDefault="00B63C3A" w:rsidP="007662A5">
      <w:pPr>
        <w:rPr>
          <w:rFonts w:ascii="Arial" w:hAnsi="Arial" w:cs="Arial"/>
          <w:sz w:val="23"/>
          <w:szCs w:val="23"/>
        </w:rPr>
      </w:pPr>
      <w:r w:rsidRPr="00DD6C65">
        <w:rPr>
          <w:rFonts w:ascii="Arial" w:hAnsi="Arial" w:cs="Arial"/>
          <w:sz w:val="23"/>
          <w:szCs w:val="23"/>
        </w:rPr>
        <w:t xml:space="preserve">Que, los artículos 269 de la Ley General, 131 numeral 1, fracción IV y 219 numeral 1, fracción VII de la Ley Electoral, </w:t>
      </w:r>
      <w:r w:rsidR="00E94C2C" w:rsidRPr="00DD6C65">
        <w:rPr>
          <w:rFonts w:ascii="Arial" w:hAnsi="Arial" w:cs="Arial"/>
          <w:sz w:val="23"/>
          <w:szCs w:val="23"/>
        </w:rPr>
        <w:t xml:space="preserve">4 numeral 1, fracciones X, XIII, XIV y XVII del Reglamento </w:t>
      </w:r>
      <w:r w:rsidR="008322A4" w:rsidRPr="00DD6C65">
        <w:rPr>
          <w:rFonts w:ascii="Arial" w:hAnsi="Arial" w:cs="Arial"/>
          <w:sz w:val="23"/>
          <w:szCs w:val="23"/>
        </w:rPr>
        <w:t>de los órganos distritales</w:t>
      </w:r>
      <w:r w:rsidR="00E94C2C" w:rsidRPr="00DD6C65">
        <w:rPr>
          <w:rFonts w:ascii="Arial" w:hAnsi="Arial" w:cs="Arial"/>
          <w:sz w:val="23"/>
          <w:szCs w:val="23"/>
        </w:rPr>
        <w:t xml:space="preserve"> </w:t>
      </w:r>
      <w:r w:rsidRPr="00DD6C65">
        <w:rPr>
          <w:rFonts w:ascii="Arial" w:hAnsi="Arial" w:cs="Arial"/>
          <w:sz w:val="23"/>
          <w:szCs w:val="23"/>
        </w:rPr>
        <w:t xml:space="preserve">prevén que las o los Presidentes de los Consejos Electorales Distritales </w:t>
      </w:r>
      <w:r w:rsidR="008322A4" w:rsidRPr="00DD6C65">
        <w:rPr>
          <w:rFonts w:ascii="Arial" w:hAnsi="Arial" w:cs="Arial"/>
          <w:sz w:val="23"/>
          <w:szCs w:val="23"/>
        </w:rPr>
        <w:t xml:space="preserve">deberán capacitar al personal auxiliar de la junta para dar cumplimiento al programa de entrega recepción de la documentación y material </w:t>
      </w:r>
      <w:r w:rsidR="008322A4" w:rsidRPr="00DD6C65">
        <w:rPr>
          <w:rFonts w:ascii="Arial" w:hAnsi="Arial" w:cs="Arial"/>
          <w:sz w:val="23"/>
          <w:szCs w:val="23"/>
        </w:rPr>
        <w:lastRenderedPageBreak/>
        <w:t xml:space="preserve">electoral, conteo, sellado y agrupamiento de las boletas electorales, así como la entrega a las y los </w:t>
      </w:r>
      <w:r w:rsidRPr="00DD6C65">
        <w:rPr>
          <w:rFonts w:ascii="Arial" w:hAnsi="Arial" w:cs="Arial"/>
          <w:sz w:val="23"/>
          <w:szCs w:val="23"/>
        </w:rPr>
        <w:t>Presidentes de las Mesas Directivas de Casilla, dentro de los 5 días previos al día de la elección, la documentación y materiales electorales aprobados por el Consejo Estatal, así como los útiles de escritorio y demás elementos necesarios para el desarrollo de la jornada electoral.</w:t>
      </w:r>
    </w:p>
    <w:p w:rsidR="00215A81" w:rsidRPr="00DD6C65" w:rsidRDefault="005F671B" w:rsidP="00AA7263">
      <w:pPr>
        <w:pStyle w:val="Ttulo2"/>
        <w:rPr>
          <w:rFonts w:ascii="Arial" w:hAnsi="Arial" w:cs="Arial"/>
          <w:sz w:val="23"/>
          <w:szCs w:val="23"/>
        </w:rPr>
      </w:pPr>
      <w:r w:rsidRPr="00DD6C65">
        <w:rPr>
          <w:rFonts w:ascii="Arial" w:hAnsi="Arial" w:cs="Arial"/>
          <w:sz w:val="23"/>
          <w:szCs w:val="23"/>
        </w:rPr>
        <w:t>Medidas de seguridad</w:t>
      </w:r>
    </w:p>
    <w:p w:rsidR="005F671B" w:rsidRPr="00DD6C65" w:rsidRDefault="005F671B" w:rsidP="007662A5">
      <w:pPr>
        <w:rPr>
          <w:rFonts w:ascii="Arial" w:hAnsi="Arial" w:cs="Arial"/>
          <w:sz w:val="23"/>
          <w:szCs w:val="23"/>
        </w:rPr>
      </w:pPr>
      <w:r w:rsidRPr="00DD6C65">
        <w:rPr>
          <w:rFonts w:ascii="Arial" w:hAnsi="Arial" w:cs="Arial"/>
          <w:sz w:val="23"/>
          <w:szCs w:val="23"/>
        </w:rPr>
        <w:t>Que, de conformidad con el artículo 163 numeral 1 del Reglamento de Elecciones las boletas electorales, las actas electorales y el líquido indeleble a utilizarse en la Jornada Electoral respectiva, deberán contener las características y medidas de seguridad confiables y de calidad, de acuerdo a las especificaciones técnicas solicitadas, previstas en el anexo 4.1 del propio Reglamento, para evitar su falsificación.</w:t>
      </w:r>
    </w:p>
    <w:p w:rsidR="005F671B" w:rsidRPr="00DD6C65" w:rsidRDefault="005F671B" w:rsidP="00AA7263">
      <w:pPr>
        <w:pStyle w:val="Ttulo2"/>
        <w:rPr>
          <w:rFonts w:ascii="Arial" w:hAnsi="Arial" w:cs="Arial"/>
          <w:sz w:val="23"/>
          <w:szCs w:val="23"/>
        </w:rPr>
      </w:pPr>
      <w:r w:rsidRPr="00DD6C65">
        <w:rPr>
          <w:rFonts w:ascii="Arial" w:hAnsi="Arial" w:cs="Arial"/>
          <w:sz w:val="23"/>
          <w:szCs w:val="23"/>
        </w:rPr>
        <w:t>Verificación de las medidas de seguridad</w:t>
      </w:r>
    </w:p>
    <w:p w:rsidR="005F671B" w:rsidRPr="00DD6C65" w:rsidRDefault="005F671B" w:rsidP="007662A5">
      <w:pPr>
        <w:rPr>
          <w:rFonts w:ascii="Arial" w:hAnsi="Arial" w:cs="Arial"/>
          <w:sz w:val="23"/>
          <w:szCs w:val="23"/>
        </w:rPr>
      </w:pPr>
      <w:r w:rsidRPr="00DD6C65">
        <w:rPr>
          <w:rFonts w:ascii="Arial" w:hAnsi="Arial" w:cs="Arial"/>
          <w:sz w:val="23"/>
          <w:szCs w:val="23"/>
        </w:rPr>
        <w:t>Que, en términos del numeral 2 del artículo 163 del Reglamento de Elecciones, tanto para las elecciones federales, como para las locales, se deberá realizar la verificación de las medidas de seguridad incorporadas en las boletas y actas electorales, así como el correcto funcionamiento del líquido indeleble y los elementos de identificación del aplicador, conforme al procedimiento descrito en el anexo 4.2 de dicho Reglamento.</w:t>
      </w:r>
    </w:p>
    <w:p w:rsidR="005F671B" w:rsidRPr="00DD6C65" w:rsidRDefault="005F671B" w:rsidP="007662A5">
      <w:pPr>
        <w:rPr>
          <w:rFonts w:ascii="Arial" w:hAnsi="Arial" w:cs="Arial"/>
          <w:sz w:val="23"/>
          <w:szCs w:val="23"/>
        </w:rPr>
      </w:pPr>
      <w:r w:rsidRPr="00DD6C65">
        <w:rPr>
          <w:rFonts w:ascii="Arial" w:hAnsi="Arial" w:cs="Arial"/>
          <w:sz w:val="23"/>
          <w:szCs w:val="23"/>
        </w:rPr>
        <w:t>Además, conforme al numeral 3 del artículo señalado, en elecciones concurrentes el INE suministrará el líquido indeleble en las casillas únicas. En caso de elecciones locales no concurrentes con una federal, los organismos electorales deberán designar a la empresa o institución que se hará cargo de la fabricación del líquido indeleble; de igual manera, establecerán la institución pública o privada que certificará la calidad de dicho material. Las instituciones para uno y otro caso, siempre deberán ser distintas.</w:t>
      </w:r>
    </w:p>
    <w:p w:rsidR="00096377" w:rsidRPr="00DD6C65" w:rsidRDefault="00280EA5" w:rsidP="00AA7263">
      <w:pPr>
        <w:pStyle w:val="Ttulo2"/>
        <w:rPr>
          <w:rFonts w:ascii="Arial" w:hAnsi="Arial" w:cs="Arial"/>
          <w:sz w:val="23"/>
          <w:szCs w:val="23"/>
        </w:rPr>
      </w:pPr>
      <w:r w:rsidRPr="00DD6C65">
        <w:rPr>
          <w:rFonts w:ascii="Arial" w:hAnsi="Arial" w:cs="Arial"/>
          <w:sz w:val="23"/>
          <w:szCs w:val="23"/>
        </w:rPr>
        <w:t xml:space="preserve">Procedimiento </w:t>
      </w:r>
      <w:r w:rsidR="00544C55" w:rsidRPr="00DD6C65">
        <w:rPr>
          <w:rFonts w:ascii="Arial" w:hAnsi="Arial" w:cs="Arial"/>
          <w:sz w:val="23"/>
          <w:szCs w:val="23"/>
        </w:rPr>
        <w:t>específico para la verificación de las medidas de seguridad</w:t>
      </w:r>
    </w:p>
    <w:p w:rsidR="000004CE" w:rsidRPr="00DD6C65" w:rsidRDefault="000004CE" w:rsidP="007662A5">
      <w:pPr>
        <w:rPr>
          <w:rFonts w:ascii="Arial" w:hAnsi="Arial" w:cs="Arial"/>
          <w:sz w:val="23"/>
          <w:szCs w:val="23"/>
        </w:rPr>
      </w:pPr>
      <w:r w:rsidRPr="00DD6C65">
        <w:rPr>
          <w:rFonts w:ascii="Arial" w:hAnsi="Arial" w:cs="Arial"/>
          <w:sz w:val="23"/>
          <w:szCs w:val="23"/>
        </w:rPr>
        <w:t xml:space="preserve">Que, con el propósito de dar cumplimiento al procedimiento de verificación señalado en el presente acuerdo, las y los integrantes del Consejo Estatal en reunión de trabajo privada efectuada el </w:t>
      </w:r>
      <w:r w:rsidR="00864AE6" w:rsidRPr="00DD6C65">
        <w:rPr>
          <w:rFonts w:ascii="Arial" w:hAnsi="Arial" w:cs="Arial"/>
          <w:sz w:val="23"/>
          <w:szCs w:val="23"/>
        </w:rPr>
        <w:t xml:space="preserve">17 de abril </w:t>
      </w:r>
      <w:r w:rsidRPr="00DD6C65">
        <w:rPr>
          <w:rFonts w:ascii="Arial" w:hAnsi="Arial" w:cs="Arial"/>
          <w:sz w:val="23"/>
          <w:szCs w:val="23"/>
        </w:rPr>
        <w:t xml:space="preserve">del año en curso, determinaron las medidas de seguridad que serán aplicables a las boletas electorales que se utilizarán en la </w:t>
      </w:r>
      <w:r w:rsidRPr="00DD6C65">
        <w:rPr>
          <w:rFonts w:ascii="Arial" w:hAnsi="Arial" w:cs="Arial"/>
          <w:sz w:val="23"/>
          <w:szCs w:val="23"/>
        </w:rPr>
        <w:lastRenderedPageBreak/>
        <w:t>renovación de la Gubernatura, Diputaciones Locales y Ayuntamientos en la entidad que se llevará a cabo el 2 de junio próximo.</w:t>
      </w:r>
    </w:p>
    <w:p w:rsidR="000004CE" w:rsidRPr="00DD6C65" w:rsidRDefault="00CC5290" w:rsidP="007662A5">
      <w:pPr>
        <w:rPr>
          <w:rFonts w:ascii="Arial" w:hAnsi="Arial" w:cs="Arial"/>
          <w:sz w:val="23"/>
          <w:szCs w:val="23"/>
        </w:rPr>
      </w:pPr>
      <w:r w:rsidRPr="00DD6C65">
        <w:rPr>
          <w:rFonts w:ascii="Arial" w:hAnsi="Arial" w:cs="Arial"/>
          <w:sz w:val="23"/>
          <w:szCs w:val="23"/>
        </w:rPr>
        <w:t>Además de las medidas de seguridad determinadas por las y los integrantes del Consejo Estatal, las boletas electorales contienen medidas adicionales relacionadas con la fabricación e impresión del papel a utilizarse, entre ellas se encuentran: marcas de agua, fibras ópticas visibles e invisibles, el uso de fondos de agua, impresión invertida, microimpresión, imagen latente, tinta invisible y medidas de seguridad por parte del impresor del autorizado.</w:t>
      </w:r>
    </w:p>
    <w:p w:rsidR="00544C55" w:rsidRPr="00DD6C65" w:rsidRDefault="00544C55" w:rsidP="007662A5">
      <w:pPr>
        <w:rPr>
          <w:rFonts w:ascii="Arial" w:hAnsi="Arial" w:cs="Arial"/>
          <w:sz w:val="23"/>
          <w:szCs w:val="23"/>
        </w:rPr>
      </w:pPr>
      <w:r w:rsidRPr="00DD6C65">
        <w:rPr>
          <w:rFonts w:ascii="Arial" w:hAnsi="Arial" w:cs="Arial"/>
          <w:sz w:val="23"/>
          <w:szCs w:val="23"/>
        </w:rPr>
        <w:t xml:space="preserve">Ahora bien, resulta indispensable que este órgano electoral determine la forma en que se seleccionarán las muestras aleatorias y las actividades que cada Consejo Electoral debe realizar para cumplir con la verificación correspondiente. Para tal efecto, este Consejo Estatal considera viable el establecimiento del </w:t>
      </w:r>
      <w:r w:rsidR="008322A4" w:rsidRPr="00DD6C65">
        <w:rPr>
          <w:rFonts w:ascii="Arial" w:hAnsi="Arial" w:cs="Arial"/>
          <w:sz w:val="23"/>
          <w:szCs w:val="23"/>
        </w:rPr>
        <w:t>procedimiento descrito en el documento anexo al presente acuerdo.</w:t>
      </w:r>
    </w:p>
    <w:p w:rsidR="00B63C3A" w:rsidRPr="00DD6C65" w:rsidRDefault="00B63C3A" w:rsidP="007662A5">
      <w:pPr>
        <w:rPr>
          <w:rFonts w:ascii="Arial" w:hAnsi="Arial" w:cs="Arial"/>
          <w:sz w:val="23"/>
          <w:szCs w:val="23"/>
        </w:rPr>
      </w:pPr>
      <w:r w:rsidRPr="00DD6C65">
        <w:rPr>
          <w:rFonts w:ascii="Arial" w:hAnsi="Arial" w:cs="Arial"/>
          <w:sz w:val="23"/>
          <w:szCs w:val="23"/>
        </w:rPr>
        <w:t>Sobre la base de las consideraciones señaladas, este Consejo Estatal emite el siguiente:</w:t>
      </w:r>
    </w:p>
    <w:p w:rsidR="00587523" w:rsidRPr="00DD6C65" w:rsidRDefault="00587523" w:rsidP="00AA7263">
      <w:pPr>
        <w:pStyle w:val="Ttulo1"/>
        <w:rPr>
          <w:rFonts w:ascii="Arial" w:hAnsi="Arial" w:cs="Arial"/>
          <w:sz w:val="24"/>
          <w:szCs w:val="24"/>
        </w:rPr>
      </w:pPr>
      <w:r w:rsidRPr="00DD6C65">
        <w:rPr>
          <w:rFonts w:ascii="Arial" w:hAnsi="Arial" w:cs="Arial"/>
          <w:sz w:val="24"/>
          <w:szCs w:val="24"/>
        </w:rPr>
        <w:t>Acuerdo</w:t>
      </w:r>
    </w:p>
    <w:p w:rsidR="002C78BA" w:rsidRPr="00DD6C65" w:rsidRDefault="00587523" w:rsidP="002C78BA">
      <w:pPr>
        <w:rPr>
          <w:rFonts w:ascii="Arial" w:hAnsi="Arial" w:cs="Arial"/>
          <w:sz w:val="23"/>
          <w:szCs w:val="23"/>
        </w:rPr>
      </w:pPr>
      <w:r w:rsidRPr="00DD6C65">
        <w:rPr>
          <w:rFonts w:ascii="Arial" w:hAnsi="Arial" w:cs="Arial"/>
          <w:b/>
          <w:bCs/>
          <w:sz w:val="23"/>
          <w:szCs w:val="23"/>
        </w:rPr>
        <w:t>Primero.</w:t>
      </w:r>
      <w:r w:rsidRPr="00DD6C65">
        <w:rPr>
          <w:rFonts w:ascii="Arial" w:hAnsi="Arial" w:cs="Arial"/>
          <w:sz w:val="23"/>
          <w:szCs w:val="23"/>
        </w:rPr>
        <w:t xml:space="preserve"> Se aprueba</w:t>
      </w:r>
      <w:r w:rsidR="002C78BA" w:rsidRPr="00DD6C65">
        <w:rPr>
          <w:rFonts w:ascii="Arial" w:hAnsi="Arial" w:cs="Arial"/>
          <w:sz w:val="23"/>
          <w:szCs w:val="23"/>
        </w:rPr>
        <w:t xml:space="preserve"> el procedimiento para la verificación de las medidas de seguridad establecidas en las boletas electorales, actas de jornada electoral y de escrutinio y cómputo que se utilizarán con motivo del Proceso Electoral Local Ordinario 2023 – 20</w:t>
      </w:r>
      <w:r w:rsidR="008322A4" w:rsidRPr="00DD6C65">
        <w:rPr>
          <w:rFonts w:ascii="Arial" w:hAnsi="Arial" w:cs="Arial"/>
          <w:sz w:val="23"/>
          <w:szCs w:val="23"/>
        </w:rPr>
        <w:t>24 anexo al presente acuerdo.</w:t>
      </w:r>
    </w:p>
    <w:p w:rsidR="008D4374" w:rsidRPr="00DD6C65" w:rsidRDefault="008D4374" w:rsidP="008D4374">
      <w:pPr>
        <w:rPr>
          <w:rFonts w:ascii="Arial" w:hAnsi="Arial" w:cs="Arial"/>
          <w:bCs/>
          <w:sz w:val="23"/>
          <w:szCs w:val="23"/>
        </w:rPr>
      </w:pPr>
      <w:r w:rsidRPr="00DD6C65">
        <w:rPr>
          <w:rFonts w:ascii="Arial" w:hAnsi="Arial" w:cs="Arial"/>
          <w:b/>
          <w:bCs/>
          <w:sz w:val="23"/>
          <w:szCs w:val="23"/>
        </w:rPr>
        <w:t xml:space="preserve">Segundo. </w:t>
      </w:r>
      <w:r w:rsidRPr="00DD6C65">
        <w:rPr>
          <w:rFonts w:ascii="Arial" w:hAnsi="Arial" w:cs="Arial"/>
          <w:bCs/>
          <w:sz w:val="23"/>
          <w:szCs w:val="23"/>
        </w:rPr>
        <w:t xml:space="preserve">Se instruye a </w:t>
      </w:r>
      <w:r w:rsidR="001D66C4" w:rsidRPr="00DD6C65">
        <w:rPr>
          <w:rFonts w:ascii="Arial" w:hAnsi="Arial" w:cs="Arial"/>
          <w:bCs/>
          <w:sz w:val="23"/>
          <w:szCs w:val="23"/>
        </w:rPr>
        <w:t xml:space="preserve">las Presidencias de </w:t>
      </w:r>
      <w:r w:rsidRPr="00DD6C65">
        <w:rPr>
          <w:rFonts w:ascii="Arial" w:hAnsi="Arial" w:cs="Arial"/>
          <w:bCs/>
          <w:sz w:val="23"/>
          <w:szCs w:val="23"/>
        </w:rPr>
        <w:t xml:space="preserve">los Consejos Electorales Distritales de este Instituto, </w:t>
      </w:r>
      <w:r w:rsidR="001D66C4" w:rsidRPr="00DD6C65">
        <w:rPr>
          <w:rFonts w:ascii="Arial" w:hAnsi="Arial" w:cs="Arial"/>
          <w:bCs/>
          <w:sz w:val="23"/>
          <w:szCs w:val="23"/>
        </w:rPr>
        <w:t xml:space="preserve">prevean los insumos necesarios para efectos de realizar la verificación </w:t>
      </w:r>
      <w:r w:rsidRPr="00DD6C65">
        <w:rPr>
          <w:rFonts w:ascii="Arial" w:hAnsi="Arial" w:cs="Arial"/>
          <w:bCs/>
          <w:sz w:val="23"/>
          <w:szCs w:val="23"/>
        </w:rPr>
        <w:t>de la documentación electoral, en los plazos y etapas previstas en el presente documento jurídico.</w:t>
      </w:r>
    </w:p>
    <w:p w:rsidR="008D4374" w:rsidRPr="00DD6C65" w:rsidRDefault="008D4374" w:rsidP="008D4374">
      <w:pPr>
        <w:rPr>
          <w:rFonts w:ascii="Arial" w:hAnsi="Arial" w:cs="Arial"/>
          <w:bCs/>
          <w:sz w:val="23"/>
          <w:szCs w:val="23"/>
        </w:rPr>
      </w:pPr>
      <w:r w:rsidRPr="00DD6C65">
        <w:rPr>
          <w:rFonts w:ascii="Arial" w:hAnsi="Arial" w:cs="Arial"/>
          <w:b/>
          <w:bCs/>
          <w:sz w:val="23"/>
          <w:szCs w:val="23"/>
        </w:rPr>
        <w:t xml:space="preserve">Tercero. </w:t>
      </w:r>
      <w:r w:rsidR="001D66C4" w:rsidRPr="00DD6C65">
        <w:rPr>
          <w:rFonts w:ascii="Arial" w:hAnsi="Arial" w:cs="Arial"/>
          <w:bCs/>
          <w:sz w:val="23"/>
          <w:szCs w:val="23"/>
        </w:rPr>
        <w:t>Asimismo, se instruye a la Dirección de Organización Electoral y Educación Cívica que, en su caso, realice las capacitaciones correspondientes a las áreas que guarden relación con el objeto del presente acuerdo.</w:t>
      </w:r>
    </w:p>
    <w:p w:rsidR="00587523" w:rsidRPr="00DD6C65" w:rsidRDefault="008D4374" w:rsidP="001D66C4">
      <w:pPr>
        <w:rPr>
          <w:rFonts w:ascii="Arial" w:hAnsi="Arial" w:cs="Arial"/>
          <w:sz w:val="23"/>
          <w:szCs w:val="23"/>
        </w:rPr>
      </w:pPr>
      <w:r w:rsidRPr="00DD6C65">
        <w:rPr>
          <w:rFonts w:ascii="Arial" w:hAnsi="Arial" w:cs="Arial"/>
          <w:b/>
          <w:bCs/>
          <w:sz w:val="23"/>
          <w:szCs w:val="23"/>
        </w:rPr>
        <w:t>Cuarto.</w:t>
      </w:r>
      <w:r w:rsidR="00587523" w:rsidRPr="00DD6C65">
        <w:rPr>
          <w:rFonts w:ascii="Arial" w:hAnsi="Arial" w:cs="Arial"/>
          <w:b/>
          <w:bCs/>
          <w:sz w:val="23"/>
          <w:szCs w:val="23"/>
        </w:rPr>
        <w:t xml:space="preserve"> </w:t>
      </w:r>
      <w:r w:rsidR="001D66C4" w:rsidRPr="00DD6C65">
        <w:rPr>
          <w:rFonts w:ascii="Arial" w:hAnsi="Arial" w:cs="Arial"/>
          <w:bCs/>
          <w:sz w:val="23"/>
          <w:szCs w:val="23"/>
        </w:rPr>
        <w:t>S</w:t>
      </w:r>
      <w:r w:rsidR="00587523" w:rsidRPr="00DD6C65">
        <w:rPr>
          <w:rFonts w:ascii="Arial" w:hAnsi="Arial" w:cs="Arial"/>
          <w:sz w:val="23"/>
          <w:szCs w:val="23"/>
        </w:rPr>
        <w:t xml:space="preserve">e instruye a la Secretaría Ejecutiva de este Instituto para que, por conducto de la Coordinación de Vinculación con el Instituto Nacional Electoral, notifique el </w:t>
      </w:r>
      <w:r w:rsidR="00587523" w:rsidRPr="00DD6C65">
        <w:rPr>
          <w:rFonts w:ascii="Arial" w:hAnsi="Arial" w:cs="Arial"/>
          <w:sz w:val="23"/>
          <w:szCs w:val="23"/>
        </w:rPr>
        <w:lastRenderedPageBreak/>
        <w:t>presente acuerdo al citado organismo nacional, a través de su Unidad Técnica de Vinculación con los Organismos Públicos Locales, para los efectos correspondientes.</w:t>
      </w:r>
    </w:p>
    <w:p w:rsidR="00587523" w:rsidRPr="00DD6C65" w:rsidRDefault="001D66C4" w:rsidP="007662A5">
      <w:pPr>
        <w:rPr>
          <w:rFonts w:ascii="Arial" w:hAnsi="Arial" w:cs="Arial"/>
          <w:sz w:val="23"/>
          <w:szCs w:val="23"/>
        </w:rPr>
      </w:pPr>
      <w:r w:rsidRPr="00DD6C65">
        <w:rPr>
          <w:rFonts w:ascii="Arial" w:hAnsi="Arial" w:cs="Arial"/>
          <w:b/>
          <w:sz w:val="23"/>
          <w:szCs w:val="23"/>
        </w:rPr>
        <w:t>Quinto</w:t>
      </w:r>
      <w:r w:rsidR="00587523" w:rsidRPr="00DD6C65">
        <w:rPr>
          <w:rFonts w:ascii="Arial" w:hAnsi="Arial" w:cs="Arial"/>
          <w:b/>
          <w:sz w:val="23"/>
          <w:szCs w:val="23"/>
        </w:rPr>
        <w:t>.</w:t>
      </w:r>
      <w:r w:rsidR="00587523" w:rsidRPr="00DD6C65">
        <w:rPr>
          <w:rFonts w:ascii="Arial" w:hAnsi="Arial" w:cs="Arial"/>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DD6C65" w:rsidRPr="00B72606" w:rsidRDefault="00587523" w:rsidP="00DD6C65">
      <w:pPr>
        <w:rPr>
          <w:rFonts w:ascii="Arial" w:hAnsi="Arial" w:cs="Arial"/>
          <w:sz w:val="23"/>
          <w:szCs w:val="23"/>
        </w:rPr>
      </w:pPr>
      <w:r w:rsidRPr="00DD6C65">
        <w:rPr>
          <w:rFonts w:ascii="Arial" w:hAnsi="Arial" w:cs="Arial"/>
          <w:sz w:val="23"/>
          <w:szCs w:val="23"/>
        </w:rPr>
        <w:t>El presente acuerdo fue</w:t>
      </w:r>
      <w:r w:rsidR="00DD6C65">
        <w:rPr>
          <w:rFonts w:ascii="Arial" w:hAnsi="Arial" w:cs="Arial"/>
          <w:sz w:val="23"/>
          <w:szCs w:val="23"/>
        </w:rPr>
        <w:t xml:space="preserve"> aprobado</w:t>
      </w:r>
      <w:r w:rsidRPr="00DD6C65">
        <w:rPr>
          <w:rFonts w:ascii="Arial" w:hAnsi="Arial" w:cs="Arial"/>
          <w:sz w:val="23"/>
          <w:szCs w:val="23"/>
        </w:rPr>
        <w:t xml:space="preserve"> en sesión</w:t>
      </w:r>
      <w:r w:rsidR="00DD6C65">
        <w:rPr>
          <w:rFonts w:ascii="Arial" w:hAnsi="Arial" w:cs="Arial"/>
          <w:sz w:val="23"/>
          <w:szCs w:val="23"/>
        </w:rPr>
        <w:t xml:space="preserve"> extraordinaria</w:t>
      </w:r>
      <w:r w:rsidRPr="00DD6C65">
        <w:rPr>
          <w:rFonts w:ascii="Arial" w:hAnsi="Arial" w:cs="Arial"/>
          <w:sz w:val="23"/>
          <w:szCs w:val="23"/>
        </w:rPr>
        <w:t xml:space="preserve"> efectuada el</w:t>
      </w:r>
      <w:r w:rsidR="00DD6C65">
        <w:rPr>
          <w:rFonts w:ascii="Arial" w:hAnsi="Arial" w:cs="Arial"/>
          <w:sz w:val="23"/>
          <w:szCs w:val="23"/>
        </w:rPr>
        <w:t xml:space="preserve"> día once</w:t>
      </w:r>
      <w:r w:rsidRPr="00DD6C65">
        <w:rPr>
          <w:rFonts w:ascii="Arial" w:hAnsi="Arial" w:cs="Arial"/>
          <w:sz w:val="23"/>
          <w:szCs w:val="23"/>
        </w:rPr>
        <w:t xml:space="preserve"> de </w:t>
      </w:r>
      <w:r w:rsidR="00DD6C65">
        <w:rPr>
          <w:rFonts w:ascii="Arial" w:hAnsi="Arial" w:cs="Arial"/>
          <w:sz w:val="23"/>
          <w:szCs w:val="23"/>
        </w:rPr>
        <w:t>mayo</w:t>
      </w:r>
      <w:r w:rsidRPr="00DD6C65">
        <w:rPr>
          <w:rFonts w:ascii="Arial" w:hAnsi="Arial" w:cs="Arial"/>
          <w:sz w:val="23"/>
          <w:szCs w:val="23"/>
        </w:rPr>
        <w:t xml:space="preserve"> del año dos mil </w:t>
      </w:r>
      <w:r w:rsidR="001E7351" w:rsidRPr="00DD6C65">
        <w:rPr>
          <w:rFonts w:ascii="Arial" w:hAnsi="Arial" w:cs="Arial"/>
          <w:sz w:val="23"/>
          <w:szCs w:val="23"/>
        </w:rPr>
        <w:t>veinticuatro</w:t>
      </w:r>
      <w:r w:rsidRPr="00DD6C65">
        <w:rPr>
          <w:rFonts w:ascii="Arial" w:hAnsi="Arial" w:cs="Arial"/>
          <w:sz w:val="23"/>
          <w:szCs w:val="23"/>
        </w:rPr>
        <w:t xml:space="preserve">, por votación </w:t>
      </w:r>
      <w:r w:rsidR="00DD6C65">
        <w:rPr>
          <w:rFonts w:ascii="Arial" w:hAnsi="Arial" w:cs="Arial"/>
          <w:sz w:val="23"/>
          <w:szCs w:val="23"/>
        </w:rPr>
        <w:t>unánime</w:t>
      </w:r>
      <w:r w:rsidRPr="00DD6C65">
        <w:rPr>
          <w:rFonts w:ascii="Arial" w:hAnsi="Arial" w:cs="Arial"/>
          <w:sz w:val="23"/>
          <w:szCs w:val="23"/>
        </w:rPr>
        <w:t xml:space="preserve"> de las y los Consejeros Electorales del Consejo Estatal del Instituto Electoral y de Participación Ciudadana de Tabasco: Dra</w:t>
      </w:r>
      <w:r w:rsidR="00DD6C65">
        <w:rPr>
          <w:rFonts w:ascii="Arial" w:hAnsi="Arial" w:cs="Arial"/>
          <w:sz w:val="23"/>
          <w:szCs w:val="23"/>
        </w:rPr>
        <w:t>.</w:t>
      </w:r>
      <w:r w:rsidR="00DD6C65" w:rsidRPr="00B72606">
        <w:rPr>
          <w:rFonts w:ascii="Arial" w:hAnsi="Arial" w:cs="Arial"/>
          <w:sz w:val="23"/>
          <w:szCs w:val="23"/>
        </w:rPr>
        <w:t xml:space="preserve"> </w:t>
      </w:r>
      <w:proofErr w:type="spellStart"/>
      <w:r w:rsidR="00DD6C65" w:rsidRPr="00B72606">
        <w:rPr>
          <w:rFonts w:ascii="Arial" w:hAnsi="Arial" w:cs="Arial"/>
          <w:sz w:val="23"/>
          <w:szCs w:val="23"/>
        </w:rPr>
        <w:t>Rosselvy</w:t>
      </w:r>
      <w:proofErr w:type="spellEnd"/>
      <w:r w:rsidR="00DD6C65" w:rsidRPr="00B72606">
        <w:rPr>
          <w:rFonts w:ascii="Arial" w:hAnsi="Arial" w:cs="Arial"/>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DD6C65" w:rsidRDefault="00DD6C65" w:rsidP="00DD6C65">
      <w:pPr>
        <w:rPr>
          <w:rFonts w:ascii="Arial" w:hAnsi="Arial" w:cs="Arial"/>
          <w:sz w:val="23"/>
          <w:szCs w:val="23"/>
        </w:rPr>
      </w:pPr>
    </w:p>
    <w:p w:rsidR="00587523" w:rsidRPr="00DD6C65" w:rsidRDefault="00587523" w:rsidP="007662A5">
      <w:pPr>
        <w:rPr>
          <w:rFonts w:ascii="Arial" w:hAnsi="Arial" w:cs="Arial"/>
          <w:sz w:val="23"/>
          <w:szCs w:val="23"/>
        </w:rPr>
      </w:pPr>
    </w:p>
    <w:p w:rsidR="00587523" w:rsidRPr="00DD6C65" w:rsidRDefault="00587523" w:rsidP="007662A5">
      <w:pPr>
        <w:rPr>
          <w:rFonts w:ascii="Arial" w:hAnsi="Arial" w:cs="Arial"/>
          <w:sz w:val="23"/>
          <w:szCs w:val="23"/>
        </w:rPr>
      </w:pPr>
    </w:p>
    <w:tbl>
      <w:tblPr>
        <w:tblStyle w:val="Tablaconcuadrcula"/>
        <w:tblW w:w="10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330"/>
        <w:gridCol w:w="4951"/>
      </w:tblGrid>
      <w:tr w:rsidR="00587523" w:rsidRPr="00DD6C65" w:rsidTr="00DD6C65">
        <w:trPr>
          <w:trHeight w:val="1188"/>
        </w:trPr>
        <w:tc>
          <w:tcPr>
            <w:tcW w:w="4895" w:type="dxa"/>
          </w:tcPr>
          <w:p w:rsidR="00587523" w:rsidRPr="00DD6C65" w:rsidRDefault="00587523" w:rsidP="008D4374">
            <w:pPr>
              <w:spacing w:before="0" w:after="0"/>
              <w:jc w:val="center"/>
              <w:rPr>
                <w:rFonts w:ascii="Arial" w:hAnsi="Arial" w:cs="Arial"/>
                <w:b/>
                <w:sz w:val="23"/>
                <w:szCs w:val="23"/>
              </w:rPr>
            </w:pPr>
            <w:r w:rsidRPr="00DD6C65">
              <w:rPr>
                <w:rFonts w:ascii="Arial" w:hAnsi="Arial" w:cs="Arial"/>
                <w:b/>
                <w:sz w:val="23"/>
                <w:szCs w:val="23"/>
              </w:rPr>
              <w:t>MTRA. ELIZABETH NAVA GUTIÉRREZ</w:t>
            </w:r>
          </w:p>
          <w:p w:rsidR="00587523" w:rsidRPr="00DD6C65" w:rsidRDefault="00587523" w:rsidP="008D4374">
            <w:pPr>
              <w:spacing w:before="0" w:after="0"/>
              <w:jc w:val="center"/>
              <w:rPr>
                <w:rFonts w:ascii="Arial" w:hAnsi="Arial" w:cs="Arial"/>
                <w:b/>
                <w:sz w:val="23"/>
                <w:szCs w:val="23"/>
              </w:rPr>
            </w:pPr>
            <w:r w:rsidRPr="00DD6C65">
              <w:rPr>
                <w:rFonts w:ascii="Arial" w:hAnsi="Arial" w:cs="Arial"/>
                <w:b/>
                <w:sz w:val="23"/>
                <w:szCs w:val="23"/>
              </w:rPr>
              <w:t>CONSEJERA PRESIDENTA</w:t>
            </w:r>
          </w:p>
        </w:tc>
        <w:tc>
          <w:tcPr>
            <w:tcW w:w="330" w:type="dxa"/>
          </w:tcPr>
          <w:p w:rsidR="00587523" w:rsidRPr="00DD6C65" w:rsidRDefault="00587523" w:rsidP="008D4374">
            <w:pPr>
              <w:spacing w:before="0" w:after="0"/>
              <w:rPr>
                <w:rFonts w:ascii="Arial" w:hAnsi="Arial" w:cs="Arial"/>
                <w:b/>
                <w:sz w:val="23"/>
                <w:szCs w:val="23"/>
              </w:rPr>
            </w:pPr>
          </w:p>
        </w:tc>
        <w:tc>
          <w:tcPr>
            <w:tcW w:w="4951" w:type="dxa"/>
          </w:tcPr>
          <w:p w:rsidR="00587523" w:rsidRPr="00DD6C65" w:rsidRDefault="00587523" w:rsidP="008D4374">
            <w:pPr>
              <w:spacing w:before="0" w:after="0"/>
              <w:jc w:val="center"/>
              <w:rPr>
                <w:rFonts w:ascii="Arial" w:hAnsi="Arial" w:cs="Arial"/>
                <w:b/>
                <w:sz w:val="23"/>
                <w:szCs w:val="23"/>
              </w:rPr>
            </w:pPr>
            <w:r w:rsidRPr="00DD6C65">
              <w:rPr>
                <w:rFonts w:ascii="Arial" w:hAnsi="Arial" w:cs="Arial"/>
                <w:b/>
                <w:sz w:val="23"/>
                <w:szCs w:val="23"/>
              </w:rPr>
              <w:t>LIC. JORGE ALBERTO ZAVALA FRÍAS</w:t>
            </w:r>
          </w:p>
          <w:p w:rsidR="00587523" w:rsidRPr="00DD6C65" w:rsidRDefault="00587523" w:rsidP="008D4374">
            <w:pPr>
              <w:spacing w:before="0" w:after="0"/>
              <w:jc w:val="center"/>
              <w:rPr>
                <w:rFonts w:ascii="Arial" w:hAnsi="Arial" w:cs="Arial"/>
                <w:b/>
                <w:sz w:val="23"/>
                <w:szCs w:val="23"/>
              </w:rPr>
            </w:pPr>
            <w:r w:rsidRPr="00DD6C65">
              <w:rPr>
                <w:rFonts w:ascii="Arial" w:hAnsi="Arial" w:cs="Arial"/>
                <w:b/>
                <w:sz w:val="23"/>
                <w:szCs w:val="23"/>
              </w:rPr>
              <w:t>SECRETARIO DEL CONSEJO</w:t>
            </w:r>
          </w:p>
        </w:tc>
      </w:tr>
    </w:tbl>
    <w:p w:rsidR="00587523" w:rsidRPr="00DD6C65" w:rsidRDefault="00587523" w:rsidP="007662A5">
      <w:pPr>
        <w:rPr>
          <w:rFonts w:ascii="Arial" w:hAnsi="Arial" w:cs="Arial"/>
          <w:sz w:val="23"/>
          <w:szCs w:val="23"/>
        </w:rPr>
      </w:pPr>
      <w:bookmarkStart w:id="0" w:name="_GoBack"/>
      <w:bookmarkEnd w:id="0"/>
    </w:p>
    <w:sectPr w:rsidR="00587523" w:rsidRPr="00DD6C65" w:rsidSect="00DD6C65">
      <w:headerReference w:type="default" r:id="rId7"/>
      <w:footerReference w:type="default" r:id="rId8"/>
      <w:pgSz w:w="12240" w:h="15840" w:code="1"/>
      <w:pgMar w:top="2836" w:right="1892"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0B" w:rsidRDefault="00CA360B" w:rsidP="00A929C6">
      <w:pPr>
        <w:spacing w:before="0" w:after="0" w:line="240" w:lineRule="auto"/>
      </w:pPr>
      <w:r>
        <w:separator/>
      </w:r>
    </w:p>
  </w:endnote>
  <w:endnote w:type="continuationSeparator" w:id="0">
    <w:p w:rsidR="00CA360B" w:rsidRDefault="00CA360B" w:rsidP="00A929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2101176762"/>
      <w:docPartObj>
        <w:docPartGallery w:val="Page Numbers (Top of Page)"/>
        <w:docPartUnique/>
      </w:docPartObj>
    </w:sdtPr>
    <w:sdtEndPr/>
    <w:sdtContent>
      <w:p w:rsidR="00947ADA" w:rsidRPr="00366171" w:rsidRDefault="00947ADA" w:rsidP="00947ADA">
        <w:pPr>
          <w:pStyle w:val="Piedepgina"/>
          <w:jc w:val="right"/>
          <w:rPr>
            <w:rFonts w:ascii="Arial" w:hAnsi="Arial" w:cs="Arial"/>
            <w:color w:val="993366"/>
            <w:sz w:val="20"/>
            <w:szCs w:val="20"/>
          </w:rPr>
        </w:pPr>
        <w:r w:rsidRPr="00366171">
          <w:rPr>
            <w:rFonts w:ascii="Arial" w:hAnsi="Arial" w:cs="Arial"/>
            <w:b/>
            <w:bCs/>
            <w:color w:val="993366"/>
          </w:rPr>
          <w:t xml:space="preserve">Página </w:t>
        </w:r>
        <w:r w:rsidRPr="00366171">
          <w:rPr>
            <w:rFonts w:ascii="Arial" w:hAnsi="Arial" w:cs="Arial"/>
            <w:b/>
            <w:bCs/>
            <w:color w:val="993366"/>
          </w:rPr>
          <w:fldChar w:fldCharType="begin"/>
        </w:r>
        <w:r w:rsidRPr="00366171">
          <w:rPr>
            <w:rFonts w:ascii="Arial" w:hAnsi="Arial" w:cs="Arial"/>
            <w:b/>
            <w:bCs/>
            <w:color w:val="993366"/>
          </w:rPr>
          <w:instrText>PAGE</w:instrText>
        </w:r>
        <w:r w:rsidRPr="00366171">
          <w:rPr>
            <w:rFonts w:ascii="Arial" w:hAnsi="Arial" w:cs="Arial"/>
            <w:b/>
            <w:bCs/>
            <w:color w:val="993366"/>
          </w:rPr>
          <w:fldChar w:fldCharType="separate"/>
        </w:r>
        <w:r w:rsidR="00DD6C65">
          <w:rPr>
            <w:rFonts w:ascii="Arial" w:hAnsi="Arial" w:cs="Arial"/>
            <w:b/>
            <w:bCs/>
            <w:noProof/>
            <w:color w:val="993366"/>
          </w:rPr>
          <w:t>6</w:t>
        </w:r>
        <w:r w:rsidRPr="00366171">
          <w:rPr>
            <w:rFonts w:ascii="Arial" w:hAnsi="Arial" w:cs="Arial"/>
            <w:b/>
            <w:bCs/>
            <w:color w:val="993366"/>
          </w:rPr>
          <w:fldChar w:fldCharType="end"/>
        </w:r>
        <w:r w:rsidRPr="00366171">
          <w:rPr>
            <w:rFonts w:ascii="Arial" w:hAnsi="Arial" w:cs="Arial"/>
            <w:b/>
            <w:bCs/>
            <w:color w:val="993366"/>
          </w:rPr>
          <w:t xml:space="preserve"> | </w:t>
        </w:r>
        <w:r w:rsidRPr="00366171">
          <w:rPr>
            <w:rFonts w:ascii="Arial" w:hAnsi="Arial" w:cs="Arial"/>
            <w:b/>
            <w:bCs/>
            <w:color w:val="993366"/>
          </w:rPr>
          <w:fldChar w:fldCharType="begin"/>
        </w:r>
        <w:r w:rsidRPr="00366171">
          <w:rPr>
            <w:rFonts w:ascii="Arial" w:hAnsi="Arial" w:cs="Arial"/>
            <w:b/>
            <w:bCs/>
            <w:color w:val="993366"/>
          </w:rPr>
          <w:instrText>NUMPAGES</w:instrText>
        </w:r>
        <w:r w:rsidRPr="00366171">
          <w:rPr>
            <w:rFonts w:ascii="Arial" w:hAnsi="Arial" w:cs="Arial"/>
            <w:b/>
            <w:bCs/>
            <w:color w:val="993366"/>
          </w:rPr>
          <w:fldChar w:fldCharType="separate"/>
        </w:r>
        <w:r w:rsidR="00DD6C65">
          <w:rPr>
            <w:rFonts w:ascii="Arial" w:hAnsi="Arial" w:cs="Arial"/>
            <w:b/>
            <w:bCs/>
            <w:noProof/>
            <w:color w:val="993366"/>
          </w:rPr>
          <w:t>11</w:t>
        </w:r>
        <w:r w:rsidRPr="00366171">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0B" w:rsidRDefault="00CA360B" w:rsidP="00A929C6">
      <w:pPr>
        <w:spacing w:before="0" w:after="0" w:line="240" w:lineRule="auto"/>
      </w:pPr>
      <w:r>
        <w:separator/>
      </w:r>
    </w:p>
  </w:footnote>
  <w:footnote w:type="continuationSeparator" w:id="0">
    <w:p w:rsidR="00CA360B" w:rsidRDefault="00CA360B" w:rsidP="00A929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929C6" w:rsidRPr="00063338" w:rsidTr="00145847">
      <w:tc>
        <w:tcPr>
          <w:tcW w:w="1418" w:type="dxa"/>
        </w:tcPr>
        <w:p w:rsidR="00A929C6" w:rsidRPr="00063338" w:rsidRDefault="00A929C6" w:rsidP="00A929C6">
          <w:pPr>
            <w:pStyle w:val="Encabezado"/>
            <w:ind w:left="-170"/>
          </w:pPr>
          <w:r>
            <w:rPr>
              <w:b/>
              <w:noProof/>
              <w:sz w:val="32"/>
              <w:lang w:eastAsia="es-MX"/>
            </w:rPr>
            <w:drawing>
              <wp:inline distT="0" distB="0" distL="0" distR="0" wp14:anchorId="0AB406DC" wp14:editId="3777CFE2">
                <wp:extent cx="1014331" cy="1199403"/>
                <wp:effectExtent l="0" t="0" r="0" b="1270"/>
                <wp:docPr id="9" name="Imagen 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A929C6" w:rsidRPr="00FA6047" w:rsidRDefault="00A929C6" w:rsidP="00A929C6">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A929C6" w:rsidRPr="00063338" w:rsidRDefault="00A929C6" w:rsidP="00A929C6">
          <w:pPr>
            <w:pStyle w:val="Encabezado"/>
            <w:jc w:val="center"/>
          </w:pPr>
          <w:r w:rsidRPr="00FA6047">
            <w:rPr>
              <w:rFonts w:ascii="Arial" w:hAnsi="Arial" w:cs="Arial"/>
              <w:sz w:val="26"/>
              <w:szCs w:val="26"/>
            </w:rPr>
            <w:t>CONSEJO ESTATAL</w:t>
          </w:r>
        </w:p>
      </w:tc>
      <w:tc>
        <w:tcPr>
          <w:tcW w:w="1701" w:type="dxa"/>
        </w:tcPr>
        <w:p w:rsidR="00A929C6" w:rsidRPr="00063338" w:rsidRDefault="00A929C6" w:rsidP="00A929C6">
          <w:pPr>
            <w:pStyle w:val="Encabezado"/>
            <w:spacing w:before="480"/>
          </w:pPr>
          <w:r>
            <w:rPr>
              <w:noProof/>
              <w:lang w:eastAsia="es-MX"/>
            </w:rPr>
            <w:drawing>
              <wp:inline distT="0" distB="0" distL="0" distR="0" wp14:anchorId="0A6EE028" wp14:editId="5A9A03D8">
                <wp:extent cx="921600" cy="756000"/>
                <wp:effectExtent l="0" t="0" r="0" b="6350"/>
                <wp:docPr id="10" name="Imagen 10"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A929C6" w:rsidRPr="00DD6C65" w:rsidRDefault="00DD6C65" w:rsidP="00DD6C65">
    <w:pPr>
      <w:pStyle w:val="Encabezado"/>
      <w:jc w:val="right"/>
      <w:rPr>
        <w:rFonts w:ascii="Arial" w:hAnsi="Arial" w:cs="Arial"/>
        <w:b/>
        <w:sz w:val="24"/>
        <w:szCs w:val="24"/>
      </w:rPr>
    </w:pPr>
    <w:r w:rsidRPr="00DD6C65">
      <w:rPr>
        <w:rFonts w:ascii="Arial" w:hAnsi="Arial" w:cs="Arial"/>
        <w:b/>
        <w:sz w:val="24"/>
        <w:szCs w:val="24"/>
      </w:rPr>
      <w:t>CE/2024/068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6E05"/>
    <w:multiLevelType w:val="hybridMultilevel"/>
    <w:tmpl w:val="2B8E6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8C48E2"/>
    <w:multiLevelType w:val="hybridMultilevel"/>
    <w:tmpl w:val="B894BEB8"/>
    <w:lvl w:ilvl="0" w:tplc="41A83C0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69271C"/>
    <w:multiLevelType w:val="hybridMultilevel"/>
    <w:tmpl w:val="ED5470B2"/>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542917"/>
    <w:multiLevelType w:val="multilevel"/>
    <w:tmpl w:val="2EF6FBD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7FA776BB"/>
    <w:multiLevelType w:val="hybridMultilevel"/>
    <w:tmpl w:val="98CA2B60"/>
    <w:lvl w:ilvl="0" w:tplc="865E2562">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4C"/>
    <w:rsid w:val="000004CE"/>
    <w:rsid w:val="000124A6"/>
    <w:rsid w:val="00096377"/>
    <w:rsid w:val="000A1756"/>
    <w:rsid w:val="000F2A4C"/>
    <w:rsid w:val="00120750"/>
    <w:rsid w:val="00173667"/>
    <w:rsid w:val="00195DE9"/>
    <w:rsid w:val="001D66C4"/>
    <w:rsid w:val="001E7351"/>
    <w:rsid w:val="00215A81"/>
    <w:rsid w:val="00263027"/>
    <w:rsid w:val="00272600"/>
    <w:rsid w:val="00280EA5"/>
    <w:rsid w:val="002A7A55"/>
    <w:rsid w:val="002C78BA"/>
    <w:rsid w:val="00366171"/>
    <w:rsid w:val="00447536"/>
    <w:rsid w:val="00475B46"/>
    <w:rsid w:val="00477657"/>
    <w:rsid w:val="00490182"/>
    <w:rsid w:val="004C3EA8"/>
    <w:rsid w:val="005048A3"/>
    <w:rsid w:val="00505528"/>
    <w:rsid w:val="00534A1A"/>
    <w:rsid w:val="005442EF"/>
    <w:rsid w:val="00544C55"/>
    <w:rsid w:val="00587523"/>
    <w:rsid w:val="005F671B"/>
    <w:rsid w:val="006854D4"/>
    <w:rsid w:val="006C3672"/>
    <w:rsid w:val="006F4C72"/>
    <w:rsid w:val="00704F94"/>
    <w:rsid w:val="0073592F"/>
    <w:rsid w:val="00742BFA"/>
    <w:rsid w:val="00753C3C"/>
    <w:rsid w:val="007662A5"/>
    <w:rsid w:val="007F5872"/>
    <w:rsid w:val="008322A4"/>
    <w:rsid w:val="00864AE6"/>
    <w:rsid w:val="008D4374"/>
    <w:rsid w:val="00947ADA"/>
    <w:rsid w:val="00A34F4D"/>
    <w:rsid w:val="00A70059"/>
    <w:rsid w:val="00A929C6"/>
    <w:rsid w:val="00AA7263"/>
    <w:rsid w:val="00B34852"/>
    <w:rsid w:val="00B63C3A"/>
    <w:rsid w:val="00B72606"/>
    <w:rsid w:val="00B81EDD"/>
    <w:rsid w:val="00B865A6"/>
    <w:rsid w:val="00B9667C"/>
    <w:rsid w:val="00C10CCE"/>
    <w:rsid w:val="00C31F40"/>
    <w:rsid w:val="00CA360B"/>
    <w:rsid w:val="00CA77AF"/>
    <w:rsid w:val="00CC5290"/>
    <w:rsid w:val="00D044E4"/>
    <w:rsid w:val="00DD557F"/>
    <w:rsid w:val="00DD6C65"/>
    <w:rsid w:val="00DD70AE"/>
    <w:rsid w:val="00DF0A15"/>
    <w:rsid w:val="00E13323"/>
    <w:rsid w:val="00E94C2C"/>
    <w:rsid w:val="00EE28C9"/>
    <w:rsid w:val="00F17393"/>
    <w:rsid w:val="00F2420C"/>
    <w:rsid w:val="00F85DC3"/>
    <w:rsid w:val="00FA6CC9"/>
    <w:rsid w:val="00FF32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BC121"/>
  <w15:chartTrackingRefBased/>
  <w15:docId w15:val="{B0E33310-4805-471C-AA73-4C6A6CA1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2A5"/>
    <w:pPr>
      <w:spacing w:before="240" w:after="240" w:line="276" w:lineRule="auto"/>
      <w:jc w:val="both"/>
    </w:pPr>
    <w:rPr>
      <w:rFonts w:ascii="Exo" w:hAnsi="Exo"/>
    </w:rPr>
  </w:style>
  <w:style w:type="paragraph" w:styleId="Ttulo1">
    <w:name w:val="heading 1"/>
    <w:basedOn w:val="Normal"/>
    <w:next w:val="Normal"/>
    <w:link w:val="Ttulo1Car"/>
    <w:uiPriority w:val="9"/>
    <w:qFormat/>
    <w:rsid w:val="00AA7263"/>
    <w:pPr>
      <w:numPr>
        <w:numId w:val="1"/>
      </w:numPr>
      <w:spacing w:before="600" w:after="480"/>
      <w:jc w:val="center"/>
      <w:outlineLvl w:val="0"/>
    </w:pPr>
    <w:rPr>
      <w:b/>
      <w:sz w:val="28"/>
    </w:rPr>
  </w:style>
  <w:style w:type="paragraph" w:styleId="Ttulo2">
    <w:name w:val="heading 2"/>
    <w:basedOn w:val="Normal"/>
    <w:next w:val="Normal"/>
    <w:link w:val="Ttulo2Car"/>
    <w:uiPriority w:val="9"/>
    <w:unhideWhenUsed/>
    <w:qFormat/>
    <w:rsid w:val="00AA7263"/>
    <w:pPr>
      <w:numPr>
        <w:ilvl w:val="1"/>
        <w:numId w:val="1"/>
      </w:numPr>
      <w:spacing w:before="480"/>
      <w:outlineLvl w:val="1"/>
    </w:pPr>
    <w:rPr>
      <w:b/>
      <w:sz w:val="24"/>
    </w:rPr>
  </w:style>
  <w:style w:type="paragraph" w:styleId="Ttulo3">
    <w:name w:val="heading 3"/>
    <w:basedOn w:val="Normal"/>
    <w:next w:val="Normal"/>
    <w:link w:val="Ttulo3Car"/>
    <w:uiPriority w:val="9"/>
    <w:semiHidden/>
    <w:unhideWhenUsed/>
    <w:qFormat/>
    <w:rsid w:val="000F2A4C"/>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0F2A4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F2A4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F2A4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0F2A4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0F2A4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F2A4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263"/>
    <w:rPr>
      <w:rFonts w:ascii="Exo" w:hAnsi="Exo"/>
      <w:b/>
      <w:sz w:val="28"/>
    </w:rPr>
  </w:style>
  <w:style w:type="character" w:customStyle="1" w:styleId="Ttulo2Car">
    <w:name w:val="Título 2 Car"/>
    <w:basedOn w:val="Fuentedeprrafopredeter"/>
    <w:link w:val="Ttulo2"/>
    <w:uiPriority w:val="9"/>
    <w:rsid w:val="00AA7263"/>
    <w:rPr>
      <w:rFonts w:ascii="Exo" w:hAnsi="Exo"/>
      <w:b/>
      <w:sz w:val="24"/>
    </w:rPr>
  </w:style>
  <w:style w:type="character" w:customStyle="1" w:styleId="Ttulo3Car">
    <w:name w:val="Título 3 Car"/>
    <w:basedOn w:val="Fuentedeprrafopredeter"/>
    <w:link w:val="Ttulo3"/>
    <w:uiPriority w:val="9"/>
    <w:semiHidden/>
    <w:rsid w:val="000F2A4C"/>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0F2A4C"/>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0F2A4C"/>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0F2A4C"/>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0F2A4C"/>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0F2A4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F2A4C"/>
    <w:rPr>
      <w:rFonts w:asciiTheme="majorHAnsi" w:eastAsiaTheme="majorEastAsia" w:hAnsiTheme="majorHAnsi" w:cstheme="majorBidi"/>
      <w:i/>
      <w:iCs/>
      <w:color w:val="272727" w:themeColor="text1" w:themeTint="D8"/>
      <w:sz w:val="21"/>
      <w:szCs w:val="21"/>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587523"/>
    <w:pPr>
      <w:ind w:left="720"/>
      <w:contextualSpacing/>
    </w:pPr>
    <w:rPr>
      <w:rFonts w:ascii="Calibri Light" w:hAnsi="Calibri Light" w:cs="Calibri Light"/>
    </w:r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587523"/>
    <w:rPr>
      <w:rFonts w:ascii="Calibri Light" w:hAnsi="Calibri Light" w:cs="Calibri Light"/>
      <w:sz w:val="23"/>
      <w:szCs w:val="23"/>
    </w:rPr>
  </w:style>
  <w:style w:type="table" w:styleId="Tablaconcuadrcula">
    <w:name w:val="Table Grid"/>
    <w:basedOn w:val="Tablanormal"/>
    <w:uiPriority w:val="39"/>
    <w:rsid w:val="0058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29C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929C6"/>
    <w:rPr>
      <w:rFonts w:ascii="Exo" w:hAnsi="Exo"/>
    </w:rPr>
  </w:style>
  <w:style w:type="paragraph" w:styleId="Piedepgina">
    <w:name w:val="footer"/>
    <w:basedOn w:val="Normal"/>
    <w:link w:val="PiedepginaCar"/>
    <w:uiPriority w:val="99"/>
    <w:unhideWhenUsed/>
    <w:rsid w:val="00A929C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929C6"/>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11</Pages>
  <Words>3230</Words>
  <Characters>17766</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51</cp:revision>
  <dcterms:created xsi:type="dcterms:W3CDTF">2024-02-06T18:20:00Z</dcterms:created>
  <dcterms:modified xsi:type="dcterms:W3CDTF">2024-05-11T20:12:00Z</dcterms:modified>
</cp:coreProperties>
</file>