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97" w:rsidRPr="00C57A4B" w:rsidRDefault="007F0597" w:rsidP="007F0597">
      <w:pPr>
        <w:pStyle w:val="Ttulo1"/>
        <w:rPr>
          <w:rFonts w:ascii="Century Gothic" w:hAnsi="Century Gothic" w:cstheme="minorHAnsi"/>
          <w:w w:val="150"/>
          <w:sz w:val="32"/>
        </w:rPr>
      </w:pPr>
      <w:r w:rsidRPr="00C57A4B">
        <w:rPr>
          <w:rFonts w:ascii="Century Gothic" w:hAnsi="Century Gothic" w:cstheme="minorHAnsi"/>
          <w:w w:val="150"/>
          <w:sz w:val="32"/>
        </w:rPr>
        <w:t>SESIÓN ESPECIAL Y PERMANENTE DE CÓMPUTO ESTATAL</w:t>
      </w:r>
    </w:p>
    <w:p w:rsidR="000E2683" w:rsidRPr="0010131A" w:rsidRDefault="00D80CD4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DOMI</w:t>
      </w:r>
      <w:r w:rsidR="007F0597">
        <w:rPr>
          <w:rFonts w:ascii="Arial" w:hAnsi="Arial" w:cs="Arial"/>
          <w:b/>
          <w:sz w:val="28"/>
          <w:szCs w:val="28"/>
        </w:rPr>
        <w:t>NGO</w:t>
      </w:r>
      <w:r w:rsidR="008F33A1" w:rsidRPr="0010131A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 w:rsidR="009353F5">
        <w:rPr>
          <w:rFonts w:ascii="Arial" w:hAnsi="Arial" w:cs="Arial"/>
          <w:b/>
          <w:sz w:val="28"/>
          <w:szCs w:val="28"/>
        </w:rPr>
        <w:t>0</w:t>
      </w:r>
      <w:r w:rsidR="007F0597">
        <w:rPr>
          <w:rFonts w:ascii="Arial" w:hAnsi="Arial" w:cs="Arial"/>
          <w:b/>
          <w:sz w:val="28"/>
          <w:szCs w:val="28"/>
        </w:rPr>
        <w:t>9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 w:rsidR="009353F5">
        <w:rPr>
          <w:rFonts w:ascii="Arial" w:hAnsi="Arial" w:cs="Arial"/>
          <w:b/>
          <w:sz w:val="28"/>
          <w:szCs w:val="28"/>
        </w:rPr>
        <w:t>JUNIO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DE 2024</w:t>
      </w:r>
    </w:p>
    <w:p w:rsidR="00C84009" w:rsidRDefault="00D80CD4" w:rsidP="000E26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15:0</w:t>
      </w:r>
      <w:r w:rsidR="003765D4">
        <w:rPr>
          <w:rFonts w:ascii="Arial" w:hAnsi="Arial" w:cs="Arial"/>
          <w:b/>
          <w:sz w:val="28"/>
          <w:szCs w:val="28"/>
        </w:rPr>
        <w:t>0 HORAS</w:t>
      </w:r>
    </w:p>
    <w:p w:rsidR="009353F5" w:rsidRPr="0010131A" w:rsidRDefault="009353F5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10131A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  <w:bookmarkStart w:id="0" w:name="_GoBack"/>
      <w:bookmarkEnd w:id="0"/>
    </w:p>
    <w:p w:rsidR="00C0553F" w:rsidRDefault="00C0553F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F7135A" w:rsidRDefault="00F7135A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9353F5" w:rsidRPr="00916B51" w:rsidRDefault="009353F5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7F0597" w:rsidRPr="00C57A4B" w:rsidRDefault="007F0597" w:rsidP="007F0597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Century Gothic" w:hAnsi="Century Gothic" w:cstheme="minorHAnsi"/>
          <w:b/>
          <w:sz w:val="28"/>
          <w:szCs w:val="28"/>
        </w:rPr>
      </w:pPr>
      <w:r w:rsidRPr="00C57A4B">
        <w:rPr>
          <w:rFonts w:ascii="Century Gothic" w:hAnsi="Century Gothic" w:cstheme="minorHAnsi"/>
          <w:b/>
          <w:sz w:val="28"/>
          <w:szCs w:val="28"/>
        </w:rPr>
        <w:t>LISTA DE ASISTENCIA;</w:t>
      </w:r>
    </w:p>
    <w:p w:rsidR="007F0597" w:rsidRPr="00C57A4B" w:rsidRDefault="007F0597" w:rsidP="007F0597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Century Gothic" w:hAnsi="Century Gothic" w:cstheme="minorHAnsi"/>
          <w:b/>
          <w:sz w:val="28"/>
          <w:szCs w:val="28"/>
        </w:rPr>
      </w:pPr>
      <w:r w:rsidRPr="00C57A4B">
        <w:rPr>
          <w:rFonts w:ascii="Century Gothic" w:hAnsi="Century Gothic" w:cstheme="minorHAnsi"/>
          <w:b/>
          <w:sz w:val="28"/>
          <w:szCs w:val="28"/>
        </w:rPr>
        <w:t>DECLARACIÓN DE QUÓRUM;</w:t>
      </w:r>
    </w:p>
    <w:p w:rsidR="007F0597" w:rsidRPr="00C57A4B" w:rsidRDefault="007F0597" w:rsidP="007F0597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Century Gothic" w:hAnsi="Century Gothic" w:cstheme="minorHAnsi"/>
          <w:b/>
          <w:sz w:val="28"/>
          <w:szCs w:val="28"/>
        </w:rPr>
      </w:pPr>
      <w:r w:rsidRPr="00C57A4B">
        <w:rPr>
          <w:rFonts w:ascii="Century Gothic" w:hAnsi="Century Gothic" w:cstheme="minorHAnsi"/>
          <w:b/>
          <w:sz w:val="28"/>
          <w:szCs w:val="28"/>
        </w:rPr>
        <w:t>APROBACIÓN DEL ORDEN DEL DÍA;</w:t>
      </w:r>
    </w:p>
    <w:p w:rsidR="007F0597" w:rsidRPr="00C57A4B" w:rsidRDefault="007F0597" w:rsidP="007F0597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Century Gothic" w:hAnsi="Century Gothic" w:cstheme="minorHAnsi"/>
          <w:b/>
          <w:sz w:val="28"/>
          <w:szCs w:val="28"/>
        </w:rPr>
      </w:pPr>
      <w:r w:rsidRPr="00C57A4B">
        <w:rPr>
          <w:rFonts w:ascii="Century Gothic" w:hAnsi="Century Gothic" w:cstheme="minorHAnsi"/>
          <w:b/>
          <w:sz w:val="28"/>
          <w:szCs w:val="28"/>
        </w:rPr>
        <w:t xml:space="preserve"> PRESENTACIÓN Y APROBACIÓN, EN SU CASO, DEL PROYECTO DE ACUERDO DEL CONSEJO ESTATAL DEL INSTITUTO ELECTORAL Y DE PARTICIPACIÓN CIUDADANA DE TABASCO, MEDIANTE EL CUAL EMITE LA DECLARACIÓN DE VALIDEZ DE LA ELECCIÓN A LA GUBERNATURA DEL ESTADO LIBRE Y SOBERANO DE TABASCO;</w:t>
      </w:r>
    </w:p>
    <w:p w:rsidR="007F0597" w:rsidRPr="00C57A4B" w:rsidRDefault="007F0597" w:rsidP="007F0597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Century Gothic" w:hAnsi="Century Gothic" w:cstheme="minorHAnsi"/>
          <w:b/>
          <w:sz w:val="28"/>
          <w:szCs w:val="28"/>
        </w:rPr>
      </w:pPr>
      <w:r>
        <w:rPr>
          <w:rFonts w:ascii="Century Gothic" w:hAnsi="Century Gothic" w:cstheme="minorHAnsi"/>
          <w:b/>
          <w:sz w:val="28"/>
          <w:szCs w:val="28"/>
        </w:rPr>
        <w:t>ENTREGA</w:t>
      </w:r>
      <w:r w:rsidRPr="00C57A4B">
        <w:rPr>
          <w:rFonts w:ascii="Century Gothic" w:hAnsi="Century Gothic" w:cstheme="minorHAnsi"/>
          <w:b/>
          <w:sz w:val="28"/>
          <w:szCs w:val="28"/>
        </w:rPr>
        <w:t xml:space="preserve"> DE LA CONSTANCIA DE MAYORÍA Y VALIDEZ AL CIUDADANO ELECTO A LA GUBERNATURA DEL ESTADO LIBRE Y SOBERANO DE TABASCO;</w:t>
      </w:r>
    </w:p>
    <w:p w:rsidR="007F0597" w:rsidRPr="00C57A4B" w:rsidRDefault="007F0597" w:rsidP="007F0597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Century Gothic" w:hAnsi="Century Gothic" w:cstheme="minorHAnsi"/>
          <w:b/>
          <w:sz w:val="28"/>
          <w:szCs w:val="28"/>
        </w:rPr>
      </w:pPr>
      <w:r w:rsidRPr="00C57A4B">
        <w:rPr>
          <w:rFonts w:ascii="Century Gothic" w:hAnsi="Century Gothic" w:cstheme="minorHAnsi"/>
          <w:b/>
          <w:sz w:val="28"/>
          <w:szCs w:val="28"/>
        </w:rPr>
        <w:t xml:space="preserve">PRESENTACIÓN Y APROBACIÓN EN SU CASO, DEL PROYECTO DE ACUERDO QUE EMITE EL CONSEJO ESTATAL DEL INSTITUTO ELECTORAL Y DE PARTICIPACIÓN CIUDADANA DE TABASCO, MEDIANTE EL CUAL ASIGNA Y DECLARA LA VALIDEZ DE LA </w:t>
      </w:r>
      <w:r w:rsidR="005D2355" w:rsidRPr="00C57A4B">
        <w:rPr>
          <w:rFonts w:ascii="Century Gothic" w:hAnsi="Century Gothic" w:cstheme="minorHAnsi"/>
          <w:b/>
          <w:sz w:val="28"/>
          <w:szCs w:val="28"/>
        </w:rPr>
        <w:t>ELECCIÓN</w:t>
      </w:r>
      <w:r w:rsidRPr="00C57A4B">
        <w:rPr>
          <w:rFonts w:ascii="Century Gothic" w:hAnsi="Century Gothic" w:cstheme="minorHAnsi"/>
          <w:b/>
          <w:sz w:val="28"/>
          <w:szCs w:val="28"/>
        </w:rPr>
        <w:t xml:space="preserve"> DE DIPUTACIONES POR EL PRINCIPIO DE REPRESENTACIÓN PROPORCIONAL CON BASE EN EL RESULTADO OBTENIDO EN EL CÓMPUTO DE CIRCUNSCRIPCIÓN </w:t>
      </w:r>
      <w:r w:rsidRPr="00C57A4B">
        <w:rPr>
          <w:rFonts w:ascii="Century Gothic" w:hAnsi="Century Gothic" w:cstheme="minorHAnsi"/>
          <w:b/>
          <w:sz w:val="28"/>
          <w:szCs w:val="28"/>
        </w:rPr>
        <w:lastRenderedPageBreak/>
        <w:t>PLURINOMINAL DEL PROCESO ELECTORAL LOCAL ORDINARIO 2023 - 2024;</w:t>
      </w:r>
    </w:p>
    <w:p w:rsidR="007F0597" w:rsidRPr="00C57A4B" w:rsidRDefault="00C2765B" w:rsidP="007F0597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Century Gothic" w:hAnsi="Century Gothic" w:cstheme="minorHAnsi"/>
          <w:b/>
          <w:sz w:val="28"/>
          <w:szCs w:val="28"/>
        </w:rPr>
      </w:pPr>
      <w:r>
        <w:rPr>
          <w:rFonts w:ascii="Century Gothic" w:hAnsi="Century Gothic" w:cstheme="minorHAnsi"/>
          <w:b/>
          <w:sz w:val="28"/>
          <w:szCs w:val="28"/>
        </w:rPr>
        <w:t>ENTREGA</w:t>
      </w:r>
      <w:r w:rsidR="007F0597" w:rsidRPr="00C57A4B">
        <w:rPr>
          <w:rFonts w:ascii="Century Gothic" w:hAnsi="Century Gothic" w:cstheme="minorHAnsi"/>
          <w:b/>
          <w:sz w:val="28"/>
          <w:szCs w:val="28"/>
        </w:rPr>
        <w:t xml:space="preserve"> DE LAS CONSTANCIAS DE ASIGNACIÓN DE DIPUTACIONES POR EL PRINCIPIO DE REPRESENTACIÓN PROPORCIONAL;</w:t>
      </w:r>
    </w:p>
    <w:p w:rsidR="007F0597" w:rsidRPr="00C57A4B" w:rsidRDefault="007F0597" w:rsidP="007F0597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426"/>
        <w:jc w:val="both"/>
        <w:rPr>
          <w:rFonts w:ascii="Century Gothic" w:hAnsi="Century Gothic" w:cstheme="minorHAnsi"/>
          <w:b/>
          <w:sz w:val="28"/>
          <w:szCs w:val="28"/>
        </w:rPr>
      </w:pPr>
      <w:r w:rsidRPr="00C57A4B">
        <w:rPr>
          <w:rFonts w:ascii="Century Gothic" w:hAnsi="Century Gothic" w:cstheme="minorHAnsi"/>
          <w:b/>
          <w:sz w:val="28"/>
          <w:szCs w:val="28"/>
        </w:rPr>
        <w:t xml:space="preserve">PRESENTACIÓN Y APROBACIÓN EN SU CASO, DEL PROYECTO DE ACUERDO QUE EMITE EL CONSEJO ESTATAL DEL INSTITUTO ELECTORAL Y DE PARTICIPACIÓN CIUDADANA DE TABASCO, MEDIANTE EL CUAL ASIGNA Y DECLARA LA VALIDEZ DE LA ELECCIÓN DE REGIDURÍAS POR EL PRINCIPIO DE REPRESENTACIÓN PROPORCIONAL CON BASE EN EL RESULTADO OBTENIDO EN LOS CÓMPUTO DE LAS ELECCIONES DE PRESIDENCIAS MUNICIPALES Y REGIDURÍAS DEL PROCESO ELECTORAL LOCAL ORDINARIO 2023-2024; </w:t>
      </w:r>
    </w:p>
    <w:p w:rsidR="007F0597" w:rsidRPr="00C57A4B" w:rsidRDefault="00C2765B" w:rsidP="007F0597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Century Gothic" w:hAnsi="Century Gothic" w:cstheme="minorHAnsi"/>
          <w:b/>
          <w:sz w:val="28"/>
          <w:szCs w:val="28"/>
        </w:rPr>
      </w:pPr>
      <w:r>
        <w:rPr>
          <w:rFonts w:ascii="Century Gothic" w:hAnsi="Century Gothic" w:cstheme="minorHAnsi"/>
          <w:b/>
          <w:sz w:val="28"/>
          <w:szCs w:val="28"/>
        </w:rPr>
        <w:t>ENTREGA</w:t>
      </w:r>
      <w:r w:rsidR="007F0597" w:rsidRPr="00C57A4B">
        <w:rPr>
          <w:rFonts w:ascii="Century Gothic" w:hAnsi="Century Gothic" w:cstheme="minorHAnsi"/>
          <w:b/>
          <w:sz w:val="28"/>
          <w:szCs w:val="28"/>
        </w:rPr>
        <w:t xml:space="preserve"> DE LAS CONSTANCIAS DE ASIGNACIÓN DE REGIDURÍAS POR EL PRINCIPIO DE REPRESENTACIÓN PROPORCIONAL; Y </w:t>
      </w:r>
    </w:p>
    <w:p w:rsidR="007F0597" w:rsidRPr="00C57A4B" w:rsidRDefault="007F0597" w:rsidP="007F0597">
      <w:pPr>
        <w:pStyle w:val="Prrafodelista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40" w:after="0" w:line="276" w:lineRule="auto"/>
        <w:ind w:left="567" w:hanging="641"/>
        <w:contextualSpacing w:val="0"/>
        <w:jc w:val="both"/>
        <w:rPr>
          <w:rFonts w:ascii="Century Gothic" w:hAnsi="Century Gothic" w:cstheme="minorHAnsi"/>
          <w:b/>
          <w:sz w:val="28"/>
          <w:szCs w:val="28"/>
        </w:rPr>
      </w:pPr>
      <w:r w:rsidRPr="00C57A4B">
        <w:rPr>
          <w:rFonts w:ascii="Century Gothic" w:hAnsi="Century Gothic" w:cstheme="minorHAnsi"/>
          <w:b/>
          <w:sz w:val="28"/>
          <w:szCs w:val="28"/>
        </w:rPr>
        <w:t>CLAUSURA.</w:t>
      </w:r>
    </w:p>
    <w:p w:rsidR="000E2683" w:rsidRPr="00115357" w:rsidRDefault="000E2683" w:rsidP="007F0597">
      <w:pPr>
        <w:pStyle w:val="Prrafodelista"/>
        <w:spacing w:before="240" w:after="240" w:line="276" w:lineRule="auto"/>
        <w:ind w:left="510"/>
        <w:contextualSpacing w:val="0"/>
        <w:jc w:val="both"/>
        <w:rPr>
          <w:rFonts w:ascii="Arial" w:hAnsi="Arial" w:cs="Arial"/>
          <w:sz w:val="28"/>
          <w:szCs w:val="28"/>
        </w:rPr>
      </w:pPr>
    </w:p>
    <w:sectPr w:rsidR="000E2683" w:rsidRPr="00115357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B6" w:rsidRDefault="00DD36B6" w:rsidP="000E2683">
      <w:pPr>
        <w:spacing w:after="0" w:line="240" w:lineRule="auto"/>
      </w:pPr>
      <w:r>
        <w:separator/>
      </w:r>
    </w:p>
  </w:endnote>
  <w:endnote w:type="continuationSeparator" w:id="0">
    <w:p w:rsidR="00DD36B6" w:rsidRDefault="00DD36B6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B6" w:rsidRDefault="00DD36B6" w:rsidP="000E2683">
      <w:pPr>
        <w:spacing w:after="0" w:line="240" w:lineRule="auto"/>
      </w:pPr>
      <w:r>
        <w:separator/>
      </w:r>
    </w:p>
  </w:footnote>
  <w:footnote w:type="continuationSeparator" w:id="0">
    <w:p w:rsidR="00DD36B6" w:rsidRDefault="00DD36B6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53B"/>
    <w:multiLevelType w:val="hybridMultilevel"/>
    <w:tmpl w:val="3920043E"/>
    <w:lvl w:ilvl="0" w:tplc="1A8026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C14491"/>
    <w:multiLevelType w:val="hybridMultilevel"/>
    <w:tmpl w:val="48BE0260"/>
    <w:lvl w:ilvl="0" w:tplc="857A2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41EE0"/>
    <w:rsid w:val="00070988"/>
    <w:rsid w:val="000E2683"/>
    <w:rsid w:val="000E69C3"/>
    <w:rsid w:val="000F54B5"/>
    <w:rsid w:val="0010131A"/>
    <w:rsid w:val="00115357"/>
    <w:rsid w:val="001A1D87"/>
    <w:rsid w:val="001B6465"/>
    <w:rsid w:val="001D2B2B"/>
    <w:rsid w:val="00237A1D"/>
    <w:rsid w:val="002715AC"/>
    <w:rsid w:val="00287461"/>
    <w:rsid w:val="00296369"/>
    <w:rsid w:val="0030299B"/>
    <w:rsid w:val="003765D4"/>
    <w:rsid w:val="00377BB7"/>
    <w:rsid w:val="003B40B7"/>
    <w:rsid w:val="003C753A"/>
    <w:rsid w:val="00527EFA"/>
    <w:rsid w:val="005D2355"/>
    <w:rsid w:val="006349E1"/>
    <w:rsid w:val="006428EC"/>
    <w:rsid w:val="006E2596"/>
    <w:rsid w:val="007002B8"/>
    <w:rsid w:val="00774B5B"/>
    <w:rsid w:val="007F0597"/>
    <w:rsid w:val="00836E37"/>
    <w:rsid w:val="008876BA"/>
    <w:rsid w:val="00887F1C"/>
    <w:rsid w:val="008F33A1"/>
    <w:rsid w:val="008F4116"/>
    <w:rsid w:val="00916B51"/>
    <w:rsid w:val="00926A6A"/>
    <w:rsid w:val="009353F5"/>
    <w:rsid w:val="009A6ADC"/>
    <w:rsid w:val="009D3D51"/>
    <w:rsid w:val="009D6CB3"/>
    <w:rsid w:val="00A82F44"/>
    <w:rsid w:val="00B30D74"/>
    <w:rsid w:val="00B92695"/>
    <w:rsid w:val="00BA2564"/>
    <w:rsid w:val="00C0553F"/>
    <w:rsid w:val="00C2765B"/>
    <w:rsid w:val="00C31DA5"/>
    <w:rsid w:val="00C623DC"/>
    <w:rsid w:val="00C75310"/>
    <w:rsid w:val="00C84009"/>
    <w:rsid w:val="00CD5647"/>
    <w:rsid w:val="00D80CD4"/>
    <w:rsid w:val="00DD36B6"/>
    <w:rsid w:val="00DD6E09"/>
    <w:rsid w:val="00EC15CB"/>
    <w:rsid w:val="00EC7FAD"/>
    <w:rsid w:val="00EE6441"/>
    <w:rsid w:val="00F028C1"/>
    <w:rsid w:val="00F4652F"/>
    <w:rsid w:val="00F51E6B"/>
    <w:rsid w:val="00F53CCE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81CCFC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F0597"/>
    <w:pPr>
      <w:keepNext/>
      <w:spacing w:after="0" w:line="240" w:lineRule="auto"/>
      <w:jc w:val="center"/>
      <w:outlineLvl w:val="0"/>
    </w:pPr>
    <w:rPr>
      <w:rFonts w:ascii="Segoe UI" w:eastAsia="Tahoma" w:hAnsi="Segoe UI" w:cs="Tahoma"/>
      <w:b/>
      <w:sz w:val="28"/>
      <w:szCs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1Car">
    <w:name w:val="Título 1 Car"/>
    <w:basedOn w:val="Fuentedeprrafopredeter"/>
    <w:link w:val="Ttulo1"/>
    <w:rsid w:val="007F0597"/>
    <w:rPr>
      <w:rFonts w:ascii="Segoe UI" w:eastAsia="Tahoma" w:hAnsi="Segoe UI" w:cs="Tahoma"/>
      <w:b/>
      <w:sz w:val="28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A1D4-C058-40A1-991C-24856B99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Silverio Henández Hernández</cp:lastModifiedBy>
  <cp:revision>2</cp:revision>
  <cp:lastPrinted>2024-05-08T03:34:00Z</cp:lastPrinted>
  <dcterms:created xsi:type="dcterms:W3CDTF">2024-06-09T15:59:00Z</dcterms:created>
  <dcterms:modified xsi:type="dcterms:W3CDTF">2024-06-09T15:59:00Z</dcterms:modified>
</cp:coreProperties>
</file>