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16" w:rsidRPr="00604344" w:rsidRDefault="00604344" w:rsidP="005D7BC5">
      <w:pPr>
        <w:spacing w:before="240" w:after="240" w:line="288" w:lineRule="auto"/>
        <w:jc w:val="both"/>
        <w:rPr>
          <w:rFonts w:ascii="Arial" w:hAnsi="Arial" w:cs="Arial"/>
          <w:b/>
          <w:sz w:val="24"/>
          <w:szCs w:val="24"/>
        </w:rPr>
      </w:pPr>
      <w:r w:rsidRPr="00604344">
        <w:rPr>
          <w:rFonts w:ascii="Arial" w:hAnsi="Arial" w:cs="Arial"/>
          <w:b/>
          <w:sz w:val="24"/>
          <w:szCs w:val="24"/>
        </w:rPr>
        <w:t xml:space="preserve">ACUERDO QUE, A PROPUESTA DE LA COMISIÓN PERMANENTE DE ORGANIZACIÓN ELECTORAL Y EDUCACIÓN CÍVICA, EMITE EL CONSEJO ESTATAL DEL INSTITUTO ELECTORAL Y DE PARTICIPACIÓN CIUDADANA DE TABASCO, MEDIANTE EL CUAL SE APRUEBA EL MANUAL DE USUARIO DEL MÓDULO DE REGISTRO DE CANDIDATURAS A CARGOS DE ELECCIÓN POPULAR EN EL SISTEMA DE INFORMACIÓN ESTATAL ELECTORAL (SIEE) CON MOTIVO DEL PROCESO ELECTORAL LOCAL ORDINARIO 2023 – 2024 </w:t>
      </w:r>
    </w:p>
    <w:p w:rsidR="00122584" w:rsidRDefault="00122584" w:rsidP="005D7BC5">
      <w:pPr>
        <w:spacing w:before="240" w:after="240" w:line="288" w:lineRule="auto"/>
        <w:jc w:val="both"/>
        <w:rPr>
          <w:rFonts w:ascii="Arial" w:hAnsi="Arial" w:cs="Arial"/>
          <w:sz w:val="23"/>
          <w:szCs w:val="23"/>
        </w:rPr>
      </w:pPr>
    </w:p>
    <w:p w:rsidR="000C740F" w:rsidRPr="005D7BC5" w:rsidRDefault="000C740F" w:rsidP="005D7BC5">
      <w:pPr>
        <w:spacing w:before="240" w:after="240" w:line="288" w:lineRule="auto"/>
        <w:jc w:val="both"/>
        <w:rPr>
          <w:rFonts w:ascii="Arial" w:hAnsi="Arial" w:cs="Arial"/>
          <w:sz w:val="23"/>
          <w:szCs w:val="23"/>
        </w:rPr>
      </w:pPr>
      <w:r w:rsidRPr="005D7BC5">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Comisión:</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Comisión Permanente de Organización Electoral y Educación Cívica del 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Comisiones Unidas:</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Las Comisiones Permanentes de Organización Electoral y Educación Cívica y de Igualdad de Género y No Discriminación del 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Consejo Estatal: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Consejo Estatal del 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Constitución Federal: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Constitución Política de los Estados Unidos Mexicanos.</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Constitución Local: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Constitución Política del Estado Libre y Soberano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DOEEC:</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Dirección de Organización Electoral y Educación Cívica del 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INE:</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Instituto Nacional Electoral.</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lastRenderedPageBreak/>
              <w:t>Instituto:</w:t>
            </w:r>
          </w:p>
        </w:tc>
        <w:tc>
          <w:tcPr>
            <w:tcW w:w="2958" w:type="pct"/>
            <w:shd w:val="clear" w:color="auto" w:fill="auto"/>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Ley Electoral: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Ley Electoral y de Partidos Políticos del Estado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Ley General: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Ley General de Instituciones y Procedimientos Electorales.</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Manual: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Manual de usuario del módulo de registro de candidaturas a cargos de elección popular en el Sistema de Información Estatal Electoral (SIEE) con motivo del Proceso Electoral Local Ordinario 2023-2024</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Organismo electoral: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 xml:space="preserve">Organismo(s) público(s) local(es) electoral(es). </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Proceso Electoral:</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Proceso Electoral Local Ordinario 2023 – 2024.</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Reglamento de Comisiones:</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Reglamento de Comisiones del Consejo Estatal del 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Reglamento de Elecciones:</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Reglamento de Elecciones del Instituto Nacional Electoral.</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Secretaría Ejecutiva:</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Secretaría Ejecutiva del Instituto Electoral y de Participación Ciudadana de Tabasco.</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SIEE:</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Sistema de Información Estatal Electoral.</w:t>
            </w:r>
          </w:p>
        </w:tc>
      </w:tr>
      <w:tr w:rsidR="00066415" w:rsidRPr="005D7BC5" w:rsidTr="00F81DD9">
        <w:trPr>
          <w:trHeight w:val="624"/>
          <w:jc w:val="center"/>
        </w:trPr>
        <w:tc>
          <w:tcPr>
            <w:tcW w:w="2042" w:type="pct"/>
            <w:shd w:val="clear" w:color="auto" w:fill="auto"/>
            <w:vAlign w:val="center"/>
          </w:tcPr>
          <w:p w:rsidR="00066415" w:rsidRPr="00604344" w:rsidRDefault="00066415" w:rsidP="005D7BC5">
            <w:pPr>
              <w:spacing w:before="120" w:after="120" w:line="276" w:lineRule="auto"/>
              <w:jc w:val="right"/>
              <w:rPr>
                <w:rFonts w:ascii="Arial" w:hAnsi="Arial" w:cs="Arial"/>
                <w:b/>
                <w:sz w:val="20"/>
                <w:szCs w:val="20"/>
              </w:rPr>
            </w:pPr>
            <w:r w:rsidRPr="00604344">
              <w:rPr>
                <w:rFonts w:ascii="Arial" w:hAnsi="Arial" w:cs="Arial"/>
                <w:b/>
                <w:sz w:val="20"/>
                <w:szCs w:val="20"/>
              </w:rPr>
              <w:t>UNITIC:</w:t>
            </w:r>
          </w:p>
        </w:tc>
        <w:tc>
          <w:tcPr>
            <w:tcW w:w="2958" w:type="pct"/>
            <w:shd w:val="clear" w:color="auto" w:fill="auto"/>
            <w:vAlign w:val="center"/>
          </w:tcPr>
          <w:p w:rsidR="00066415" w:rsidRPr="00604344" w:rsidRDefault="00066415" w:rsidP="005D7BC5">
            <w:pPr>
              <w:spacing w:before="120" w:after="120" w:line="276" w:lineRule="auto"/>
              <w:jc w:val="both"/>
              <w:rPr>
                <w:rFonts w:ascii="Arial" w:hAnsi="Arial" w:cs="Arial"/>
                <w:sz w:val="20"/>
                <w:szCs w:val="20"/>
              </w:rPr>
            </w:pPr>
            <w:r w:rsidRPr="00604344">
              <w:rPr>
                <w:rFonts w:ascii="Arial" w:hAnsi="Arial" w:cs="Arial"/>
                <w:sz w:val="20"/>
                <w:szCs w:val="20"/>
              </w:rPr>
              <w:t>Unidad de Tecnologías de la Información y Comunicación del Instituto Electoral y de Participación Ciudadana de Tabasco.</w:t>
            </w:r>
          </w:p>
        </w:tc>
      </w:tr>
    </w:tbl>
    <w:p w:rsidR="00604344" w:rsidRDefault="00604344" w:rsidP="00604344">
      <w:pPr>
        <w:pStyle w:val="Ttulo1"/>
        <w:numPr>
          <w:ilvl w:val="0"/>
          <w:numId w:val="0"/>
        </w:numPr>
        <w:ind w:left="432"/>
        <w:jc w:val="left"/>
      </w:pPr>
    </w:p>
    <w:p w:rsidR="000C740F" w:rsidRPr="00604344" w:rsidRDefault="000C740F" w:rsidP="005D7BC5">
      <w:pPr>
        <w:pStyle w:val="Ttulo1"/>
        <w:rPr>
          <w:sz w:val="24"/>
          <w:szCs w:val="24"/>
        </w:rPr>
      </w:pPr>
      <w:r w:rsidRPr="00604344">
        <w:rPr>
          <w:sz w:val="24"/>
          <w:szCs w:val="24"/>
        </w:rPr>
        <w:t>Antecedentes</w:t>
      </w:r>
    </w:p>
    <w:p w:rsidR="000C740F" w:rsidRPr="005D7BC5" w:rsidRDefault="000C740F" w:rsidP="005D7BC5">
      <w:pPr>
        <w:pStyle w:val="Ttulo2"/>
      </w:pPr>
      <w:r w:rsidRPr="005D7BC5">
        <w:t>Modificación de la circunscripción plurinominal</w:t>
      </w:r>
    </w:p>
    <w:p w:rsidR="000C740F" w:rsidRPr="00604344" w:rsidRDefault="000C740F" w:rsidP="005D7BC5">
      <w:pPr>
        <w:spacing w:before="240" w:after="240" w:line="288" w:lineRule="auto"/>
        <w:jc w:val="both"/>
        <w:rPr>
          <w:rFonts w:ascii="Arial" w:hAnsi="Arial" w:cs="Arial"/>
          <w:sz w:val="23"/>
          <w:szCs w:val="23"/>
        </w:rPr>
      </w:pPr>
      <w:r w:rsidRPr="005D7BC5">
        <w:rPr>
          <w:rFonts w:ascii="Arial" w:hAnsi="Arial" w:cs="Arial"/>
          <w:sz w:val="23"/>
          <w:szCs w:val="23"/>
        </w:rPr>
        <w:t xml:space="preserve">El 26 </w:t>
      </w:r>
      <w:r w:rsidRPr="00604344">
        <w:rPr>
          <w:rFonts w:ascii="Arial" w:hAnsi="Arial" w:cs="Arial"/>
          <w:sz w:val="23"/>
          <w:szCs w:val="23"/>
        </w:rPr>
        <w:t>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0C740F" w:rsidRPr="00604344" w:rsidRDefault="000C740F" w:rsidP="005D7BC5">
      <w:pPr>
        <w:pStyle w:val="Ttulo2"/>
        <w:rPr>
          <w:sz w:val="23"/>
        </w:rPr>
      </w:pPr>
      <w:r w:rsidRPr="00604344">
        <w:rPr>
          <w:sz w:val="23"/>
        </w:rPr>
        <w:t>Homologación de plazos y fechas en los procesos electorales locales concurrentes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0C740F" w:rsidRPr="00604344" w:rsidRDefault="000C740F" w:rsidP="005D7BC5">
      <w:pPr>
        <w:pStyle w:val="Ttulo2"/>
        <w:rPr>
          <w:sz w:val="23"/>
        </w:rPr>
      </w:pPr>
      <w:r w:rsidRPr="00604344">
        <w:rPr>
          <w:sz w:val="23"/>
        </w:rPr>
        <w:t xml:space="preserve">Plan integral y calendario de coordinación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En la fecha que antecede, el Consejo General del INE aprobó el acuerdo INE/CG446/2023 relativo al Plan Integral y los calendarios de coordinación de los Procesos Electorales Locales concurrentes con el Federal 2023 – 2024, determinando </w:t>
      </w:r>
      <w:r w:rsidRPr="00604344">
        <w:rPr>
          <w:rFonts w:ascii="Arial" w:hAnsi="Arial" w:cs="Arial"/>
          <w:sz w:val="23"/>
          <w:szCs w:val="23"/>
        </w:rPr>
        <w:lastRenderedPageBreak/>
        <w:t>las actividades y plazos que deberán observar de forma conjunta con los organismos electorales para el desarrollo de sus respectivos procesos electorales.</w:t>
      </w:r>
    </w:p>
    <w:p w:rsidR="000C740F" w:rsidRPr="00604344" w:rsidRDefault="000C740F" w:rsidP="005D7BC5">
      <w:pPr>
        <w:pStyle w:val="Ttulo2"/>
        <w:rPr>
          <w:sz w:val="23"/>
        </w:rPr>
      </w:pPr>
      <w:r w:rsidRPr="00604344">
        <w:rPr>
          <w:sz w:val="23"/>
        </w:rPr>
        <w:t>Calendario electoral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El 29 de septiembre de 2023, el Consejo Estatal aprobó el acuerdo CE/2023/021 relativo al calendario electoral para el Proceso Electoral.</w:t>
      </w:r>
    </w:p>
    <w:p w:rsidR="000C740F" w:rsidRPr="00604344" w:rsidRDefault="000C740F" w:rsidP="005D7BC5">
      <w:pPr>
        <w:pStyle w:val="Ttulo2"/>
        <w:rPr>
          <w:sz w:val="23"/>
        </w:rPr>
      </w:pPr>
      <w:r w:rsidRPr="00604344">
        <w:rPr>
          <w:sz w:val="23"/>
        </w:rPr>
        <w:t xml:space="preserve">Integración de la Comisión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El 5 de octubre de 2023, mediante acuerdo CE/2023/031, el Consejo Estatal determinó la nueva integración de la Comisión, quedando conformada por las Consejeras y el Consejero Electoral: Dra. </w:t>
      </w:r>
      <w:proofErr w:type="spellStart"/>
      <w:r w:rsidRPr="00604344">
        <w:rPr>
          <w:rFonts w:ascii="Arial" w:hAnsi="Arial" w:cs="Arial"/>
          <w:sz w:val="23"/>
          <w:szCs w:val="23"/>
        </w:rPr>
        <w:t>Rosselvy</w:t>
      </w:r>
      <w:proofErr w:type="spellEnd"/>
      <w:r w:rsidRPr="00604344">
        <w:rPr>
          <w:rFonts w:ascii="Arial" w:hAnsi="Arial" w:cs="Arial"/>
          <w:sz w:val="23"/>
          <w:szCs w:val="23"/>
        </w:rPr>
        <w:t xml:space="preserve"> del Carmen Domínguez Arévalo, Licda. María Elvia Magaña Sandoval y Lic. Hernán González Sala, Presidente de esta.</w:t>
      </w:r>
    </w:p>
    <w:p w:rsidR="000C740F" w:rsidRPr="00604344" w:rsidRDefault="000C740F" w:rsidP="005D7BC5">
      <w:pPr>
        <w:pStyle w:val="Ttulo2"/>
        <w:rPr>
          <w:sz w:val="23"/>
        </w:rPr>
      </w:pPr>
      <w:r w:rsidRPr="00604344">
        <w:rPr>
          <w:sz w:val="23"/>
        </w:rPr>
        <w:t>Inicio del Proceso Electoral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0C740F" w:rsidRPr="00604344" w:rsidRDefault="000C740F" w:rsidP="005D7BC5">
      <w:pPr>
        <w:pStyle w:val="Ttulo2"/>
        <w:rPr>
          <w:sz w:val="23"/>
        </w:rPr>
      </w:pPr>
      <w:r w:rsidRPr="00604344">
        <w:rPr>
          <w:sz w:val="23"/>
        </w:rPr>
        <w:t>Sesión de instalación de la Comisión</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rsidR="000C740F" w:rsidRPr="00604344" w:rsidRDefault="000C740F" w:rsidP="005D7BC5">
      <w:pPr>
        <w:pStyle w:val="Ttulo2"/>
        <w:rPr>
          <w:sz w:val="23"/>
        </w:rPr>
      </w:pPr>
      <w:r w:rsidRPr="00604344">
        <w:rPr>
          <w:sz w:val="23"/>
        </w:rPr>
        <w:t>Convocatoria para la renovación del Poder Ejecutivo, Legislativo y los Ayuntamientos</w:t>
      </w:r>
    </w:p>
    <w:p w:rsidR="000C740F"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lastRenderedPageBreak/>
        <w:t>El 20 de octubre de 2023, mediante acuerdo CE/2023/035, el Consejo Estatal expidió la convocatoria para renovar a las y los integrantes de los Poderes Ejecutivo, Legislativo y los Ayuntamientos del Estado, con motivo del Proceso Electoral.</w:t>
      </w:r>
    </w:p>
    <w:p w:rsidR="0040296E" w:rsidRPr="00604344" w:rsidRDefault="0040296E" w:rsidP="005D7BC5">
      <w:pPr>
        <w:spacing w:before="240" w:after="240" w:line="288" w:lineRule="auto"/>
        <w:jc w:val="both"/>
        <w:rPr>
          <w:rFonts w:ascii="Arial" w:hAnsi="Arial" w:cs="Arial"/>
          <w:sz w:val="23"/>
          <w:szCs w:val="23"/>
        </w:rPr>
      </w:pPr>
    </w:p>
    <w:p w:rsidR="000C740F" w:rsidRPr="00604344" w:rsidRDefault="000C740F" w:rsidP="005D7BC5">
      <w:pPr>
        <w:pStyle w:val="Ttulo2"/>
        <w:rPr>
          <w:sz w:val="23"/>
        </w:rPr>
      </w:pPr>
      <w:r w:rsidRPr="00604344">
        <w:rPr>
          <w:sz w:val="23"/>
        </w:rPr>
        <w:t xml:space="preserve">Presentación de la </w:t>
      </w:r>
      <w:r w:rsidR="005D7BC5" w:rsidRPr="00604344">
        <w:rPr>
          <w:sz w:val="23"/>
        </w:rPr>
        <w:t>p</w:t>
      </w:r>
      <w:r w:rsidRPr="00604344">
        <w:rPr>
          <w:sz w:val="23"/>
        </w:rPr>
        <w:t>ropuesta de Manual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El 1 de febrero de 2024, la Secretaria Técnica de la Comisión, mediante oficio COEYEC/ST/04/2024, remitió a la Presidencia del Consejo, la propuesta relativa al Manual, para la deliberación por parte de este Consejo Estatal.</w:t>
      </w:r>
    </w:p>
    <w:p w:rsidR="000C740F" w:rsidRPr="00604344" w:rsidRDefault="000C740F" w:rsidP="005D7BC5">
      <w:pPr>
        <w:pStyle w:val="Ttulo2"/>
        <w:rPr>
          <w:sz w:val="23"/>
        </w:rPr>
      </w:pPr>
      <w:r w:rsidRPr="00604344">
        <w:rPr>
          <w:sz w:val="23"/>
        </w:rPr>
        <w:t>Jornada electoral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0C740F" w:rsidRPr="0040296E" w:rsidRDefault="000C740F" w:rsidP="005D7BC5">
      <w:pPr>
        <w:pStyle w:val="Ttulo1"/>
        <w:rPr>
          <w:sz w:val="24"/>
          <w:szCs w:val="24"/>
        </w:rPr>
      </w:pPr>
      <w:r w:rsidRPr="0040296E">
        <w:rPr>
          <w:sz w:val="24"/>
          <w:szCs w:val="24"/>
        </w:rPr>
        <w:t>Considerando</w:t>
      </w:r>
    </w:p>
    <w:p w:rsidR="000C740F" w:rsidRPr="00604344" w:rsidRDefault="000C740F" w:rsidP="005D7BC5">
      <w:pPr>
        <w:pStyle w:val="Ttulo2"/>
        <w:rPr>
          <w:sz w:val="23"/>
        </w:rPr>
      </w:pPr>
      <w:r w:rsidRPr="00604344">
        <w:rPr>
          <w:sz w:val="23"/>
        </w:rPr>
        <w:t xml:space="preserve">Fines del Instituto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w:t>
      </w:r>
      <w:r w:rsidRPr="00604344">
        <w:rPr>
          <w:rFonts w:ascii="Arial" w:hAnsi="Arial" w:cs="Arial"/>
          <w:sz w:val="23"/>
          <w:szCs w:val="23"/>
        </w:rPr>
        <w:lastRenderedPageBreak/>
        <w:t>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0C740F" w:rsidRPr="00604344" w:rsidRDefault="000C740F" w:rsidP="005D7BC5">
      <w:pPr>
        <w:pStyle w:val="Ttulo2"/>
        <w:rPr>
          <w:sz w:val="23"/>
        </w:rPr>
      </w:pPr>
      <w:r w:rsidRPr="00604344">
        <w:rPr>
          <w:sz w:val="23"/>
        </w:rPr>
        <w:t xml:space="preserve">Órgano Superior de Dirección del Instituto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0C740F" w:rsidRPr="00604344" w:rsidRDefault="000C740F" w:rsidP="005D7BC5">
      <w:pPr>
        <w:pStyle w:val="Ttulo2"/>
        <w:rPr>
          <w:sz w:val="23"/>
        </w:rPr>
      </w:pPr>
      <w:r w:rsidRPr="00604344">
        <w:rPr>
          <w:sz w:val="23"/>
        </w:rPr>
        <w:t>Integración del Órgano de Dirección Superior</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0C740F" w:rsidRPr="00604344" w:rsidRDefault="000C740F" w:rsidP="005D7BC5">
      <w:pPr>
        <w:pStyle w:val="Ttulo2"/>
        <w:rPr>
          <w:sz w:val="23"/>
        </w:rPr>
      </w:pPr>
      <w:r w:rsidRPr="00604344">
        <w:rPr>
          <w:sz w:val="23"/>
        </w:rPr>
        <w:t>Competencia del Consejo Estatal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Que, de conformidad con los artículos 28 numeral 1, 115 numeral 1, fracciones XV, XX, XXI y XXII de la Ley Electoral, el Consejo Estatal es competente para llevar a cabo las actividades necesarias para la preparación de la jornada electoral, así como registrar las candidaturas a Gobernadora o Gobernador del Estado; las listas regionales de candidatas y candidatos a Diputadas y Diputados; así como las de Regidoras y Regidores, ambas de representación proporcional, que presenten los Partidos Políticos </w:t>
      </w:r>
      <w:r w:rsidRPr="00604344">
        <w:rPr>
          <w:rFonts w:ascii="Arial" w:hAnsi="Arial" w:cs="Arial"/>
          <w:sz w:val="23"/>
          <w:szCs w:val="23"/>
        </w:rPr>
        <w:lastRenderedPageBreak/>
        <w:t>o Coaliciones; y, de forma supletoria registrar las candidaturas para Diputadas y Diputados y Regidoras y Regidores por el principio de mayoría relativa.</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Acorde a lo anterior, el numeral 2 del artículo 115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0C740F" w:rsidRPr="00604344" w:rsidRDefault="000C740F" w:rsidP="005D7BC5">
      <w:pPr>
        <w:pStyle w:val="Ttulo2"/>
        <w:rPr>
          <w:sz w:val="23"/>
        </w:rPr>
      </w:pPr>
      <w:r w:rsidRPr="00604344">
        <w:rPr>
          <w:sz w:val="23"/>
        </w:rPr>
        <w:t xml:space="preserve">Órganos distritales o desconcentrados del Instituto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0C740F" w:rsidRPr="00604344" w:rsidRDefault="000C740F" w:rsidP="005D7BC5">
      <w:pPr>
        <w:pStyle w:val="Ttulo2"/>
        <w:rPr>
          <w:sz w:val="23"/>
        </w:rPr>
      </w:pPr>
      <w:r w:rsidRPr="00604344">
        <w:rPr>
          <w:sz w:val="23"/>
        </w:rPr>
        <w:t>Órganos auxiliares del Consejo Estatal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rsidR="000C740F" w:rsidRPr="00604344" w:rsidRDefault="000C740F" w:rsidP="005D7BC5">
      <w:pPr>
        <w:pStyle w:val="Ttulo2"/>
        <w:rPr>
          <w:sz w:val="23"/>
        </w:rPr>
      </w:pPr>
      <w:r w:rsidRPr="00604344">
        <w:rPr>
          <w:sz w:val="23"/>
        </w:rPr>
        <w:t xml:space="preserve">Atribuciones de la Comisión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w:t>
      </w:r>
      <w:r w:rsidR="00A30123" w:rsidRPr="00604344">
        <w:rPr>
          <w:rFonts w:ascii="Arial" w:hAnsi="Arial" w:cs="Arial"/>
          <w:sz w:val="23"/>
          <w:szCs w:val="23"/>
        </w:rPr>
        <w:t xml:space="preserve"> de la interpretación sistemática y funcional de los artículos 38 y 113 numerales 1 y 3 de la Ley Electoral; y 14 numeral 1 fracciones VII y XIII del Reglamento de Comisiones, la Comisión es el órgano auxiliar del Consejo Estatal, que tiene entre otras funciones, la de proponer al Consejo, políticas y programas generales en materia de organización electoral, educación cívica o participación ciudadana; así como la de dar seguimiento a la elaboración de contenidos de los materiales didácticos para la capacitación</w:t>
      </w:r>
      <w:r w:rsidRPr="00604344">
        <w:rPr>
          <w:rFonts w:ascii="Arial" w:hAnsi="Arial" w:cs="Arial"/>
          <w:sz w:val="23"/>
          <w:szCs w:val="23"/>
        </w:rPr>
        <w:t>.</w:t>
      </w:r>
    </w:p>
    <w:p w:rsidR="000C740F" w:rsidRPr="00604344" w:rsidRDefault="000C740F" w:rsidP="005D7BC5">
      <w:pPr>
        <w:pStyle w:val="Ttulo2"/>
        <w:rPr>
          <w:sz w:val="23"/>
        </w:rPr>
      </w:pPr>
      <w:r w:rsidRPr="00604344">
        <w:rPr>
          <w:sz w:val="23"/>
        </w:rPr>
        <w:t>Sistema de información, concepto y objetivo</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w:t>
      </w:r>
      <w:r w:rsidR="005D7BC5" w:rsidRPr="00604344">
        <w:rPr>
          <w:rFonts w:ascii="Arial" w:hAnsi="Arial" w:cs="Arial"/>
          <w:sz w:val="23"/>
          <w:szCs w:val="23"/>
        </w:rPr>
        <w:t>,</w:t>
      </w:r>
      <w:r w:rsidRPr="00604344">
        <w:rPr>
          <w:rFonts w:ascii="Arial" w:hAnsi="Arial" w:cs="Arial"/>
          <w:sz w:val="23"/>
          <w:szCs w:val="23"/>
        </w:rPr>
        <w:t xml:space="preserve"> un sistema de información es un conjunto de componentes que interaccionan entre sí, para alcanzar un fin determinado, el cual es satisfacer las necesidades de información de una organización. Estos componentes pueden ser personas, datos, actividades, o recursos materiales en general, los cuales procesan la información y la distribuyen de manera adecuada, buscando satisfacer las necesidades de la organización; o bien, un conjunto de tecnologías, procesos, aplicaciones y software disponibles para las personas dentro de una organización. El objetivo primordial de un sistema de información es apoyar la toma de decisiones y controlar todo lo que en ella ocurre. </w:t>
      </w:r>
    </w:p>
    <w:p w:rsidR="000C740F" w:rsidRPr="00604344" w:rsidRDefault="000C740F" w:rsidP="005D7BC5">
      <w:pPr>
        <w:pStyle w:val="Ttulo2"/>
        <w:rPr>
          <w:sz w:val="23"/>
        </w:rPr>
      </w:pPr>
      <w:r w:rsidRPr="00604344">
        <w:rPr>
          <w:sz w:val="23"/>
        </w:rPr>
        <w:t>Importancia de los sistemas de i</w:t>
      </w:r>
      <w:r w:rsidR="005D7BC5" w:rsidRPr="00604344">
        <w:rPr>
          <w:sz w:val="23"/>
        </w:rPr>
        <w:t>nformación en materia electoral</w:t>
      </w:r>
    </w:p>
    <w:p w:rsidR="000C740F" w:rsidRPr="00604344" w:rsidRDefault="005D7BC5" w:rsidP="005D7BC5">
      <w:pPr>
        <w:spacing w:before="240" w:after="240" w:line="288" w:lineRule="auto"/>
        <w:jc w:val="both"/>
        <w:rPr>
          <w:rFonts w:ascii="Arial" w:hAnsi="Arial" w:cs="Arial"/>
          <w:sz w:val="23"/>
          <w:szCs w:val="23"/>
        </w:rPr>
      </w:pPr>
      <w:r w:rsidRPr="00604344">
        <w:rPr>
          <w:rFonts w:ascii="Arial" w:hAnsi="Arial" w:cs="Arial"/>
          <w:sz w:val="23"/>
          <w:szCs w:val="23"/>
        </w:rPr>
        <w:t>Que, los procesos electorales</w:t>
      </w:r>
      <w:r w:rsidR="000C740F" w:rsidRPr="00604344">
        <w:rPr>
          <w:rFonts w:ascii="Arial" w:hAnsi="Arial" w:cs="Arial"/>
          <w:sz w:val="23"/>
          <w:szCs w:val="23"/>
        </w:rPr>
        <w:t xml:space="preserve"> constituyen un ejercicio democrático pleno, por el que se materializan de forma indubitable los derechos políticos de la ciudadanía. Además, durante el desarrollo de cada etapa del proceso electoral, un sistema de información se configura como una herramienta que aporta una cantidad significativa de datos, que permite a los organismos electorales analizar los elementos sociales necesarios para la creación de políticas públicas encaminadas a los cumplimientos de sus objetivos, así como la evaluación y mejoramiento de los procedimientos electorales.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Para el manejo o disposición de esta información, se requiere del uso de un sistema de información, entendido como el conjunto ordenado de mecanismos que tiene como fin la determinación de datos e información de manera que puedan ser procesados y recuperados fácilmente.</w:t>
      </w:r>
    </w:p>
    <w:p w:rsidR="000C740F" w:rsidRPr="00604344" w:rsidRDefault="000C740F" w:rsidP="005D7BC5">
      <w:pPr>
        <w:pStyle w:val="Ttulo2"/>
        <w:rPr>
          <w:sz w:val="23"/>
        </w:rPr>
      </w:pPr>
      <w:r w:rsidRPr="00604344">
        <w:rPr>
          <w:sz w:val="23"/>
        </w:rPr>
        <w:t>SIEE</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Que, la UNITIC ha desarrollado el SIEE, cuya operación y desarrollo, corresponde a la propia unidad, como una herramienta informática que permite el registro y consulta de la información relacionada con los </w:t>
      </w:r>
      <w:r w:rsidR="005D7BC5" w:rsidRPr="00604344">
        <w:rPr>
          <w:rFonts w:ascii="Arial" w:hAnsi="Arial" w:cs="Arial"/>
          <w:sz w:val="23"/>
          <w:szCs w:val="23"/>
        </w:rPr>
        <w:t xml:space="preserve">procesos electorales </w:t>
      </w:r>
      <w:r w:rsidRPr="00604344">
        <w:rPr>
          <w:rFonts w:ascii="Arial" w:hAnsi="Arial" w:cs="Arial"/>
          <w:sz w:val="23"/>
          <w:szCs w:val="23"/>
        </w:rPr>
        <w:t>y los resultados que se obtengan durante de cada una de sus etapas. Lo anterior, constituye un método ágil y eficiente que le permite al Consejo Estatal, a las áreas ejecutivas y técnicas, tomar decisiones de forma oportuna y a su vez, dar un seguimiento constante al desarrollo de cada etapa desarrollada dentro del Proceso Electoral correspondiente; lo que además permite, un análisis y evaluación posterior de los procedimientos y sus resultados, por ende, sus mejoras en las subsecuentes elecciones.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El SIEE cuenta con una base de datos integrada por la información derivada de los órganos centrales, direcciones ejecutivas y órganos desconcentrados del Instituto, cuyo uso está limitado exclusivamente a las y los integrantes del Órgano de Dirección Superior y a las </w:t>
      </w:r>
      <w:r w:rsidR="005D7BC5" w:rsidRPr="00604344">
        <w:rPr>
          <w:rFonts w:ascii="Arial" w:hAnsi="Arial" w:cs="Arial"/>
          <w:sz w:val="23"/>
          <w:szCs w:val="23"/>
        </w:rPr>
        <w:t xml:space="preserve">personas </w:t>
      </w:r>
      <w:r w:rsidRPr="00604344">
        <w:rPr>
          <w:rFonts w:ascii="Arial" w:hAnsi="Arial" w:cs="Arial"/>
          <w:sz w:val="23"/>
          <w:szCs w:val="23"/>
        </w:rPr>
        <w:t xml:space="preserve">titulares de las áreas </w:t>
      </w:r>
      <w:r w:rsidR="005D7BC5" w:rsidRPr="00604344">
        <w:rPr>
          <w:rFonts w:ascii="Arial" w:hAnsi="Arial" w:cs="Arial"/>
          <w:sz w:val="23"/>
          <w:szCs w:val="23"/>
        </w:rPr>
        <w:t xml:space="preserve">ejecutivas </w:t>
      </w:r>
      <w:r w:rsidRPr="00604344">
        <w:rPr>
          <w:rFonts w:ascii="Arial" w:hAnsi="Arial" w:cs="Arial"/>
          <w:sz w:val="23"/>
          <w:szCs w:val="23"/>
        </w:rPr>
        <w:t xml:space="preserve">y </w:t>
      </w:r>
      <w:r w:rsidR="005D7BC5" w:rsidRPr="00604344">
        <w:rPr>
          <w:rFonts w:ascii="Arial" w:hAnsi="Arial" w:cs="Arial"/>
          <w:sz w:val="23"/>
          <w:szCs w:val="23"/>
        </w:rPr>
        <w:t>técnicas</w:t>
      </w:r>
      <w:r w:rsidRPr="00604344">
        <w:rPr>
          <w:rFonts w:ascii="Arial" w:hAnsi="Arial" w:cs="Arial"/>
          <w:sz w:val="23"/>
          <w:szCs w:val="23"/>
        </w:rPr>
        <w:t>, previamente autorizad</w:t>
      </w:r>
      <w:r w:rsidR="005D7BC5" w:rsidRPr="00604344">
        <w:rPr>
          <w:rFonts w:ascii="Arial" w:hAnsi="Arial" w:cs="Arial"/>
          <w:sz w:val="23"/>
          <w:szCs w:val="23"/>
        </w:rPr>
        <w:t>a</w:t>
      </w:r>
      <w:r w:rsidRPr="00604344">
        <w:rPr>
          <w:rFonts w:ascii="Arial" w:hAnsi="Arial" w:cs="Arial"/>
          <w:sz w:val="23"/>
          <w:szCs w:val="23"/>
        </w:rPr>
        <w:t>s, sin posibilidad de transferir información a terceros.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Como se planteó desde su creación, el </w:t>
      </w:r>
      <w:r w:rsidR="005D7BC5" w:rsidRPr="00604344">
        <w:rPr>
          <w:rFonts w:ascii="Arial" w:hAnsi="Arial" w:cs="Arial"/>
          <w:sz w:val="23"/>
          <w:szCs w:val="23"/>
        </w:rPr>
        <w:t xml:space="preserve">SIEE </w:t>
      </w:r>
      <w:r w:rsidRPr="00604344">
        <w:rPr>
          <w:rFonts w:ascii="Arial" w:hAnsi="Arial" w:cs="Arial"/>
          <w:sz w:val="23"/>
          <w:szCs w:val="23"/>
        </w:rPr>
        <w:t>preserva la integridad de los datos almacenados y se encuentra sujeta a un monitoreo permanente, no sólo como medida de seguridad y protección de la información, sino para prevenir daños o pérdidas de información.</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 xml:space="preserve">Para este Proceso Electoral, el SIEE actualizó su funcionalidad, con el objeto de brindar apoyo en el procesamiento de la información relacionada con </w:t>
      </w:r>
      <w:r w:rsidR="005D7BC5" w:rsidRPr="00604344">
        <w:rPr>
          <w:rFonts w:ascii="Arial" w:hAnsi="Arial" w:cs="Arial"/>
          <w:sz w:val="23"/>
          <w:szCs w:val="23"/>
        </w:rPr>
        <w:t xml:space="preserve">éste, </w:t>
      </w:r>
      <w:r w:rsidRPr="00604344">
        <w:rPr>
          <w:rFonts w:ascii="Arial" w:hAnsi="Arial" w:cs="Arial"/>
          <w:sz w:val="23"/>
          <w:szCs w:val="23"/>
        </w:rPr>
        <w:t>mediante el desarrollo de módulos y reportes. A continuación, se describe dicho sistema informático.</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El SIEE está basado en un portal web y una base de datos, que permite el acceso a la información antes, durante y después del Proceso Electoral. Dicho acceso es mediante un esquema de cliente-servidor. El cliente es la PC del usuario ejecutando la aplicación Web SIEE desde cualquier navegador el usuario ingresará el siguiente enlace https://siee.iepct.mx, el cual permitirá la consulta y en su caso actualizar las bases de datos. La base está en un servidor ubicado en las oficinas centrales del Instituto.</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Para ingresar al SIEE se requiere de un usuario y contraseña las cuales serán proporcionadas por el área de sistemas de la UNITIC. Los trámites para creación de cuentas y permisos, deberán solicitarse a través del correo electrónico sistemas@iepct.mx, adjuntando una copia de su credencial para votar. Una vez creada la cuenta, la o el usuario tendrá acceso a los módulos del sistema, así como a los reportes que tenga autorizados.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Los partidos políticos y en su caso las candidaturas independientes, podrán acceder al SIEE a través de cualquier equipo de cómputo que esté conectado a una red de internet; para ello, tendrán acceso previamente autorizado al sistema, lo que les permitirá acceder al o los módulos y llevar a cabo las actividades correspondientes, según los roles y permisos que tengan asignados.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Finalmente, es de reiterar que, aquella información personal o sensible contenida en el SIEE está sujeta a las restricciones que establecen las leyes en materia de transparencia y protección de datos personales.</w:t>
      </w:r>
    </w:p>
    <w:p w:rsidR="000C740F" w:rsidRPr="00604344" w:rsidRDefault="000C740F" w:rsidP="005D7BC5">
      <w:pPr>
        <w:pStyle w:val="Ttulo2"/>
        <w:rPr>
          <w:sz w:val="23"/>
        </w:rPr>
      </w:pPr>
      <w:r w:rsidRPr="00604344">
        <w:rPr>
          <w:sz w:val="23"/>
        </w:rPr>
        <w:t>Implementación del SIEE</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como ya se ha citado, dentro de las actividades necesarias para el desarrollo de los procesos electorales 2017-2018 y 2020-2021, el Instituto</w:t>
      </w:r>
      <w:r w:rsidR="005D7BC5" w:rsidRPr="00604344">
        <w:rPr>
          <w:rFonts w:ascii="Arial" w:hAnsi="Arial" w:cs="Arial"/>
          <w:sz w:val="23"/>
          <w:szCs w:val="23"/>
        </w:rPr>
        <w:t xml:space="preserve"> llevó </w:t>
      </w:r>
      <w:r w:rsidRPr="00604344">
        <w:rPr>
          <w:rFonts w:ascii="Arial" w:hAnsi="Arial" w:cs="Arial"/>
          <w:sz w:val="23"/>
          <w:szCs w:val="23"/>
        </w:rPr>
        <w:t xml:space="preserve">a cabo la aprobación e implementación del SIEE, a través del cual, </w:t>
      </w:r>
      <w:r w:rsidR="005D7BC5" w:rsidRPr="00604344">
        <w:rPr>
          <w:rFonts w:ascii="Arial" w:hAnsi="Arial" w:cs="Arial"/>
          <w:sz w:val="23"/>
          <w:szCs w:val="23"/>
        </w:rPr>
        <w:t>las juntas electorales distritales</w:t>
      </w:r>
      <w:r w:rsidRPr="00604344">
        <w:rPr>
          <w:rFonts w:ascii="Arial" w:hAnsi="Arial" w:cs="Arial"/>
          <w:sz w:val="23"/>
          <w:szCs w:val="23"/>
        </w:rPr>
        <w:t xml:space="preserve">, así como el propio Consejo Estatal, </w:t>
      </w:r>
      <w:r w:rsidR="005D7BC5" w:rsidRPr="00604344">
        <w:rPr>
          <w:rFonts w:ascii="Arial" w:hAnsi="Arial" w:cs="Arial"/>
          <w:sz w:val="23"/>
          <w:szCs w:val="23"/>
        </w:rPr>
        <w:t xml:space="preserve">capturaron </w:t>
      </w:r>
      <w:r w:rsidRPr="00604344">
        <w:rPr>
          <w:rFonts w:ascii="Arial" w:hAnsi="Arial" w:cs="Arial"/>
          <w:sz w:val="23"/>
          <w:szCs w:val="23"/>
        </w:rPr>
        <w:t xml:space="preserve">y </w:t>
      </w:r>
      <w:r w:rsidR="005D7BC5" w:rsidRPr="00604344">
        <w:rPr>
          <w:rFonts w:ascii="Arial" w:hAnsi="Arial" w:cs="Arial"/>
          <w:sz w:val="23"/>
          <w:szCs w:val="23"/>
        </w:rPr>
        <w:t xml:space="preserve">concentraron </w:t>
      </w:r>
      <w:r w:rsidRPr="00604344">
        <w:rPr>
          <w:rFonts w:ascii="Arial" w:hAnsi="Arial" w:cs="Arial"/>
          <w:sz w:val="23"/>
          <w:szCs w:val="23"/>
        </w:rPr>
        <w:t xml:space="preserve">la información inherente a los procesos electorales </w:t>
      </w:r>
      <w:r w:rsidR="005D7BC5" w:rsidRPr="00604344">
        <w:rPr>
          <w:rFonts w:ascii="Arial" w:hAnsi="Arial" w:cs="Arial"/>
          <w:sz w:val="23"/>
          <w:szCs w:val="23"/>
        </w:rPr>
        <w:t>mencionados, entre ella,</w:t>
      </w:r>
      <w:r w:rsidRPr="00604344">
        <w:rPr>
          <w:rFonts w:ascii="Arial" w:hAnsi="Arial" w:cs="Arial"/>
          <w:sz w:val="23"/>
          <w:szCs w:val="23"/>
        </w:rPr>
        <w:t xml:space="preserve"> la</w:t>
      </w:r>
      <w:r w:rsidR="005D7BC5" w:rsidRPr="00604344">
        <w:rPr>
          <w:rFonts w:ascii="Arial" w:hAnsi="Arial" w:cs="Arial"/>
          <w:sz w:val="23"/>
          <w:szCs w:val="23"/>
        </w:rPr>
        <w:t xml:space="preserve"> correspondiente</w:t>
      </w:r>
      <w:r w:rsidRPr="00604344">
        <w:rPr>
          <w:rFonts w:ascii="Arial" w:hAnsi="Arial" w:cs="Arial"/>
          <w:sz w:val="23"/>
          <w:szCs w:val="23"/>
        </w:rPr>
        <w:t xml:space="preserve"> a los registros de las candidaturas a la </w:t>
      </w:r>
      <w:r w:rsidR="005D7BC5" w:rsidRPr="00604344">
        <w:rPr>
          <w:rFonts w:ascii="Arial" w:hAnsi="Arial" w:cs="Arial"/>
          <w:sz w:val="23"/>
          <w:szCs w:val="23"/>
        </w:rPr>
        <w:t>G</w:t>
      </w:r>
      <w:r w:rsidRPr="00604344">
        <w:rPr>
          <w:rFonts w:ascii="Arial" w:hAnsi="Arial" w:cs="Arial"/>
          <w:sz w:val="23"/>
          <w:szCs w:val="23"/>
        </w:rPr>
        <w:t xml:space="preserve">ubernatura, </w:t>
      </w:r>
      <w:r w:rsidR="005D7BC5" w:rsidRPr="00604344">
        <w:rPr>
          <w:rFonts w:ascii="Arial" w:hAnsi="Arial" w:cs="Arial"/>
          <w:sz w:val="23"/>
          <w:szCs w:val="23"/>
        </w:rPr>
        <w:t>D</w:t>
      </w:r>
      <w:r w:rsidRPr="00604344">
        <w:rPr>
          <w:rFonts w:ascii="Arial" w:hAnsi="Arial" w:cs="Arial"/>
          <w:sz w:val="23"/>
          <w:szCs w:val="23"/>
        </w:rPr>
        <w:t>iputaciones</w:t>
      </w:r>
      <w:r w:rsidR="005D7BC5" w:rsidRPr="00604344">
        <w:rPr>
          <w:rFonts w:ascii="Arial" w:hAnsi="Arial" w:cs="Arial"/>
          <w:sz w:val="23"/>
          <w:szCs w:val="23"/>
        </w:rPr>
        <w:t>,</w:t>
      </w:r>
      <w:r w:rsidRPr="00604344">
        <w:rPr>
          <w:rFonts w:ascii="Arial" w:hAnsi="Arial" w:cs="Arial"/>
          <w:sz w:val="23"/>
          <w:szCs w:val="23"/>
        </w:rPr>
        <w:t xml:space="preserve"> </w:t>
      </w:r>
      <w:r w:rsidR="005D7BC5" w:rsidRPr="00604344">
        <w:rPr>
          <w:rFonts w:ascii="Arial" w:hAnsi="Arial" w:cs="Arial"/>
          <w:sz w:val="23"/>
          <w:szCs w:val="23"/>
        </w:rPr>
        <w:t>P</w:t>
      </w:r>
      <w:r w:rsidRPr="00604344">
        <w:rPr>
          <w:rFonts w:ascii="Arial" w:hAnsi="Arial" w:cs="Arial"/>
          <w:sz w:val="23"/>
          <w:szCs w:val="23"/>
        </w:rPr>
        <w:t xml:space="preserve">residencias </w:t>
      </w:r>
      <w:r w:rsidR="005D7BC5" w:rsidRPr="00604344">
        <w:rPr>
          <w:rFonts w:ascii="Arial" w:hAnsi="Arial" w:cs="Arial"/>
          <w:sz w:val="23"/>
          <w:szCs w:val="23"/>
        </w:rPr>
        <w:t>M</w:t>
      </w:r>
      <w:r w:rsidRPr="00604344">
        <w:rPr>
          <w:rFonts w:ascii="Arial" w:hAnsi="Arial" w:cs="Arial"/>
          <w:sz w:val="23"/>
          <w:szCs w:val="23"/>
        </w:rPr>
        <w:t xml:space="preserve">unicipales y </w:t>
      </w:r>
      <w:r w:rsidR="005D7BC5" w:rsidRPr="00604344">
        <w:rPr>
          <w:rFonts w:ascii="Arial" w:hAnsi="Arial" w:cs="Arial"/>
          <w:sz w:val="23"/>
          <w:szCs w:val="23"/>
        </w:rPr>
        <w:t>R</w:t>
      </w:r>
      <w:r w:rsidRPr="00604344">
        <w:rPr>
          <w:rFonts w:ascii="Arial" w:hAnsi="Arial" w:cs="Arial"/>
          <w:sz w:val="23"/>
          <w:szCs w:val="23"/>
        </w:rPr>
        <w:t xml:space="preserve">egidurías en dicho sistema informático, como herramienta de trabajo interno, en apoyo de las Tecnologías de la Información y las Comunicaciones (TIC) del Instituto.   </w:t>
      </w:r>
    </w:p>
    <w:p w:rsidR="005D7BC5" w:rsidRPr="00604344" w:rsidRDefault="005D7BC5" w:rsidP="005D7BC5">
      <w:pPr>
        <w:pStyle w:val="Ttulo2"/>
        <w:rPr>
          <w:sz w:val="23"/>
        </w:rPr>
      </w:pPr>
      <w:r w:rsidRPr="00604344">
        <w:rPr>
          <w:sz w:val="23"/>
        </w:rPr>
        <w:t xml:space="preserve">Sistema Nacional de Registro de Precandidatos y Candidatos </w:t>
      </w:r>
    </w:p>
    <w:p w:rsidR="005D7BC5" w:rsidRPr="00604344" w:rsidRDefault="005D7BC5" w:rsidP="005D7BC5">
      <w:pPr>
        <w:spacing w:before="240" w:after="240" w:line="288" w:lineRule="auto"/>
        <w:jc w:val="both"/>
        <w:rPr>
          <w:rFonts w:ascii="Arial" w:hAnsi="Arial" w:cs="Arial"/>
          <w:sz w:val="23"/>
          <w:szCs w:val="23"/>
        </w:rPr>
      </w:pPr>
      <w:r w:rsidRPr="00604344">
        <w:rPr>
          <w:rFonts w:ascii="Arial" w:hAnsi="Arial" w:cs="Arial"/>
          <w:sz w:val="23"/>
          <w:szCs w:val="23"/>
        </w:rPr>
        <w:t>Que, de conformidad a los dispuesto en el artículo 270, numeral 1 del Reglamento de Elecciones, los datos relativos a precandidaturas, candidaturas, aspirantes a candidaturas independientes y candidaturas independientes, tanto en elecciones federales como locales deberán capturarse en el Sistema Nacional de Registro (SNR) implementado por el INE, el cual constituye un medio que permite unificar los procedimientos de captura de datos</w:t>
      </w:r>
      <w:r w:rsidR="00A30123" w:rsidRPr="00604344">
        <w:rPr>
          <w:sz w:val="23"/>
          <w:szCs w:val="23"/>
        </w:rPr>
        <w:t xml:space="preserve"> </w:t>
      </w:r>
      <w:r w:rsidR="00A30123" w:rsidRPr="00604344">
        <w:rPr>
          <w:rFonts w:ascii="Arial" w:hAnsi="Arial" w:cs="Arial"/>
          <w:sz w:val="23"/>
          <w:szCs w:val="23"/>
        </w:rPr>
        <w:t xml:space="preserve">y de registro de candidaturas, candidaturas independientes, precandidaturas y personas aspirantes a candidaturas independientes. </w:t>
      </w:r>
    </w:p>
    <w:p w:rsidR="000C740F" w:rsidRPr="00604344" w:rsidRDefault="000C740F" w:rsidP="005D7BC5">
      <w:pPr>
        <w:pStyle w:val="Ttulo2"/>
        <w:rPr>
          <w:sz w:val="23"/>
        </w:rPr>
      </w:pPr>
      <w:r w:rsidRPr="00604344">
        <w:rPr>
          <w:sz w:val="23"/>
        </w:rPr>
        <w:t>Unidad de Tecnologías de la Información y Comunicación</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dentro de la estructura organizacional del Instituto, se encuentra la UNITIC, que tiene a su cargo entre otras funciones las relativas a la administración del SIEE, herramienta fundamental que ya se encuentra en uso y que se constituye como un factor de apoyo fundamental en las actividades de las diversas áreas que conforman este órgano electoral, pues a través del mismo se puede almacenar, transmitir, recibir y compartir información audiovisuales e informáticas entre las diversas áreas del Instituto.</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No obstante, dada la actual carga de actividades que se llevan a cabo inherentes al Proceso Electoral, se hace nece</w:t>
      </w:r>
      <w:r w:rsidR="005D7BC5" w:rsidRPr="00604344">
        <w:rPr>
          <w:rFonts w:ascii="Arial" w:hAnsi="Arial" w:cs="Arial"/>
          <w:sz w:val="23"/>
          <w:szCs w:val="23"/>
        </w:rPr>
        <w:t>sario la implementación de medi</w:t>
      </w:r>
      <w:r w:rsidRPr="00604344">
        <w:rPr>
          <w:rFonts w:ascii="Arial" w:hAnsi="Arial" w:cs="Arial"/>
          <w:sz w:val="23"/>
          <w:szCs w:val="23"/>
        </w:rPr>
        <w:t>das y estrategias con horizonte de mejora continua, a través de procesos ágiles que coadyuven en cuanto a eficiencia, eficacia prontitud y a la vez faciliten las tareas que desempeñan las diversas unidades administrativas que conforman este Instituto electoral.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En ese sentido, corresponde a la UNITIC el desarrollo, implementación supervisión y mejora continua de los sistemas informáticos con los que cuenta este Instituto, a fin de adecuar los procesos administrativos a la sistematización que las nuevas tecnologías permiten, con el fin de elevar los estándares de productividad en las funciones propias de este instituto, además de establecer un medio de comunicación permanente entre las distintas áreas tanto a nivel central como distrital.</w:t>
      </w:r>
    </w:p>
    <w:p w:rsidR="000C740F" w:rsidRPr="00604344" w:rsidRDefault="000C740F" w:rsidP="005D7BC5">
      <w:pPr>
        <w:pStyle w:val="Ttulo2"/>
        <w:rPr>
          <w:sz w:val="23"/>
        </w:rPr>
      </w:pPr>
      <w:r w:rsidRPr="00604344">
        <w:rPr>
          <w:sz w:val="23"/>
        </w:rPr>
        <w:t>Registro de candidaturas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de acuerdo con lo establecido en el Calendario Electoral aprobado por este Consejo Estatal mediante acuerdo CE/2023/021, el período para el registro de candidaturas a los diversos cargos de elección popular con motivo del Proceso Electoral, es el comprendido del 3 al 12 de marzo de 2024.</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Lo anterior, en cumplimiento a lo dispuesto en el artículo 188 numeral 1, fracción I de la Ley Electoral, que establece que en el año en que se renueven el titular del Poder Ejecutivo Estatal, el Congreso del Estado y los ayuntamientos, el período de registro para todos los cargos comenzará noventa y un días antes de la jornada electoral y durará diez días, efectuándose ante los siguientes órganos:</w:t>
      </w:r>
    </w:p>
    <w:p w:rsidR="000C740F" w:rsidRPr="00604344" w:rsidRDefault="000C740F" w:rsidP="005D7BC5">
      <w:pPr>
        <w:pStyle w:val="Prrafodelista"/>
        <w:numPr>
          <w:ilvl w:val="0"/>
          <w:numId w:val="4"/>
        </w:numPr>
        <w:spacing w:before="240" w:after="240" w:line="288" w:lineRule="auto"/>
        <w:ind w:left="1060" w:hanging="703"/>
        <w:contextualSpacing w:val="0"/>
        <w:jc w:val="both"/>
        <w:rPr>
          <w:rFonts w:ascii="Arial" w:hAnsi="Arial" w:cs="Arial"/>
          <w:sz w:val="23"/>
          <w:szCs w:val="23"/>
        </w:rPr>
      </w:pPr>
      <w:r w:rsidRPr="00604344">
        <w:rPr>
          <w:rFonts w:ascii="Arial" w:hAnsi="Arial" w:cs="Arial"/>
          <w:sz w:val="23"/>
          <w:szCs w:val="23"/>
        </w:rPr>
        <w:t xml:space="preserve">A Gobernador, Diputaciones y Regidurías por el principio de representación proporcional, ante el Consejo Estatal; y </w:t>
      </w:r>
    </w:p>
    <w:p w:rsidR="000C740F" w:rsidRPr="00604344" w:rsidRDefault="000C740F" w:rsidP="005D7BC5">
      <w:pPr>
        <w:pStyle w:val="Prrafodelista"/>
        <w:numPr>
          <w:ilvl w:val="0"/>
          <w:numId w:val="4"/>
        </w:numPr>
        <w:spacing w:before="240" w:after="240" w:line="288" w:lineRule="auto"/>
        <w:ind w:left="1060" w:hanging="703"/>
        <w:contextualSpacing w:val="0"/>
        <w:jc w:val="both"/>
        <w:rPr>
          <w:rFonts w:ascii="Arial" w:hAnsi="Arial" w:cs="Arial"/>
          <w:sz w:val="23"/>
          <w:szCs w:val="23"/>
        </w:rPr>
      </w:pPr>
      <w:r w:rsidRPr="00604344">
        <w:rPr>
          <w:rFonts w:ascii="Arial" w:hAnsi="Arial" w:cs="Arial"/>
          <w:sz w:val="23"/>
          <w:szCs w:val="23"/>
        </w:rPr>
        <w:t>Diputaciones y Regidurías por el principio de mayoría relativa, ante los Consejos Electorales Distritales respectivos.</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Además, conforme lo dispone el artículo 188 numeral 4 de la Ley Electoral, en el caso de que los partidos políticos decidan registrar ante el Consejo Estatal, de manera supletoria, a alguna o a la totalidad de las candidaturas a diputaciones o regidurías por el principio de mayoría relativa, deberán hacerlo a más tardar tres días antes de que venzan los plazos a que se refiere el propio artículo.</w:t>
      </w:r>
    </w:p>
    <w:p w:rsidR="000C740F" w:rsidRPr="00604344" w:rsidRDefault="000C740F" w:rsidP="005D7BC5">
      <w:pPr>
        <w:pStyle w:val="Ttulo2"/>
        <w:rPr>
          <w:sz w:val="23"/>
        </w:rPr>
      </w:pPr>
      <w:r w:rsidRPr="00604344">
        <w:rPr>
          <w:sz w:val="23"/>
        </w:rPr>
        <w:t xml:space="preserve">Propuesta de Manual </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Que, las Comisiones Unidas con base en las atribuciones que le son conferidas en los artículos 14 y 19 del Reglamento de Comisiones, realizaron en conjunto con la DOEEC y UNITIC los trabajos previos relativos a elaborar el Manual de Usuario, el cual recoge las opiniones, razonamientos, argumentos y experiencia de cada uno de sus integrantes, y tienen por objeto brindar a los partidos políticos, y en su caso, candidaturas independientes una herramienta informática sistematizada que facilite y aligere el procedimiento de registro de candidaturas en el presente proceso electoral.</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En ese contexto, si bien el Manual propuesto fue aprobado por la Comisión, el producto es resultado del trabajo coordinado y colaborativo de las Comisiones Unidas con el apoyo técnico del personal que integran la Coordinación de Prerrogativas y Partidos Políticos de la DOEEC, de las Unidades de Igualdad de Género y No Discriminación y de Tecnologías de la Información y Comunicación del Instituto; bajo esas consideraciones, el 29 de enero del 2024, la Comisión celebró reunión de trabajo con sus integrantes; en la cual se socializó el Manual para el registro de candidaturas a cargos de elección popular con motivo del Proceso Electoral Local Ordinario 2023-2024, acordándose que, para fines técnicos y prácticos de las personas que llevarán a cabo los registros de candidaturas, contarían con un Manual de Usuario, el cual sería una herramienta indispensable técnica y de operación, en la cual se describirán paso a paso, la operación del módulo de registros de candidaturas en el SIEE, que permita llevar a cabo dicha actividad de manera eficiente y eficaz, por lo que, se instruyó a la UNITIC, el diseño y elaboración de los contenidos técnicos del Manual propuesto.</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Posteriormente, el jueves 01 de febrero del 2024, previa a la celebración de la sesión extraordinaria de la Comisión, se llevó a cabo una segunda reunión de trabajo, en la cual, sus integrantes realizaron observaciones y disiparon dudas en relación al contenido de Manual, mismas que fueron atendidas puntualmente.</w:t>
      </w:r>
    </w:p>
    <w:p w:rsidR="000C740F" w:rsidRPr="00604344" w:rsidRDefault="000C740F" w:rsidP="005D7BC5">
      <w:pPr>
        <w:spacing w:before="240" w:after="240" w:line="288" w:lineRule="auto"/>
        <w:jc w:val="both"/>
        <w:rPr>
          <w:rFonts w:ascii="Arial" w:hAnsi="Arial" w:cs="Arial"/>
          <w:sz w:val="23"/>
          <w:szCs w:val="23"/>
        </w:rPr>
      </w:pPr>
      <w:r w:rsidRPr="00604344">
        <w:rPr>
          <w:rFonts w:ascii="Arial" w:hAnsi="Arial" w:cs="Arial"/>
          <w:sz w:val="23"/>
          <w:szCs w:val="23"/>
        </w:rPr>
        <w:t>Por lo anterior, se reitera que los trabajos que llevan a cabo las comisiones unidas, en cuanto a la elaboración del Manual de Usuario, son complementarias y en la especie estaríamos hablando de un trabajo colaborativo de comisiones unidas, eficaz para el cumplimiento de las finalidades del Instituto.</w:t>
      </w:r>
    </w:p>
    <w:p w:rsidR="005D7BC5" w:rsidRPr="00604344" w:rsidRDefault="005D7BC5" w:rsidP="005D7BC5">
      <w:pPr>
        <w:spacing w:line="288" w:lineRule="auto"/>
        <w:jc w:val="both"/>
        <w:rPr>
          <w:rFonts w:ascii="Arial" w:hAnsi="Arial" w:cs="Arial"/>
          <w:sz w:val="23"/>
          <w:szCs w:val="23"/>
        </w:rPr>
      </w:pPr>
      <w:r w:rsidRPr="00604344">
        <w:rPr>
          <w:rFonts w:ascii="Arial" w:hAnsi="Arial" w:cs="Arial"/>
          <w:sz w:val="23"/>
          <w:szCs w:val="23"/>
        </w:rPr>
        <w:t>Sobre la base de las consideraciones señaladas, este Consejo Estatal emite el siguiente:</w:t>
      </w:r>
    </w:p>
    <w:p w:rsidR="005D7BC5" w:rsidRPr="0040296E" w:rsidRDefault="005D7BC5" w:rsidP="005D7BC5">
      <w:pPr>
        <w:pStyle w:val="Ttulo1"/>
        <w:rPr>
          <w:sz w:val="24"/>
          <w:szCs w:val="24"/>
        </w:rPr>
      </w:pPr>
      <w:r w:rsidRPr="0040296E">
        <w:rPr>
          <w:sz w:val="24"/>
          <w:szCs w:val="24"/>
        </w:rPr>
        <w:t>Acuerdo</w:t>
      </w:r>
    </w:p>
    <w:p w:rsidR="005D7BC5" w:rsidRPr="00604344" w:rsidRDefault="005D7BC5" w:rsidP="005D7BC5">
      <w:pPr>
        <w:spacing w:before="240" w:after="240" w:line="288" w:lineRule="auto"/>
        <w:jc w:val="both"/>
        <w:rPr>
          <w:rFonts w:ascii="Arial" w:hAnsi="Arial" w:cs="Arial"/>
          <w:sz w:val="23"/>
          <w:szCs w:val="23"/>
        </w:rPr>
      </w:pPr>
      <w:r w:rsidRPr="00604344">
        <w:rPr>
          <w:rFonts w:ascii="Arial" w:hAnsi="Arial" w:cs="Arial"/>
          <w:b/>
          <w:sz w:val="23"/>
          <w:szCs w:val="23"/>
        </w:rPr>
        <w:t>Primero.</w:t>
      </w:r>
      <w:r w:rsidRPr="00604344">
        <w:rPr>
          <w:rFonts w:ascii="Arial" w:hAnsi="Arial" w:cs="Arial"/>
          <w:sz w:val="23"/>
          <w:szCs w:val="23"/>
        </w:rPr>
        <w:t xml:space="preserve"> Se aprueba el </w:t>
      </w:r>
      <w:r w:rsidR="00122584" w:rsidRPr="00604344">
        <w:rPr>
          <w:rFonts w:ascii="Arial" w:hAnsi="Arial" w:cs="Arial"/>
          <w:sz w:val="23"/>
          <w:szCs w:val="23"/>
        </w:rPr>
        <w:t xml:space="preserve">manual de usuario </w:t>
      </w:r>
      <w:r w:rsidRPr="00604344">
        <w:rPr>
          <w:rFonts w:ascii="Arial" w:hAnsi="Arial" w:cs="Arial"/>
          <w:sz w:val="23"/>
          <w:szCs w:val="23"/>
        </w:rPr>
        <w:t>del módulo de registro de candidaturas cargos de elección popular en el Sistema de Información Estatal Electoral (SIEE), con motivo del Proceso Electoral Local Ordinario 2023-2024</w:t>
      </w:r>
      <w:r w:rsidR="00122584" w:rsidRPr="00604344">
        <w:rPr>
          <w:rFonts w:ascii="Arial" w:hAnsi="Arial" w:cs="Arial"/>
          <w:sz w:val="23"/>
          <w:szCs w:val="23"/>
        </w:rPr>
        <w:t>,</w:t>
      </w:r>
      <w:r w:rsidRPr="00604344">
        <w:rPr>
          <w:rFonts w:ascii="Arial" w:hAnsi="Arial" w:cs="Arial"/>
          <w:sz w:val="23"/>
          <w:szCs w:val="23"/>
        </w:rPr>
        <w:t xml:space="preserve"> que forma parte integral del presente acuerdo como anexo 1.</w:t>
      </w:r>
    </w:p>
    <w:p w:rsidR="005D7BC5" w:rsidRPr="00604344" w:rsidRDefault="005D7BC5" w:rsidP="005D7BC5">
      <w:pPr>
        <w:spacing w:before="240" w:after="240" w:line="288" w:lineRule="auto"/>
        <w:jc w:val="both"/>
        <w:rPr>
          <w:rFonts w:ascii="Arial" w:hAnsi="Arial" w:cs="Arial"/>
          <w:sz w:val="23"/>
          <w:szCs w:val="23"/>
        </w:rPr>
      </w:pPr>
      <w:r w:rsidRPr="00604344">
        <w:rPr>
          <w:rFonts w:ascii="Arial" w:hAnsi="Arial" w:cs="Arial"/>
          <w:b/>
          <w:sz w:val="23"/>
          <w:szCs w:val="23"/>
        </w:rPr>
        <w:t>Segundo.</w:t>
      </w:r>
      <w:r w:rsidRPr="00604344">
        <w:rPr>
          <w:rFonts w:ascii="Arial" w:hAnsi="Arial" w:cs="Arial"/>
          <w:sz w:val="23"/>
          <w:szCs w:val="23"/>
        </w:rPr>
        <w:t xml:space="preserve"> Se instruye a la Dirección de Organización Electoral y Educación Cívica de este Instituto, para qué, a través de la Coordinación de Prerrogativas y Partidos Políticos difunda entre los partidos políticos y en su caso candidaturas independientes, así como a las organizaciones de ciudadanos que lo soliciten, el contenido del Manual aprobado y proporcionen la asesoría y orientación que se les requiera.</w:t>
      </w:r>
    </w:p>
    <w:p w:rsidR="005D7BC5" w:rsidRPr="00604344" w:rsidRDefault="005D7BC5" w:rsidP="005D7BC5">
      <w:pPr>
        <w:pStyle w:val="Puntos"/>
        <w:widowControl w:val="0"/>
        <w:spacing w:before="240" w:line="288" w:lineRule="auto"/>
        <w:ind w:left="0"/>
        <w:rPr>
          <w:sz w:val="23"/>
          <w:szCs w:val="23"/>
        </w:rPr>
      </w:pPr>
      <w:r w:rsidRPr="00604344">
        <w:rPr>
          <w:b/>
          <w:sz w:val="23"/>
          <w:szCs w:val="23"/>
        </w:rPr>
        <w:t>Tercero.</w:t>
      </w:r>
      <w:r w:rsidRPr="00604344">
        <w:rPr>
          <w:sz w:val="23"/>
          <w:szCs w:val="23"/>
        </w:rPr>
        <w:t xml:space="preserve"> Del mismo modo, se instruye a la Dirección de Organización Electoral y Educación Cívica, para que, a través de la Coordinación de Prerrogativas y Partidos Políticos, en coordinación con la UNITIC, realicen las capacitaciones y asesorías correspondientes, incluidos simulacros, a las áreas, así como los órganos electorales distritales que guarden relación con el Manual motivo de aprobación, para su cabal cumplimiento.</w:t>
      </w:r>
    </w:p>
    <w:p w:rsidR="005D7BC5" w:rsidRPr="00604344" w:rsidRDefault="005D7BC5" w:rsidP="005D7BC5">
      <w:pPr>
        <w:pStyle w:val="Puntos"/>
        <w:widowControl w:val="0"/>
        <w:spacing w:before="240" w:line="288" w:lineRule="auto"/>
        <w:ind w:left="0"/>
        <w:rPr>
          <w:sz w:val="23"/>
          <w:szCs w:val="23"/>
        </w:rPr>
      </w:pPr>
      <w:r w:rsidRPr="00604344">
        <w:rPr>
          <w:b/>
          <w:sz w:val="23"/>
          <w:szCs w:val="23"/>
        </w:rPr>
        <w:t xml:space="preserve">Cuarto. </w:t>
      </w:r>
      <w:r w:rsidRPr="00604344">
        <w:rPr>
          <w:sz w:val="23"/>
          <w:szCs w:val="23"/>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5D7BC5" w:rsidRPr="00604344" w:rsidRDefault="005D7BC5" w:rsidP="005D7BC5">
      <w:pPr>
        <w:pStyle w:val="Puntos"/>
        <w:widowControl w:val="0"/>
        <w:spacing w:before="240" w:line="288" w:lineRule="auto"/>
        <w:ind w:left="0"/>
        <w:rPr>
          <w:sz w:val="23"/>
          <w:szCs w:val="23"/>
        </w:rPr>
      </w:pPr>
      <w:r w:rsidRPr="00604344">
        <w:rPr>
          <w:b/>
          <w:bCs/>
          <w:sz w:val="23"/>
          <w:szCs w:val="23"/>
        </w:rPr>
        <w:t>Quinto.</w:t>
      </w:r>
      <w:r w:rsidRPr="00604344">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5D7BC5" w:rsidRPr="00604344" w:rsidRDefault="005D7BC5" w:rsidP="005D7BC5">
      <w:pPr>
        <w:pStyle w:val="Puntos"/>
        <w:widowControl w:val="0"/>
        <w:spacing w:before="240" w:line="288" w:lineRule="auto"/>
        <w:ind w:left="0"/>
        <w:rPr>
          <w:sz w:val="23"/>
          <w:szCs w:val="23"/>
        </w:rPr>
      </w:pPr>
      <w:r w:rsidRPr="00604344">
        <w:rPr>
          <w:sz w:val="23"/>
          <w:szCs w:val="23"/>
        </w:rPr>
        <w:t xml:space="preserve">El presente acuerdo fue </w:t>
      </w:r>
      <w:r w:rsidR="00604344">
        <w:rPr>
          <w:sz w:val="23"/>
          <w:szCs w:val="23"/>
        </w:rPr>
        <w:t>aprobado</w:t>
      </w:r>
      <w:r w:rsidRPr="00604344">
        <w:rPr>
          <w:sz w:val="23"/>
          <w:szCs w:val="23"/>
        </w:rPr>
        <w:t xml:space="preserve"> en sesión</w:t>
      </w:r>
      <w:r w:rsidR="00604344">
        <w:rPr>
          <w:sz w:val="23"/>
          <w:szCs w:val="23"/>
        </w:rPr>
        <w:t xml:space="preserve"> extraordinaria</w:t>
      </w:r>
      <w:r w:rsidRPr="00604344">
        <w:rPr>
          <w:sz w:val="23"/>
          <w:szCs w:val="23"/>
        </w:rPr>
        <w:t xml:space="preserve"> efectuada el </w:t>
      </w:r>
      <w:r w:rsidR="00604344">
        <w:rPr>
          <w:sz w:val="23"/>
          <w:szCs w:val="23"/>
        </w:rPr>
        <w:t>03</w:t>
      </w:r>
      <w:r w:rsidRPr="00604344">
        <w:rPr>
          <w:sz w:val="23"/>
          <w:szCs w:val="23"/>
        </w:rPr>
        <w:t xml:space="preserve"> de </w:t>
      </w:r>
      <w:r w:rsidR="001A346F">
        <w:rPr>
          <w:sz w:val="23"/>
          <w:szCs w:val="23"/>
        </w:rPr>
        <w:t>febrero</w:t>
      </w:r>
      <w:r w:rsidRPr="00604344">
        <w:rPr>
          <w:sz w:val="23"/>
          <w:szCs w:val="23"/>
        </w:rPr>
        <w:t xml:space="preserve"> del año dos mil veinticuatro, por votación </w:t>
      </w:r>
      <w:r w:rsidR="00604344">
        <w:rPr>
          <w:sz w:val="23"/>
          <w:szCs w:val="23"/>
        </w:rPr>
        <w:t>unánime</w:t>
      </w:r>
      <w:r w:rsidRPr="00604344">
        <w:rPr>
          <w:sz w:val="23"/>
          <w:szCs w:val="23"/>
        </w:rPr>
        <w:t xml:space="preserve"> de las y los Consejeros Electorales del Consejo Estatal del Instituto Electoral y de Participación Ciudadana de Tabasco: Dra. </w:t>
      </w:r>
      <w:proofErr w:type="spellStart"/>
      <w:r w:rsidRPr="00604344">
        <w:rPr>
          <w:sz w:val="23"/>
          <w:szCs w:val="23"/>
        </w:rPr>
        <w:t>Rosselvy</w:t>
      </w:r>
      <w:proofErr w:type="spellEnd"/>
      <w:r w:rsidRPr="00604344">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5D7BC5" w:rsidRPr="00604344" w:rsidRDefault="005D7BC5" w:rsidP="005D7BC5">
      <w:pPr>
        <w:spacing w:line="288" w:lineRule="auto"/>
        <w:rPr>
          <w:sz w:val="23"/>
          <w:szCs w:val="23"/>
        </w:rPr>
      </w:pPr>
    </w:p>
    <w:p w:rsidR="005D7BC5" w:rsidRPr="00604344" w:rsidRDefault="005D7BC5" w:rsidP="005D7BC5">
      <w:pPr>
        <w:rPr>
          <w:sz w:val="23"/>
          <w:szCs w:val="23"/>
        </w:rPr>
      </w:pPr>
    </w:p>
    <w:p w:rsidR="005D7BC5" w:rsidRPr="00604344" w:rsidRDefault="005D7BC5" w:rsidP="005D7BC5">
      <w:pPr>
        <w:rPr>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5D7BC5" w:rsidRPr="00604344" w:rsidTr="00F81DD9">
        <w:tc>
          <w:tcPr>
            <w:tcW w:w="4248" w:type="dxa"/>
          </w:tcPr>
          <w:p w:rsidR="005D7BC5" w:rsidRPr="00604344" w:rsidRDefault="005D7BC5" w:rsidP="00F81DD9">
            <w:pPr>
              <w:spacing w:line="300" w:lineRule="auto"/>
              <w:jc w:val="center"/>
              <w:rPr>
                <w:rFonts w:ascii="Arial Negrita" w:hAnsi="Arial Negrita"/>
                <w:b/>
                <w:bCs/>
                <w:spacing w:val="-10"/>
                <w:sz w:val="23"/>
                <w:szCs w:val="23"/>
              </w:rPr>
            </w:pPr>
            <w:r w:rsidRPr="00604344">
              <w:rPr>
                <w:rFonts w:ascii="Arial Negrita" w:hAnsi="Arial Negrita"/>
                <w:b/>
                <w:bCs/>
                <w:spacing w:val="-10"/>
                <w:sz w:val="23"/>
                <w:szCs w:val="23"/>
              </w:rPr>
              <w:t>MTRA. ELIZABETH NAVA GUTIÉRREZ</w:t>
            </w:r>
          </w:p>
          <w:p w:rsidR="005D7BC5" w:rsidRPr="00604344" w:rsidRDefault="005D7BC5" w:rsidP="00F81DD9">
            <w:pPr>
              <w:spacing w:line="300" w:lineRule="auto"/>
              <w:jc w:val="center"/>
              <w:rPr>
                <w:b/>
                <w:bCs/>
                <w:sz w:val="23"/>
                <w:szCs w:val="23"/>
              </w:rPr>
            </w:pPr>
            <w:r w:rsidRPr="00604344">
              <w:rPr>
                <w:rFonts w:ascii="Arial Negrita" w:hAnsi="Arial Negrita"/>
                <w:b/>
                <w:bCs/>
                <w:spacing w:val="-10"/>
                <w:sz w:val="23"/>
                <w:szCs w:val="23"/>
              </w:rPr>
              <w:t>CONSEJERA PRESIDENTA</w:t>
            </w:r>
          </w:p>
        </w:tc>
        <w:tc>
          <w:tcPr>
            <w:tcW w:w="283" w:type="dxa"/>
          </w:tcPr>
          <w:p w:rsidR="005D7BC5" w:rsidRPr="00604344" w:rsidRDefault="005D7BC5" w:rsidP="00F81DD9">
            <w:pPr>
              <w:spacing w:line="300" w:lineRule="auto"/>
              <w:rPr>
                <w:b/>
                <w:bCs/>
                <w:sz w:val="23"/>
                <w:szCs w:val="23"/>
              </w:rPr>
            </w:pPr>
          </w:p>
        </w:tc>
        <w:tc>
          <w:tcPr>
            <w:tcW w:w="4297" w:type="dxa"/>
          </w:tcPr>
          <w:p w:rsidR="005D7BC5" w:rsidRPr="00604344" w:rsidRDefault="005D7BC5" w:rsidP="00F81DD9">
            <w:pPr>
              <w:spacing w:line="300" w:lineRule="auto"/>
              <w:jc w:val="center"/>
              <w:rPr>
                <w:rFonts w:ascii="Arial Negrita" w:hAnsi="Arial Negrita"/>
                <w:b/>
                <w:bCs/>
                <w:spacing w:val="-10"/>
                <w:sz w:val="23"/>
                <w:szCs w:val="23"/>
              </w:rPr>
            </w:pPr>
            <w:r w:rsidRPr="00604344">
              <w:rPr>
                <w:rFonts w:ascii="Arial Negrita" w:hAnsi="Arial Negrita"/>
                <w:b/>
                <w:bCs/>
                <w:spacing w:val="-10"/>
                <w:sz w:val="23"/>
                <w:szCs w:val="23"/>
              </w:rPr>
              <w:t>LIC. JORGE ALBERTO ZAVALA FRÍAS</w:t>
            </w:r>
          </w:p>
          <w:p w:rsidR="005D7BC5" w:rsidRPr="00604344" w:rsidRDefault="005D7BC5" w:rsidP="00F81DD9">
            <w:pPr>
              <w:spacing w:line="300" w:lineRule="auto"/>
              <w:jc w:val="center"/>
              <w:rPr>
                <w:b/>
                <w:bCs/>
                <w:sz w:val="23"/>
                <w:szCs w:val="23"/>
              </w:rPr>
            </w:pPr>
            <w:r w:rsidRPr="00604344">
              <w:rPr>
                <w:rFonts w:ascii="Arial Negrita" w:hAnsi="Arial Negrita"/>
                <w:b/>
                <w:bCs/>
                <w:spacing w:val="-10"/>
                <w:sz w:val="23"/>
                <w:szCs w:val="23"/>
              </w:rPr>
              <w:t>SECRETARIO DEL CONSEJO</w:t>
            </w:r>
          </w:p>
        </w:tc>
      </w:tr>
    </w:tbl>
    <w:p w:rsidR="005D7BC5" w:rsidRPr="00604344" w:rsidRDefault="005D7BC5" w:rsidP="005D7BC5">
      <w:pPr>
        <w:rPr>
          <w:sz w:val="23"/>
          <w:szCs w:val="23"/>
        </w:rPr>
      </w:pPr>
    </w:p>
    <w:p w:rsidR="005D7BC5" w:rsidRPr="00604344" w:rsidRDefault="005D7BC5" w:rsidP="005D7BC5">
      <w:pPr>
        <w:rPr>
          <w:sz w:val="23"/>
          <w:szCs w:val="23"/>
        </w:rPr>
      </w:pPr>
    </w:p>
    <w:p w:rsidR="005D7BC5" w:rsidRPr="00604344" w:rsidRDefault="005D7BC5" w:rsidP="005D7BC5">
      <w:pPr>
        <w:spacing w:before="240" w:after="240" w:line="288" w:lineRule="auto"/>
        <w:jc w:val="both"/>
        <w:rPr>
          <w:rFonts w:ascii="Arial" w:hAnsi="Arial" w:cs="Arial"/>
          <w:sz w:val="23"/>
          <w:szCs w:val="23"/>
        </w:rPr>
      </w:pPr>
      <w:bookmarkStart w:id="0" w:name="_GoBack"/>
      <w:bookmarkEnd w:id="0"/>
    </w:p>
    <w:sectPr w:rsidR="005D7BC5" w:rsidRPr="00604344" w:rsidSect="00427B6E">
      <w:headerReference w:type="default" r:id="rId7"/>
      <w:footerReference w:type="default" r:id="rId8"/>
      <w:pgSz w:w="12240" w:h="15840" w:code="1"/>
      <w:pgMar w:top="2977" w:right="1701"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09" w:rsidRDefault="000D4509" w:rsidP="00066415">
      <w:pPr>
        <w:spacing w:after="0" w:line="240" w:lineRule="auto"/>
      </w:pPr>
      <w:r>
        <w:separator/>
      </w:r>
    </w:p>
  </w:endnote>
  <w:endnote w:type="continuationSeparator" w:id="0">
    <w:p w:rsidR="000D4509" w:rsidRDefault="000D4509" w:rsidP="0006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18"/>
        <w:szCs w:val="20"/>
      </w:rPr>
      <w:id w:val="-729770106"/>
      <w:docPartObj>
        <w:docPartGallery w:val="Page Numbers (Top of Page)"/>
        <w:docPartUnique/>
      </w:docPartObj>
    </w:sdtPr>
    <w:sdtEndPr/>
    <w:sdtContent>
      <w:p w:rsidR="00066415" w:rsidRPr="00066415" w:rsidRDefault="00066415" w:rsidP="00066415">
        <w:pPr>
          <w:pStyle w:val="Piedepgina"/>
          <w:jc w:val="right"/>
          <w:rPr>
            <w:rFonts w:ascii="Arial" w:hAnsi="Arial" w:cs="Arial"/>
            <w:color w:val="993366"/>
            <w:sz w:val="18"/>
            <w:szCs w:val="20"/>
          </w:rPr>
        </w:pPr>
        <w:r w:rsidRPr="00066415">
          <w:rPr>
            <w:rFonts w:ascii="Arial" w:hAnsi="Arial" w:cs="Arial"/>
            <w:b/>
            <w:bCs/>
            <w:color w:val="993366"/>
            <w:lang w:val="es-ES"/>
          </w:rPr>
          <w:t xml:space="preserve">Página </w:t>
        </w:r>
        <w:r w:rsidRPr="00066415">
          <w:rPr>
            <w:rFonts w:ascii="Arial" w:hAnsi="Arial" w:cs="Arial"/>
            <w:b/>
            <w:bCs/>
            <w:color w:val="993366"/>
          </w:rPr>
          <w:fldChar w:fldCharType="begin"/>
        </w:r>
        <w:r w:rsidRPr="00066415">
          <w:rPr>
            <w:rFonts w:ascii="Arial" w:hAnsi="Arial" w:cs="Arial"/>
            <w:b/>
            <w:bCs/>
            <w:color w:val="993366"/>
          </w:rPr>
          <w:instrText>PAGE</w:instrText>
        </w:r>
        <w:r w:rsidRPr="00066415">
          <w:rPr>
            <w:rFonts w:ascii="Arial" w:hAnsi="Arial" w:cs="Arial"/>
            <w:b/>
            <w:bCs/>
            <w:color w:val="993366"/>
          </w:rPr>
          <w:fldChar w:fldCharType="separate"/>
        </w:r>
        <w:r w:rsidR="001A346F">
          <w:rPr>
            <w:rFonts w:ascii="Arial" w:hAnsi="Arial" w:cs="Arial"/>
            <w:b/>
            <w:bCs/>
            <w:noProof/>
            <w:color w:val="993366"/>
          </w:rPr>
          <w:t>12</w:t>
        </w:r>
        <w:r w:rsidRPr="00066415">
          <w:rPr>
            <w:rFonts w:ascii="Arial" w:hAnsi="Arial" w:cs="Arial"/>
            <w:b/>
            <w:bCs/>
            <w:color w:val="993366"/>
          </w:rPr>
          <w:fldChar w:fldCharType="end"/>
        </w:r>
        <w:r w:rsidRPr="00066415">
          <w:rPr>
            <w:rFonts w:ascii="Arial" w:hAnsi="Arial" w:cs="Arial"/>
            <w:b/>
            <w:bCs/>
            <w:color w:val="993366"/>
            <w:lang w:val="es-ES"/>
          </w:rPr>
          <w:t xml:space="preserve"> | </w:t>
        </w:r>
        <w:r w:rsidRPr="00066415">
          <w:rPr>
            <w:rFonts w:ascii="Arial" w:hAnsi="Arial" w:cs="Arial"/>
            <w:b/>
            <w:bCs/>
            <w:color w:val="993366"/>
          </w:rPr>
          <w:fldChar w:fldCharType="begin"/>
        </w:r>
        <w:r w:rsidRPr="00066415">
          <w:rPr>
            <w:rFonts w:ascii="Arial" w:hAnsi="Arial" w:cs="Arial"/>
            <w:b/>
            <w:bCs/>
            <w:color w:val="993366"/>
          </w:rPr>
          <w:instrText>NUMPAGES</w:instrText>
        </w:r>
        <w:r w:rsidRPr="00066415">
          <w:rPr>
            <w:rFonts w:ascii="Arial" w:hAnsi="Arial" w:cs="Arial"/>
            <w:b/>
            <w:bCs/>
            <w:color w:val="993366"/>
          </w:rPr>
          <w:fldChar w:fldCharType="separate"/>
        </w:r>
        <w:r w:rsidR="001A346F">
          <w:rPr>
            <w:rFonts w:ascii="Arial" w:hAnsi="Arial" w:cs="Arial"/>
            <w:b/>
            <w:bCs/>
            <w:noProof/>
            <w:color w:val="993366"/>
          </w:rPr>
          <w:t>14</w:t>
        </w:r>
        <w:r w:rsidRPr="00066415">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09" w:rsidRDefault="000D4509" w:rsidP="00066415">
      <w:pPr>
        <w:spacing w:after="0" w:line="240" w:lineRule="auto"/>
      </w:pPr>
      <w:r>
        <w:separator/>
      </w:r>
    </w:p>
  </w:footnote>
  <w:footnote w:type="continuationSeparator" w:id="0">
    <w:p w:rsidR="000D4509" w:rsidRDefault="000D4509" w:rsidP="0006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066415" w:rsidRPr="00063338" w:rsidTr="00F81DD9">
      <w:tc>
        <w:tcPr>
          <w:tcW w:w="1418" w:type="dxa"/>
        </w:tcPr>
        <w:p w:rsidR="00066415" w:rsidRPr="00063338" w:rsidRDefault="00066415" w:rsidP="00066415">
          <w:pPr>
            <w:pStyle w:val="Encabezado"/>
            <w:ind w:left="-170"/>
          </w:pPr>
          <w:r>
            <w:rPr>
              <w:b/>
              <w:noProof/>
              <w:sz w:val="32"/>
              <w:lang w:eastAsia="es-MX"/>
            </w:rPr>
            <w:drawing>
              <wp:inline distT="0" distB="0" distL="0" distR="0" wp14:anchorId="0D2AD5B3" wp14:editId="3F54DA04">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066415" w:rsidRPr="00066415" w:rsidRDefault="00066415" w:rsidP="00066415">
          <w:pPr>
            <w:pStyle w:val="Encabezado"/>
            <w:spacing w:before="720"/>
            <w:jc w:val="center"/>
            <w:rPr>
              <w:rFonts w:ascii="Arial" w:hAnsi="Arial" w:cs="Arial"/>
              <w:b/>
              <w:bCs/>
              <w:sz w:val="25"/>
              <w:szCs w:val="25"/>
            </w:rPr>
          </w:pPr>
          <w:r w:rsidRPr="00066415">
            <w:rPr>
              <w:rFonts w:ascii="Arial" w:hAnsi="Arial" w:cs="Arial"/>
              <w:b/>
              <w:bCs/>
              <w:sz w:val="25"/>
              <w:szCs w:val="25"/>
            </w:rPr>
            <w:t>INSTITUTO ELECTORAL Y DE PARTICIPACIÓN CIUDADANA DE TABASCO</w:t>
          </w:r>
        </w:p>
        <w:p w:rsidR="00066415" w:rsidRPr="00063338" w:rsidRDefault="00066415" w:rsidP="00066415">
          <w:pPr>
            <w:pStyle w:val="Encabezado"/>
            <w:jc w:val="center"/>
          </w:pPr>
          <w:r w:rsidRPr="00066415">
            <w:rPr>
              <w:rFonts w:ascii="Arial" w:hAnsi="Arial" w:cs="Arial"/>
              <w:sz w:val="26"/>
              <w:szCs w:val="26"/>
            </w:rPr>
            <w:t>CONSEJO ESTATAL</w:t>
          </w:r>
        </w:p>
      </w:tc>
      <w:tc>
        <w:tcPr>
          <w:tcW w:w="1701" w:type="dxa"/>
        </w:tcPr>
        <w:p w:rsidR="00066415" w:rsidRPr="00063338" w:rsidRDefault="00066415" w:rsidP="00066415">
          <w:pPr>
            <w:pStyle w:val="Encabezado"/>
            <w:spacing w:before="480"/>
          </w:pPr>
          <w:r>
            <w:rPr>
              <w:noProof/>
              <w:lang w:eastAsia="es-MX"/>
            </w:rPr>
            <w:drawing>
              <wp:inline distT="0" distB="0" distL="0" distR="0" wp14:anchorId="353CA8D1" wp14:editId="732519D6">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066415" w:rsidRPr="00604344" w:rsidRDefault="00604344" w:rsidP="00604344">
    <w:pPr>
      <w:pStyle w:val="Encabezado"/>
      <w:jc w:val="right"/>
      <w:rPr>
        <w:rFonts w:ascii="Arial" w:hAnsi="Arial" w:cs="Arial"/>
        <w:b/>
        <w:sz w:val="24"/>
        <w:szCs w:val="24"/>
      </w:rPr>
    </w:pPr>
    <w:r w:rsidRPr="00604344">
      <w:rPr>
        <w:rFonts w:ascii="Arial" w:hAnsi="Arial" w:cs="Arial"/>
        <w:b/>
        <w:sz w:val="24"/>
        <w:szCs w:val="24"/>
      </w:rPr>
      <w:t>CE/2024/015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23A52"/>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8B4715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2EC6666"/>
    <w:multiLevelType w:val="hybridMultilevel"/>
    <w:tmpl w:val="64D0F61C"/>
    <w:lvl w:ilvl="0" w:tplc="C194D74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F50C80"/>
    <w:multiLevelType w:val="hybridMultilevel"/>
    <w:tmpl w:val="7DBE8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0F"/>
    <w:rsid w:val="00066415"/>
    <w:rsid w:val="00082AF2"/>
    <w:rsid w:val="000C740F"/>
    <w:rsid w:val="000D4509"/>
    <w:rsid w:val="00122584"/>
    <w:rsid w:val="001A346F"/>
    <w:rsid w:val="0040296E"/>
    <w:rsid w:val="00427B6E"/>
    <w:rsid w:val="00446316"/>
    <w:rsid w:val="005D7BC5"/>
    <w:rsid w:val="00604344"/>
    <w:rsid w:val="00A30123"/>
    <w:rsid w:val="00E5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B9AC"/>
  <w15:chartTrackingRefBased/>
  <w15:docId w15:val="{A8CF593E-4F51-4682-B675-DBF330A6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C740F"/>
    <w:pPr>
      <w:numPr>
        <w:numId w:val="1"/>
      </w:numPr>
      <w:spacing w:before="600" w:after="480" w:line="288" w:lineRule="auto"/>
      <w:jc w:val="center"/>
      <w:outlineLvl w:val="0"/>
    </w:pPr>
    <w:rPr>
      <w:rFonts w:ascii="Arial" w:hAnsi="Arial" w:cs="Arial"/>
      <w:b/>
      <w:sz w:val="28"/>
      <w:szCs w:val="23"/>
    </w:rPr>
  </w:style>
  <w:style w:type="paragraph" w:styleId="Ttulo2">
    <w:name w:val="heading 2"/>
    <w:basedOn w:val="Normal"/>
    <w:next w:val="Normal"/>
    <w:link w:val="Ttulo2Car"/>
    <w:uiPriority w:val="9"/>
    <w:unhideWhenUsed/>
    <w:qFormat/>
    <w:rsid w:val="000C740F"/>
    <w:pPr>
      <w:numPr>
        <w:ilvl w:val="1"/>
        <w:numId w:val="1"/>
      </w:numPr>
      <w:spacing w:before="480" w:after="240" w:line="288" w:lineRule="auto"/>
      <w:jc w:val="both"/>
      <w:outlineLvl w:val="1"/>
    </w:pPr>
    <w:rPr>
      <w:rFonts w:ascii="Arial" w:hAnsi="Arial" w:cs="Arial"/>
      <w:b/>
      <w:sz w:val="24"/>
      <w:szCs w:val="23"/>
    </w:rPr>
  </w:style>
  <w:style w:type="paragraph" w:styleId="Ttulo3">
    <w:name w:val="heading 3"/>
    <w:basedOn w:val="Normal"/>
    <w:next w:val="Normal"/>
    <w:link w:val="Ttulo3Car"/>
    <w:uiPriority w:val="9"/>
    <w:unhideWhenUsed/>
    <w:qFormat/>
    <w:rsid w:val="000C740F"/>
    <w:pPr>
      <w:keepNext/>
      <w:keepLines/>
      <w:numPr>
        <w:ilvl w:val="2"/>
        <w:numId w:val="1"/>
      </w:numPr>
      <w:spacing w:before="40" w:after="0" w:line="288" w:lineRule="auto"/>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C740F"/>
    <w:pPr>
      <w:keepNext/>
      <w:keepLines/>
      <w:numPr>
        <w:ilvl w:val="3"/>
        <w:numId w:val="1"/>
      </w:numPr>
      <w:spacing w:before="40" w:after="0" w:line="288" w:lineRule="auto"/>
      <w:jc w:val="both"/>
      <w:outlineLvl w:val="3"/>
    </w:pPr>
    <w:rPr>
      <w:rFonts w:asciiTheme="majorHAnsi" w:eastAsiaTheme="majorEastAsia" w:hAnsiTheme="majorHAnsi" w:cstheme="majorBidi"/>
      <w:i/>
      <w:iCs/>
      <w:color w:val="2E74B5" w:themeColor="accent1" w:themeShade="BF"/>
      <w:sz w:val="23"/>
      <w:szCs w:val="23"/>
    </w:rPr>
  </w:style>
  <w:style w:type="paragraph" w:styleId="Ttulo5">
    <w:name w:val="heading 5"/>
    <w:basedOn w:val="Normal"/>
    <w:next w:val="Normal"/>
    <w:link w:val="Ttulo5Car"/>
    <w:uiPriority w:val="9"/>
    <w:semiHidden/>
    <w:unhideWhenUsed/>
    <w:qFormat/>
    <w:rsid w:val="000C740F"/>
    <w:pPr>
      <w:keepNext/>
      <w:keepLines/>
      <w:numPr>
        <w:ilvl w:val="4"/>
        <w:numId w:val="1"/>
      </w:numPr>
      <w:spacing w:before="40" w:after="0" w:line="288" w:lineRule="auto"/>
      <w:jc w:val="both"/>
      <w:outlineLvl w:val="4"/>
    </w:pPr>
    <w:rPr>
      <w:rFonts w:asciiTheme="majorHAnsi" w:eastAsiaTheme="majorEastAsia" w:hAnsiTheme="majorHAnsi" w:cstheme="majorBidi"/>
      <w:color w:val="2E74B5" w:themeColor="accent1" w:themeShade="BF"/>
      <w:sz w:val="23"/>
      <w:szCs w:val="23"/>
    </w:rPr>
  </w:style>
  <w:style w:type="paragraph" w:styleId="Ttulo6">
    <w:name w:val="heading 6"/>
    <w:basedOn w:val="Normal"/>
    <w:next w:val="Normal"/>
    <w:link w:val="Ttulo6Car"/>
    <w:uiPriority w:val="9"/>
    <w:semiHidden/>
    <w:unhideWhenUsed/>
    <w:qFormat/>
    <w:rsid w:val="000C740F"/>
    <w:pPr>
      <w:keepNext/>
      <w:keepLines/>
      <w:numPr>
        <w:ilvl w:val="5"/>
        <w:numId w:val="1"/>
      </w:numPr>
      <w:spacing w:before="40" w:after="0" w:line="288" w:lineRule="auto"/>
      <w:jc w:val="both"/>
      <w:outlineLvl w:val="5"/>
    </w:pPr>
    <w:rPr>
      <w:rFonts w:asciiTheme="majorHAnsi" w:eastAsiaTheme="majorEastAsia" w:hAnsiTheme="majorHAnsi" w:cstheme="majorBidi"/>
      <w:color w:val="1F4D78" w:themeColor="accent1" w:themeShade="7F"/>
      <w:sz w:val="23"/>
      <w:szCs w:val="23"/>
    </w:rPr>
  </w:style>
  <w:style w:type="paragraph" w:styleId="Ttulo7">
    <w:name w:val="heading 7"/>
    <w:basedOn w:val="Normal"/>
    <w:next w:val="Normal"/>
    <w:link w:val="Ttulo7Car"/>
    <w:uiPriority w:val="9"/>
    <w:semiHidden/>
    <w:unhideWhenUsed/>
    <w:qFormat/>
    <w:rsid w:val="000C740F"/>
    <w:pPr>
      <w:keepNext/>
      <w:keepLines/>
      <w:numPr>
        <w:ilvl w:val="6"/>
        <w:numId w:val="1"/>
      </w:numPr>
      <w:spacing w:before="40" w:after="0" w:line="288" w:lineRule="auto"/>
      <w:jc w:val="both"/>
      <w:outlineLvl w:val="6"/>
    </w:pPr>
    <w:rPr>
      <w:rFonts w:asciiTheme="majorHAnsi" w:eastAsiaTheme="majorEastAsia" w:hAnsiTheme="majorHAnsi" w:cstheme="majorBidi"/>
      <w:i/>
      <w:iCs/>
      <w:color w:val="1F4D78" w:themeColor="accent1" w:themeShade="7F"/>
      <w:sz w:val="23"/>
      <w:szCs w:val="23"/>
    </w:rPr>
  </w:style>
  <w:style w:type="paragraph" w:styleId="Ttulo8">
    <w:name w:val="heading 8"/>
    <w:basedOn w:val="Normal"/>
    <w:next w:val="Normal"/>
    <w:link w:val="Ttulo8Car"/>
    <w:uiPriority w:val="9"/>
    <w:semiHidden/>
    <w:unhideWhenUsed/>
    <w:qFormat/>
    <w:rsid w:val="000C740F"/>
    <w:pPr>
      <w:keepNext/>
      <w:keepLines/>
      <w:numPr>
        <w:ilvl w:val="7"/>
        <w:numId w:val="1"/>
      </w:numPr>
      <w:spacing w:before="40" w:after="0" w:line="288"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C740F"/>
    <w:pPr>
      <w:keepNext/>
      <w:keepLines/>
      <w:numPr>
        <w:ilvl w:val="8"/>
        <w:numId w:val="1"/>
      </w:numPr>
      <w:spacing w:before="40" w:after="0" w:line="288"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740F"/>
    <w:rPr>
      <w:rFonts w:ascii="Arial" w:hAnsi="Arial" w:cs="Arial"/>
      <w:b/>
      <w:sz w:val="28"/>
      <w:szCs w:val="23"/>
    </w:rPr>
  </w:style>
  <w:style w:type="character" w:customStyle="1" w:styleId="Ttulo2Car">
    <w:name w:val="Título 2 Car"/>
    <w:basedOn w:val="Fuentedeprrafopredeter"/>
    <w:link w:val="Ttulo2"/>
    <w:uiPriority w:val="9"/>
    <w:rsid w:val="000C740F"/>
    <w:rPr>
      <w:rFonts w:ascii="Arial" w:hAnsi="Arial" w:cs="Arial"/>
      <w:b/>
      <w:sz w:val="24"/>
      <w:szCs w:val="23"/>
    </w:rPr>
  </w:style>
  <w:style w:type="character" w:customStyle="1" w:styleId="Ttulo3Car">
    <w:name w:val="Título 3 Car"/>
    <w:basedOn w:val="Fuentedeprrafopredeter"/>
    <w:link w:val="Ttulo3"/>
    <w:uiPriority w:val="9"/>
    <w:rsid w:val="000C740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C740F"/>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0C740F"/>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0C740F"/>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0C740F"/>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0C740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C740F"/>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5D7BC5"/>
    <w:pPr>
      <w:ind w:left="720"/>
      <w:contextualSpacing/>
    </w:pPr>
  </w:style>
  <w:style w:type="table" w:styleId="Tablaconcuadrcula">
    <w:name w:val="Table Grid"/>
    <w:basedOn w:val="Tablanormal"/>
    <w:uiPriority w:val="39"/>
    <w:rsid w:val="005D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5D7BC5"/>
    <w:pPr>
      <w:spacing w:after="240" w:line="283" w:lineRule="auto"/>
      <w:ind w:left="624"/>
      <w:jc w:val="both"/>
    </w:pPr>
    <w:rPr>
      <w:rFonts w:ascii="Arial" w:hAnsi="Arial" w:cs="Arial"/>
      <w:sz w:val="24"/>
      <w:szCs w:val="24"/>
    </w:rPr>
  </w:style>
  <w:style w:type="character" w:customStyle="1" w:styleId="PuntosCar">
    <w:name w:val="Puntos Car"/>
    <w:basedOn w:val="Fuentedeprrafopredeter"/>
    <w:link w:val="Puntos"/>
    <w:rsid w:val="005D7BC5"/>
    <w:rPr>
      <w:rFonts w:ascii="Arial" w:hAnsi="Arial" w:cs="Arial"/>
      <w:sz w:val="24"/>
      <w:szCs w:val="24"/>
    </w:rPr>
  </w:style>
  <w:style w:type="paragraph" w:styleId="Encabezado">
    <w:name w:val="header"/>
    <w:basedOn w:val="Normal"/>
    <w:link w:val="EncabezadoCar"/>
    <w:uiPriority w:val="99"/>
    <w:unhideWhenUsed/>
    <w:rsid w:val="00066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415"/>
  </w:style>
  <w:style w:type="paragraph" w:styleId="Piedepgina">
    <w:name w:val="footer"/>
    <w:basedOn w:val="Normal"/>
    <w:link w:val="PiedepginaCar"/>
    <w:uiPriority w:val="99"/>
    <w:unhideWhenUsed/>
    <w:rsid w:val="00066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415"/>
  </w:style>
  <w:style w:type="paragraph" w:styleId="Textodeglobo">
    <w:name w:val="Balloon Text"/>
    <w:basedOn w:val="Normal"/>
    <w:link w:val="TextodegloboCar"/>
    <w:uiPriority w:val="99"/>
    <w:semiHidden/>
    <w:unhideWhenUsed/>
    <w:rsid w:val="001A34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3965</Words>
  <Characters>21812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7</cp:revision>
  <cp:lastPrinted>2024-02-03T20:17:00Z</cp:lastPrinted>
  <dcterms:created xsi:type="dcterms:W3CDTF">2024-02-02T02:15:00Z</dcterms:created>
  <dcterms:modified xsi:type="dcterms:W3CDTF">2024-02-03T20:19:00Z</dcterms:modified>
</cp:coreProperties>
</file>