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C9085" w14:textId="439B6195" w:rsidR="005E652D" w:rsidRPr="00612768" w:rsidRDefault="00612768" w:rsidP="00BA03DE">
      <w:pPr>
        <w:rPr>
          <w:b/>
          <w:sz w:val="24"/>
          <w:szCs w:val="24"/>
        </w:rPr>
      </w:pPr>
      <w:r w:rsidRPr="00612768">
        <w:rPr>
          <w:b/>
          <w:sz w:val="24"/>
          <w:szCs w:val="24"/>
        </w:rPr>
        <w:t>ACUERDO QUE, A PROPUESTA DE LA COMISIÓN PERMANENTE DE ORGANIZACIÓN ELECTORAL Y EDUCACIÓN CÍVICA, EMITE EL CONSEJO ESTATAL DEL INSTITUTO ELECTORAL Y DE PARTICIPACIÓN CIUDADANA DE TABASCO, MEDIANTE EL CUAL APRUEBA EL MANUAL PARA EL REGISTRO DE CANDIDATURAS A LA GUBERNATURA, DIPUTACIONES, PRESIDENCIAS MUNICIPALES Y REGIDURÍAS EN EL PROCESO ELECTORAL LOCAL ORDINARIO 2023-2024</w:t>
      </w:r>
    </w:p>
    <w:p w14:paraId="0690F4B8" w14:textId="77777777" w:rsidR="0006434B" w:rsidRPr="0006434B" w:rsidRDefault="0006434B" w:rsidP="00BA03DE">
      <w:pPr>
        <w:rPr>
          <w:b/>
        </w:rPr>
      </w:pPr>
    </w:p>
    <w:p w14:paraId="0208E561" w14:textId="77777777" w:rsidR="005E652D" w:rsidRDefault="005E652D" w:rsidP="00BA03DE">
      <w:r w:rsidRPr="005E652D">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06434B" w:rsidRPr="008C1524" w14:paraId="775348D2" w14:textId="77777777" w:rsidTr="00F81DD9">
        <w:trPr>
          <w:trHeight w:val="624"/>
          <w:jc w:val="center"/>
        </w:trPr>
        <w:tc>
          <w:tcPr>
            <w:tcW w:w="2042" w:type="pct"/>
            <w:shd w:val="clear" w:color="auto" w:fill="auto"/>
            <w:vAlign w:val="center"/>
          </w:tcPr>
          <w:p w14:paraId="2A546600" w14:textId="77777777" w:rsidR="0006434B" w:rsidRPr="00612768" w:rsidRDefault="0006434B" w:rsidP="00F81DD9">
            <w:pPr>
              <w:spacing w:before="60" w:after="60" w:line="276" w:lineRule="auto"/>
              <w:ind w:left="57"/>
              <w:jc w:val="right"/>
              <w:rPr>
                <w:b/>
                <w:sz w:val="20"/>
                <w:szCs w:val="20"/>
              </w:rPr>
            </w:pPr>
            <w:r w:rsidRPr="00612768">
              <w:rPr>
                <w:b/>
                <w:sz w:val="20"/>
                <w:szCs w:val="20"/>
              </w:rPr>
              <w:t>Comisión:</w:t>
            </w:r>
          </w:p>
        </w:tc>
        <w:tc>
          <w:tcPr>
            <w:tcW w:w="2958" w:type="pct"/>
            <w:shd w:val="clear" w:color="auto" w:fill="auto"/>
            <w:vAlign w:val="center"/>
          </w:tcPr>
          <w:p w14:paraId="02D9C47B" w14:textId="77777777" w:rsidR="0006434B" w:rsidRPr="00612768" w:rsidRDefault="0006434B" w:rsidP="00F81DD9">
            <w:pPr>
              <w:spacing w:before="60" w:after="60" w:line="276" w:lineRule="auto"/>
              <w:ind w:left="57"/>
              <w:rPr>
                <w:sz w:val="20"/>
                <w:szCs w:val="20"/>
              </w:rPr>
            </w:pPr>
            <w:r w:rsidRPr="00612768">
              <w:rPr>
                <w:sz w:val="20"/>
                <w:szCs w:val="20"/>
              </w:rPr>
              <w:t>Comisión Permanente de Organización Electoral y Educación Cívica del Instituto Electoral y de Participación Ciudadana de Tabasco.</w:t>
            </w:r>
          </w:p>
        </w:tc>
      </w:tr>
      <w:tr w:rsidR="0006434B" w:rsidRPr="008C1524" w14:paraId="6E4E8679" w14:textId="77777777" w:rsidTr="00F81DD9">
        <w:trPr>
          <w:trHeight w:val="624"/>
          <w:jc w:val="center"/>
        </w:trPr>
        <w:tc>
          <w:tcPr>
            <w:tcW w:w="2042" w:type="pct"/>
            <w:shd w:val="clear" w:color="auto" w:fill="auto"/>
            <w:vAlign w:val="center"/>
          </w:tcPr>
          <w:p w14:paraId="511D8B97" w14:textId="77777777" w:rsidR="0006434B" w:rsidRPr="00612768" w:rsidRDefault="0006434B" w:rsidP="005E652D">
            <w:pPr>
              <w:spacing w:before="60" w:after="60" w:line="276" w:lineRule="auto"/>
              <w:ind w:left="57"/>
              <w:jc w:val="right"/>
              <w:rPr>
                <w:b/>
                <w:sz w:val="20"/>
                <w:szCs w:val="20"/>
              </w:rPr>
            </w:pPr>
            <w:r w:rsidRPr="00612768">
              <w:rPr>
                <w:b/>
                <w:sz w:val="20"/>
                <w:szCs w:val="20"/>
              </w:rPr>
              <w:t>Comisiones Unidas:</w:t>
            </w:r>
          </w:p>
        </w:tc>
        <w:tc>
          <w:tcPr>
            <w:tcW w:w="2958" w:type="pct"/>
            <w:shd w:val="clear" w:color="auto" w:fill="auto"/>
            <w:vAlign w:val="center"/>
          </w:tcPr>
          <w:p w14:paraId="7580EE9A" w14:textId="77777777" w:rsidR="0006434B" w:rsidRPr="00612768" w:rsidRDefault="0006434B" w:rsidP="00F81DD9">
            <w:pPr>
              <w:spacing w:before="60" w:after="60" w:line="276" w:lineRule="auto"/>
              <w:ind w:left="57"/>
              <w:rPr>
                <w:sz w:val="20"/>
                <w:szCs w:val="20"/>
              </w:rPr>
            </w:pPr>
            <w:r w:rsidRPr="00612768">
              <w:rPr>
                <w:sz w:val="20"/>
                <w:szCs w:val="20"/>
              </w:rPr>
              <w:t>Las Comisiones Permanentes de Organización Electoral y Educación Cívica y de Igualdad de Género y No Discriminación del Instituto Electoral y de Participación Ciudadana de Tabasco.</w:t>
            </w:r>
          </w:p>
        </w:tc>
      </w:tr>
      <w:tr w:rsidR="0006434B" w:rsidRPr="008C1524" w14:paraId="39E9F80F" w14:textId="77777777" w:rsidTr="00F81DD9">
        <w:trPr>
          <w:trHeight w:val="624"/>
          <w:jc w:val="center"/>
        </w:trPr>
        <w:tc>
          <w:tcPr>
            <w:tcW w:w="2042" w:type="pct"/>
            <w:shd w:val="clear" w:color="auto" w:fill="auto"/>
            <w:vAlign w:val="center"/>
          </w:tcPr>
          <w:p w14:paraId="5589CBF6" w14:textId="77777777" w:rsidR="0006434B" w:rsidRPr="00612768" w:rsidRDefault="0006434B" w:rsidP="00F81DD9">
            <w:pPr>
              <w:spacing w:before="60" w:after="60" w:line="276" w:lineRule="auto"/>
              <w:ind w:left="57"/>
              <w:jc w:val="right"/>
              <w:rPr>
                <w:b/>
                <w:sz w:val="20"/>
                <w:szCs w:val="20"/>
              </w:rPr>
            </w:pPr>
            <w:r w:rsidRPr="00612768">
              <w:rPr>
                <w:b/>
                <w:sz w:val="20"/>
                <w:szCs w:val="20"/>
              </w:rPr>
              <w:t>Consejo Estatal:</w:t>
            </w:r>
          </w:p>
        </w:tc>
        <w:tc>
          <w:tcPr>
            <w:tcW w:w="2958" w:type="pct"/>
            <w:shd w:val="clear" w:color="auto" w:fill="auto"/>
            <w:vAlign w:val="center"/>
          </w:tcPr>
          <w:p w14:paraId="22628DE3" w14:textId="77777777" w:rsidR="0006434B" w:rsidRPr="00612768" w:rsidRDefault="0006434B" w:rsidP="00F81DD9">
            <w:pPr>
              <w:spacing w:before="60" w:after="60" w:line="276" w:lineRule="auto"/>
              <w:ind w:left="57"/>
              <w:rPr>
                <w:sz w:val="20"/>
                <w:szCs w:val="20"/>
              </w:rPr>
            </w:pPr>
            <w:r w:rsidRPr="00612768">
              <w:rPr>
                <w:sz w:val="20"/>
                <w:szCs w:val="20"/>
              </w:rPr>
              <w:t>Consejo Estatal del Instituto Electoral y de Participación Ciudadana de Tabasco.</w:t>
            </w:r>
          </w:p>
        </w:tc>
      </w:tr>
      <w:tr w:rsidR="0006434B" w:rsidRPr="008C1524" w14:paraId="57EFFB92" w14:textId="77777777" w:rsidTr="00F81DD9">
        <w:trPr>
          <w:trHeight w:val="624"/>
          <w:jc w:val="center"/>
        </w:trPr>
        <w:tc>
          <w:tcPr>
            <w:tcW w:w="2042" w:type="pct"/>
            <w:shd w:val="clear" w:color="auto" w:fill="auto"/>
            <w:vAlign w:val="center"/>
          </w:tcPr>
          <w:p w14:paraId="5FDE32EF" w14:textId="77777777" w:rsidR="0006434B" w:rsidRPr="00612768" w:rsidRDefault="0006434B" w:rsidP="00F81DD9">
            <w:pPr>
              <w:spacing w:before="60" w:after="60" w:line="276" w:lineRule="auto"/>
              <w:ind w:left="57"/>
              <w:jc w:val="right"/>
              <w:rPr>
                <w:b/>
                <w:sz w:val="20"/>
                <w:szCs w:val="20"/>
              </w:rPr>
            </w:pPr>
            <w:r w:rsidRPr="00612768">
              <w:rPr>
                <w:b/>
                <w:sz w:val="20"/>
                <w:szCs w:val="20"/>
              </w:rPr>
              <w:t>Constitución Federal:</w:t>
            </w:r>
          </w:p>
        </w:tc>
        <w:tc>
          <w:tcPr>
            <w:tcW w:w="2958" w:type="pct"/>
            <w:shd w:val="clear" w:color="auto" w:fill="auto"/>
            <w:vAlign w:val="center"/>
          </w:tcPr>
          <w:p w14:paraId="6A54F2B5" w14:textId="77777777" w:rsidR="0006434B" w:rsidRPr="00612768" w:rsidRDefault="0006434B" w:rsidP="00F81DD9">
            <w:pPr>
              <w:spacing w:before="60" w:after="60" w:line="276" w:lineRule="auto"/>
              <w:ind w:left="57"/>
              <w:rPr>
                <w:sz w:val="20"/>
                <w:szCs w:val="20"/>
              </w:rPr>
            </w:pPr>
            <w:r w:rsidRPr="00612768">
              <w:rPr>
                <w:sz w:val="20"/>
                <w:szCs w:val="20"/>
              </w:rPr>
              <w:t>Constitución Política de los Estados Unidos Mexicanos.</w:t>
            </w:r>
          </w:p>
        </w:tc>
      </w:tr>
      <w:tr w:rsidR="0006434B" w:rsidRPr="008C1524" w14:paraId="4D57AE74" w14:textId="77777777" w:rsidTr="00F81DD9">
        <w:trPr>
          <w:trHeight w:val="624"/>
          <w:jc w:val="center"/>
        </w:trPr>
        <w:tc>
          <w:tcPr>
            <w:tcW w:w="2042" w:type="pct"/>
            <w:shd w:val="clear" w:color="auto" w:fill="auto"/>
            <w:vAlign w:val="center"/>
          </w:tcPr>
          <w:p w14:paraId="2C92E682" w14:textId="77777777" w:rsidR="0006434B" w:rsidRPr="00612768" w:rsidRDefault="0006434B" w:rsidP="00F81DD9">
            <w:pPr>
              <w:spacing w:before="60" w:after="60" w:line="276" w:lineRule="auto"/>
              <w:ind w:left="57"/>
              <w:jc w:val="right"/>
              <w:rPr>
                <w:b/>
                <w:sz w:val="20"/>
                <w:szCs w:val="20"/>
              </w:rPr>
            </w:pPr>
            <w:r w:rsidRPr="00612768">
              <w:rPr>
                <w:b/>
                <w:sz w:val="20"/>
                <w:szCs w:val="20"/>
              </w:rPr>
              <w:t>Constitución Local:</w:t>
            </w:r>
          </w:p>
        </w:tc>
        <w:tc>
          <w:tcPr>
            <w:tcW w:w="2958" w:type="pct"/>
            <w:shd w:val="clear" w:color="auto" w:fill="auto"/>
            <w:vAlign w:val="center"/>
          </w:tcPr>
          <w:p w14:paraId="1AA1D43B" w14:textId="77777777" w:rsidR="0006434B" w:rsidRPr="00612768" w:rsidRDefault="0006434B" w:rsidP="00F81DD9">
            <w:pPr>
              <w:spacing w:before="60" w:after="60" w:line="276" w:lineRule="auto"/>
              <w:ind w:left="57"/>
              <w:rPr>
                <w:sz w:val="20"/>
                <w:szCs w:val="20"/>
              </w:rPr>
            </w:pPr>
            <w:r w:rsidRPr="00612768">
              <w:rPr>
                <w:sz w:val="20"/>
                <w:szCs w:val="20"/>
              </w:rPr>
              <w:t>Constitución Política del Estado Libre y Soberano de Tabasco.</w:t>
            </w:r>
          </w:p>
        </w:tc>
      </w:tr>
      <w:tr w:rsidR="0006434B" w:rsidRPr="008C1524" w14:paraId="6313F384" w14:textId="77777777" w:rsidTr="00F81DD9">
        <w:trPr>
          <w:trHeight w:val="624"/>
          <w:jc w:val="center"/>
        </w:trPr>
        <w:tc>
          <w:tcPr>
            <w:tcW w:w="2042" w:type="pct"/>
            <w:shd w:val="clear" w:color="auto" w:fill="auto"/>
            <w:vAlign w:val="center"/>
          </w:tcPr>
          <w:p w14:paraId="37CC7BDF" w14:textId="77777777" w:rsidR="0006434B" w:rsidRPr="00612768" w:rsidRDefault="0006434B" w:rsidP="005E652D">
            <w:pPr>
              <w:spacing w:before="60" w:after="60" w:line="276" w:lineRule="auto"/>
              <w:ind w:left="57"/>
              <w:jc w:val="right"/>
              <w:rPr>
                <w:b/>
                <w:sz w:val="20"/>
                <w:szCs w:val="20"/>
              </w:rPr>
            </w:pPr>
            <w:r w:rsidRPr="00612768">
              <w:rPr>
                <w:b/>
                <w:sz w:val="20"/>
                <w:szCs w:val="20"/>
              </w:rPr>
              <w:t>DOEEC:</w:t>
            </w:r>
          </w:p>
        </w:tc>
        <w:tc>
          <w:tcPr>
            <w:tcW w:w="2958" w:type="pct"/>
            <w:shd w:val="clear" w:color="auto" w:fill="auto"/>
            <w:vAlign w:val="center"/>
          </w:tcPr>
          <w:p w14:paraId="3AB8EAC9" w14:textId="77777777" w:rsidR="0006434B" w:rsidRPr="00612768" w:rsidRDefault="0006434B" w:rsidP="00F81DD9">
            <w:pPr>
              <w:spacing w:before="60" w:after="60" w:line="276" w:lineRule="auto"/>
              <w:ind w:left="57"/>
              <w:rPr>
                <w:sz w:val="20"/>
                <w:szCs w:val="20"/>
              </w:rPr>
            </w:pPr>
            <w:r w:rsidRPr="00612768">
              <w:rPr>
                <w:sz w:val="20"/>
                <w:szCs w:val="20"/>
              </w:rPr>
              <w:t>Dirección de Organización Electoral y Educación Cívica del Instituto Electoral y de Participación Ciudadana de Tabasco.</w:t>
            </w:r>
          </w:p>
        </w:tc>
      </w:tr>
      <w:tr w:rsidR="0006434B" w:rsidRPr="008C1524" w14:paraId="31AA4E07" w14:textId="77777777" w:rsidTr="00F81DD9">
        <w:trPr>
          <w:trHeight w:val="624"/>
          <w:jc w:val="center"/>
        </w:trPr>
        <w:tc>
          <w:tcPr>
            <w:tcW w:w="2042" w:type="pct"/>
            <w:shd w:val="clear" w:color="auto" w:fill="auto"/>
            <w:vAlign w:val="center"/>
          </w:tcPr>
          <w:p w14:paraId="0F71E845" w14:textId="77777777" w:rsidR="0006434B" w:rsidRPr="00612768" w:rsidRDefault="0006434B" w:rsidP="00F81DD9">
            <w:pPr>
              <w:spacing w:before="60" w:after="60" w:line="276" w:lineRule="auto"/>
              <w:ind w:left="57"/>
              <w:jc w:val="right"/>
              <w:rPr>
                <w:b/>
                <w:sz w:val="20"/>
                <w:szCs w:val="20"/>
              </w:rPr>
            </w:pPr>
            <w:r w:rsidRPr="00612768">
              <w:rPr>
                <w:b/>
                <w:sz w:val="20"/>
                <w:szCs w:val="20"/>
              </w:rPr>
              <w:t>INE:</w:t>
            </w:r>
          </w:p>
        </w:tc>
        <w:tc>
          <w:tcPr>
            <w:tcW w:w="2958" w:type="pct"/>
            <w:shd w:val="clear" w:color="auto" w:fill="auto"/>
            <w:vAlign w:val="center"/>
          </w:tcPr>
          <w:p w14:paraId="1FE86653" w14:textId="77777777" w:rsidR="0006434B" w:rsidRPr="00612768" w:rsidRDefault="0006434B" w:rsidP="00F81DD9">
            <w:pPr>
              <w:spacing w:before="60" w:after="60" w:line="276" w:lineRule="auto"/>
              <w:ind w:left="57"/>
              <w:rPr>
                <w:sz w:val="20"/>
                <w:szCs w:val="20"/>
              </w:rPr>
            </w:pPr>
            <w:r w:rsidRPr="00612768">
              <w:rPr>
                <w:sz w:val="20"/>
                <w:szCs w:val="20"/>
              </w:rPr>
              <w:t>Instituto Nacional Electoral.</w:t>
            </w:r>
          </w:p>
        </w:tc>
      </w:tr>
      <w:tr w:rsidR="0006434B" w:rsidRPr="008C1524" w14:paraId="1AF3B899" w14:textId="77777777" w:rsidTr="00F81DD9">
        <w:trPr>
          <w:trHeight w:val="624"/>
          <w:jc w:val="center"/>
        </w:trPr>
        <w:tc>
          <w:tcPr>
            <w:tcW w:w="2042" w:type="pct"/>
            <w:shd w:val="clear" w:color="auto" w:fill="auto"/>
            <w:vAlign w:val="center"/>
          </w:tcPr>
          <w:p w14:paraId="6D802E25" w14:textId="77777777" w:rsidR="0006434B" w:rsidRPr="00612768" w:rsidRDefault="0006434B" w:rsidP="00F81DD9">
            <w:pPr>
              <w:spacing w:before="60" w:after="60" w:line="276" w:lineRule="auto"/>
              <w:ind w:left="57"/>
              <w:jc w:val="right"/>
              <w:rPr>
                <w:b/>
                <w:sz w:val="20"/>
                <w:szCs w:val="20"/>
              </w:rPr>
            </w:pPr>
            <w:r w:rsidRPr="00612768">
              <w:rPr>
                <w:b/>
                <w:sz w:val="20"/>
                <w:szCs w:val="20"/>
              </w:rPr>
              <w:t>Instituto:</w:t>
            </w:r>
          </w:p>
        </w:tc>
        <w:tc>
          <w:tcPr>
            <w:tcW w:w="2958" w:type="pct"/>
            <w:shd w:val="clear" w:color="auto" w:fill="auto"/>
          </w:tcPr>
          <w:p w14:paraId="697725D8" w14:textId="77777777" w:rsidR="0006434B" w:rsidRPr="00612768" w:rsidRDefault="0006434B" w:rsidP="00F81DD9">
            <w:pPr>
              <w:spacing w:before="60" w:after="60" w:line="276" w:lineRule="auto"/>
              <w:ind w:left="57"/>
              <w:rPr>
                <w:sz w:val="20"/>
                <w:szCs w:val="20"/>
              </w:rPr>
            </w:pPr>
            <w:r w:rsidRPr="00612768">
              <w:rPr>
                <w:sz w:val="20"/>
                <w:szCs w:val="20"/>
              </w:rPr>
              <w:t>Instituto Electoral y de Participación Ciudadana de Tabasco.</w:t>
            </w:r>
          </w:p>
        </w:tc>
      </w:tr>
      <w:tr w:rsidR="0006434B" w:rsidRPr="008C1524" w14:paraId="1A222B83" w14:textId="77777777" w:rsidTr="00F81DD9">
        <w:trPr>
          <w:trHeight w:val="624"/>
          <w:jc w:val="center"/>
        </w:trPr>
        <w:tc>
          <w:tcPr>
            <w:tcW w:w="2042" w:type="pct"/>
            <w:shd w:val="clear" w:color="auto" w:fill="auto"/>
            <w:vAlign w:val="center"/>
          </w:tcPr>
          <w:p w14:paraId="12FD72FE" w14:textId="77777777" w:rsidR="0006434B" w:rsidRPr="00612768" w:rsidRDefault="0006434B" w:rsidP="00F81DD9">
            <w:pPr>
              <w:spacing w:before="60" w:after="60" w:line="276" w:lineRule="auto"/>
              <w:ind w:left="57"/>
              <w:jc w:val="right"/>
              <w:rPr>
                <w:b/>
                <w:sz w:val="20"/>
                <w:szCs w:val="20"/>
              </w:rPr>
            </w:pPr>
            <w:r w:rsidRPr="00612768">
              <w:rPr>
                <w:b/>
                <w:sz w:val="20"/>
                <w:szCs w:val="20"/>
              </w:rPr>
              <w:t>Ley Electoral:</w:t>
            </w:r>
          </w:p>
        </w:tc>
        <w:tc>
          <w:tcPr>
            <w:tcW w:w="2958" w:type="pct"/>
            <w:shd w:val="clear" w:color="auto" w:fill="auto"/>
            <w:vAlign w:val="center"/>
          </w:tcPr>
          <w:p w14:paraId="20313099" w14:textId="77777777" w:rsidR="0006434B" w:rsidRPr="00612768" w:rsidRDefault="0006434B" w:rsidP="00F81DD9">
            <w:pPr>
              <w:spacing w:before="60" w:after="60" w:line="276" w:lineRule="auto"/>
              <w:ind w:left="57"/>
              <w:rPr>
                <w:sz w:val="20"/>
                <w:szCs w:val="20"/>
              </w:rPr>
            </w:pPr>
            <w:r w:rsidRPr="00612768">
              <w:rPr>
                <w:sz w:val="20"/>
                <w:szCs w:val="20"/>
              </w:rPr>
              <w:t>Ley Electoral y de Partidos Políticos del Estado de Tabasco.</w:t>
            </w:r>
          </w:p>
        </w:tc>
      </w:tr>
      <w:tr w:rsidR="0006434B" w:rsidRPr="008C1524" w14:paraId="45C2E078" w14:textId="77777777" w:rsidTr="00F81DD9">
        <w:trPr>
          <w:trHeight w:val="624"/>
          <w:jc w:val="center"/>
        </w:trPr>
        <w:tc>
          <w:tcPr>
            <w:tcW w:w="2042" w:type="pct"/>
            <w:shd w:val="clear" w:color="auto" w:fill="auto"/>
            <w:vAlign w:val="center"/>
          </w:tcPr>
          <w:p w14:paraId="2BEBF078" w14:textId="77777777" w:rsidR="0006434B" w:rsidRPr="00612768" w:rsidRDefault="0006434B" w:rsidP="00F81DD9">
            <w:pPr>
              <w:spacing w:before="60" w:after="60" w:line="276" w:lineRule="auto"/>
              <w:ind w:left="57"/>
              <w:jc w:val="right"/>
              <w:rPr>
                <w:b/>
                <w:sz w:val="20"/>
                <w:szCs w:val="20"/>
              </w:rPr>
            </w:pPr>
            <w:r w:rsidRPr="00612768">
              <w:rPr>
                <w:b/>
                <w:sz w:val="20"/>
                <w:szCs w:val="20"/>
              </w:rPr>
              <w:t>Ley General:</w:t>
            </w:r>
          </w:p>
        </w:tc>
        <w:tc>
          <w:tcPr>
            <w:tcW w:w="2958" w:type="pct"/>
            <w:shd w:val="clear" w:color="auto" w:fill="auto"/>
            <w:vAlign w:val="center"/>
          </w:tcPr>
          <w:p w14:paraId="1575080F" w14:textId="77777777" w:rsidR="0006434B" w:rsidRPr="00612768" w:rsidRDefault="0006434B" w:rsidP="00F81DD9">
            <w:pPr>
              <w:spacing w:before="60" w:after="60" w:line="276" w:lineRule="auto"/>
              <w:ind w:left="57"/>
              <w:rPr>
                <w:sz w:val="20"/>
                <w:szCs w:val="20"/>
              </w:rPr>
            </w:pPr>
            <w:r w:rsidRPr="00612768">
              <w:rPr>
                <w:sz w:val="20"/>
                <w:szCs w:val="20"/>
              </w:rPr>
              <w:t>Ley General de Instituciones y Procedimientos Electorales.</w:t>
            </w:r>
          </w:p>
        </w:tc>
      </w:tr>
      <w:tr w:rsidR="0006434B" w:rsidRPr="008C1524" w14:paraId="6F6AD93B" w14:textId="77777777" w:rsidTr="00F81DD9">
        <w:trPr>
          <w:trHeight w:val="624"/>
          <w:jc w:val="center"/>
        </w:trPr>
        <w:tc>
          <w:tcPr>
            <w:tcW w:w="2042" w:type="pct"/>
            <w:shd w:val="clear" w:color="auto" w:fill="auto"/>
            <w:vAlign w:val="center"/>
          </w:tcPr>
          <w:p w14:paraId="602A3E33" w14:textId="77777777" w:rsidR="0006434B" w:rsidRPr="00612768" w:rsidRDefault="0006434B" w:rsidP="00F81DD9">
            <w:pPr>
              <w:spacing w:before="60" w:after="60" w:line="276" w:lineRule="auto"/>
              <w:ind w:left="57"/>
              <w:jc w:val="right"/>
              <w:rPr>
                <w:b/>
                <w:sz w:val="20"/>
                <w:szCs w:val="20"/>
              </w:rPr>
            </w:pPr>
            <w:r w:rsidRPr="00612768">
              <w:rPr>
                <w:b/>
                <w:sz w:val="20"/>
                <w:szCs w:val="20"/>
              </w:rPr>
              <w:t>Manual:</w:t>
            </w:r>
          </w:p>
        </w:tc>
        <w:tc>
          <w:tcPr>
            <w:tcW w:w="2958" w:type="pct"/>
            <w:shd w:val="clear" w:color="auto" w:fill="auto"/>
            <w:vAlign w:val="center"/>
          </w:tcPr>
          <w:p w14:paraId="4FA105DD" w14:textId="77777777" w:rsidR="0006434B" w:rsidRPr="00612768" w:rsidRDefault="0006434B" w:rsidP="00F81DD9">
            <w:pPr>
              <w:spacing w:before="60" w:after="60" w:line="276" w:lineRule="auto"/>
              <w:ind w:left="57"/>
              <w:rPr>
                <w:sz w:val="20"/>
                <w:szCs w:val="20"/>
              </w:rPr>
            </w:pPr>
            <w:r w:rsidRPr="00612768">
              <w:rPr>
                <w:sz w:val="20"/>
                <w:szCs w:val="20"/>
              </w:rPr>
              <w:t>Manual para el registro de candidaturas a la Gubernatura, Diputaciones, Presidencias Municipales y Regidurías en el Proceso Electoral Local Ordinario 2023-2024.</w:t>
            </w:r>
          </w:p>
        </w:tc>
      </w:tr>
      <w:tr w:rsidR="0006434B" w:rsidRPr="008C1524" w14:paraId="7ADE64C3" w14:textId="77777777" w:rsidTr="00F81DD9">
        <w:trPr>
          <w:trHeight w:val="624"/>
          <w:jc w:val="center"/>
        </w:trPr>
        <w:tc>
          <w:tcPr>
            <w:tcW w:w="2042" w:type="pct"/>
            <w:shd w:val="clear" w:color="auto" w:fill="auto"/>
            <w:vAlign w:val="center"/>
          </w:tcPr>
          <w:p w14:paraId="711CA67D" w14:textId="77777777" w:rsidR="0006434B" w:rsidRPr="00612768" w:rsidRDefault="0006434B" w:rsidP="00F81DD9">
            <w:pPr>
              <w:spacing w:before="60" w:after="60" w:line="276" w:lineRule="auto"/>
              <w:ind w:left="57"/>
              <w:jc w:val="right"/>
              <w:rPr>
                <w:b/>
                <w:sz w:val="20"/>
                <w:szCs w:val="20"/>
              </w:rPr>
            </w:pPr>
            <w:r w:rsidRPr="00612768">
              <w:rPr>
                <w:b/>
                <w:sz w:val="20"/>
                <w:szCs w:val="20"/>
              </w:rPr>
              <w:t>Organismo electoral:</w:t>
            </w:r>
          </w:p>
        </w:tc>
        <w:tc>
          <w:tcPr>
            <w:tcW w:w="2958" w:type="pct"/>
            <w:shd w:val="clear" w:color="auto" w:fill="auto"/>
            <w:vAlign w:val="center"/>
          </w:tcPr>
          <w:p w14:paraId="732C0590" w14:textId="77777777" w:rsidR="0006434B" w:rsidRPr="00612768" w:rsidRDefault="0006434B" w:rsidP="00F81DD9">
            <w:pPr>
              <w:spacing w:before="60" w:after="60" w:line="276" w:lineRule="auto"/>
              <w:ind w:left="57"/>
              <w:rPr>
                <w:sz w:val="20"/>
                <w:szCs w:val="20"/>
              </w:rPr>
            </w:pPr>
            <w:r w:rsidRPr="00612768">
              <w:rPr>
                <w:sz w:val="20"/>
                <w:szCs w:val="20"/>
              </w:rPr>
              <w:t xml:space="preserve">Organismo(s) público(s) local(es) electoral(es). </w:t>
            </w:r>
          </w:p>
        </w:tc>
      </w:tr>
      <w:tr w:rsidR="0006434B" w:rsidRPr="008C1524" w14:paraId="24EE7EEA" w14:textId="77777777" w:rsidTr="00F81DD9">
        <w:trPr>
          <w:trHeight w:val="624"/>
          <w:jc w:val="center"/>
        </w:trPr>
        <w:tc>
          <w:tcPr>
            <w:tcW w:w="2042" w:type="pct"/>
            <w:shd w:val="clear" w:color="auto" w:fill="auto"/>
            <w:vAlign w:val="center"/>
          </w:tcPr>
          <w:p w14:paraId="40CC8BFE" w14:textId="77777777" w:rsidR="0006434B" w:rsidRPr="00612768" w:rsidRDefault="0006434B" w:rsidP="00F81DD9">
            <w:pPr>
              <w:spacing w:before="60" w:after="60" w:line="276" w:lineRule="auto"/>
              <w:ind w:left="57"/>
              <w:jc w:val="right"/>
              <w:rPr>
                <w:b/>
                <w:sz w:val="20"/>
                <w:szCs w:val="20"/>
              </w:rPr>
            </w:pPr>
            <w:r w:rsidRPr="00612768">
              <w:rPr>
                <w:b/>
                <w:sz w:val="20"/>
                <w:szCs w:val="20"/>
              </w:rPr>
              <w:t>Proceso Electoral:</w:t>
            </w:r>
          </w:p>
        </w:tc>
        <w:tc>
          <w:tcPr>
            <w:tcW w:w="2958" w:type="pct"/>
            <w:shd w:val="clear" w:color="auto" w:fill="auto"/>
            <w:vAlign w:val="center"/>
          </w:tcPr>
          <w:p w14:paraId="0223728F" w14:textId="77777777" w:rsidR="0006434B" w:rsidRPr="00612768" w:rsidRDefault="0006434B" w:rsidP="00F81DD9">
            <w:pPr>
              <w:spacing w:before="60" w:after="60" w:line="276" w:lineRule="auto"/>
              <w:ind w:left="57"/>
              <w:rPr>
                <w:sz w:val="20"/>
                <w:szCs w:val="20"/>
              </w:rPr>
            </w:pPr>
            <w:r w:rsidRPr="00612768">
              <w:rPr>
                <w:sz w:val="20"/>
                <w:szCs w:val="20"/>
              </w:rPr>
              <w:t>Proceso Electoral Local Ordinario 2023 – 2024.</w:t>
            </w:r>
          </w:p>
        </w:tc>
      </w:tr>
      <w:tr w:rsidR="0006434B" w:rsidRPr="008C1524" w14:paraId="4F44433D" w14:textId="77777777" w:rsidTr="00F81DD9">
        <w:trPr>
          <w:trHeight w:val="624"/>
          <w:jc w:val="center"/>
        </w:trPr>
        <w:tc>
          <w:tcPr>
            <w:tcW w:w="2042" w:type="pct"/>
            <w:shd w:val="clear" w:color="auto" w:fill="auto"/>
            <w:vAlign w:val="center"/>
          </w:tcPr>
          <w:p w14:paraId="6C879BDE" w14:textId="77777777" w:rsidR="0006434B" w:rsidRPr="00612768" w:rsidRDefault="0006434B" w:rsidP="00F81DD9">
            <w:pPr>
              <w:spacing w:before="60" w:after="60" w:line="276" w:lineRule="auto"/>
              <w:ind w:left="57"/>
              <w:jc w:val="right"/>
              <w:rPr>
                <w:b/>
                <w:sz w:val="20"/>
                <w:szCs w:val="20"/>
              </w:rPr>
            </w:pPr>
            <w:r w:rsidRPr="00612768">
              <w:rPr>
                <w:b/>
                <w:sz w:val="20"/>
                <w:szCs w:val="20"/>
              </w:rPr>
              <w:t>Reglamento de Comisiones:</w:t>
            </w:r>
          </w:p>
        </w:tc>
        <w:tc>
          <w:tcPr>
            <w:tcW w:w="2958" w:type="pct"/>
            <w:shd w:val="clear" w:color="auto" w:fill="auto"/>
            <w:vAlign w:val="center"/>
          </w:tcPr>
          <w:p w14:paraId="297381B8" w14:textId="77777777" w:rsidR="0006434B" w:rsidRPr="00612768" w:rsidRDefault="0006434B" w:rsidP="00F81DD9">
            <w:pPr>
              <w:spacing w:before="60" w:after="60" w:line="276" w:lineRule="auto"/>
              <w:ind w:left="57"/>
              <w:rPr>
                <w:sz w:val="20"/>
                <w:szCs w:val="20"/>
              </w:rPr>
            </w:pPr>
            <w:r w:rsidRPr="00612768">
              <w:rPr>
                <w:sz w:val="20"/>
                <w:szCs w:val="20"/>
              </w:rPr>
              <w:t>Reglamento de Comisiones del Consejo Estatal del Instituto Electoral y de Participación Ciudadana de Tabasco.</w:t>
            </w:r>
          </w:p>
        </w:tc>
      </w:tr>
      <w:tr w:rsidR="0006434B" w:rsidRPr="008C1524" w14:paraId="0FAD7295" w14:textId="77777777" w:rsidTr="00F81DD9">
        <w:trPr>
          <w:trHeight w:val="624"/>
          <w:jc w:val="center"/>
        </w:trPr>
        <w:tc>
          <w:tcPr>
            <w:tcW w:w="2042" w:type="pct"/>
            <w:shd w:val="clear" w:color="auto" w:fill="auto"/>
            <w:vAlign w:val="center"/>
          </w:tcPr>
          <w:p w14:paraId="08D45B5F" w14:textId="77777777" w:rsidR="0006434B" w:rsidRPr="00612768" w:rsidRDefault="0006434B" w:rsidP="00F81DD9">
            <w:pPr>
              <w:spacing w:before="60" w:after="60" w:line="276" w:lineRule="auto"/>
              <w:ind w:left="57"/>
              <w:jc w:val="right"/>
              <w:rPr>
                <w:b/>
                <w:sz w:val="20"/>
                <w:szCs w:val="20"/>
              </w:rPr>
            </w:pPr>
            <w:r w:rsidRPr="00612768">
              <w:rPr>
                <w:b/>
                <w:sz w:val="20"/>
                <w:szCs w:val="20"/>
              </w:rPr>
              <w:t>Reglamento de Elecciones:</w:t>
            </w:r>
          </w:p>
        </w:tc>
        <w:tc>
          <w:tcPr>
            <w:tcW w:w="2958" w:type="pct"/>
            <w:shd w:val="clear" w:color="auto" w:fill="auto"/>
            <w:vAlign w:val="center"/>
          </w:tcPr>
          <w:p w14:paraId="55C207AE" w14:textId="77777777" w:rsidR="0006434B" w:rsidRPr="00612768" w:rsidRDefault="0006434B" w:rsidP="00F81DD9">
            <w:pPr>
              <w:spacing w:before="60" w:after="60" w:line="276" w:lineRule="auto"/>
              <w:ind w:left="57"/>
              <w:rPr>
                <w:sz w:val="20"/>
                <w:szCs w:val="20"/>
              </w:rPr>
            </w:pPr>
            <w:r w:rsidRPr="00612768">
              <w:rPr>
                <w:sz w:val="20"/>
                <w:szCs w:val="20"/>
              </w:rPr>
              <w:t>Reglamento de Elecciones del Instituto Nacional Electoral.</w:t>
            </w:r>
          </w:p>
        </w:tc>
      </w:tr>
      <w:tr w:rsidR="0006434B" w:rsidRPr="008C1524" w14:paraId="484EDD0D" w14:textId="77777777" w:rsidTr="00F81DD9">
        <w:trPr>
          <w:trHeight w:val="624"/>
          <w:jc w:val="center"/>
        </w:trPr>
        <w:tc>
          <w:tcPr>
            <w:tcW w:w="2042" w:type="pct"/>
            <w:shd w:val="clear" w:color="auto" w:fill="auto"/>
            <w:vAlign w:val="center"/>
          </w:tcPr>
          <w:p w14:paraId="0C1185D7" w14:textId="77777777" w:rsidR="0006434B" w:rsidRPr="00612768" w:rsidRDefault="0006434B" w:rsidP="00F81DD9">
            <w:pPr>
              <w:spacing w:before="60" w:after="60" w:line="276" w:lineRule="auto"/>
              <w:ind w:left="57"/>
              <w:jc w:val="right"/>
              <w:rPr>
                <w:b/>
                <w:sz w:val="20"/>
                <w:szCs w:val="20"/>
              </w:rPr>
            </w:pPr>
            <w:r w:rsidRPr="00612768">
              <w:rPr>
                <w:b/>
                <w:sz w:val="20"/>
                <w:szCs w:val="20"/>
              </w:rPr>
              <w:t>Secretaría Ejecutiva:</w:t>
            </w:r>
          </w:p>
        </w:tc>
        <w:tc>
          <w:tcPr>
            <w:tcW w:w="2958" w:type="pct"/>
            <w:shd w:val="clear" w:color="auto" w:fill="auto"/>
            <w:vAlign w:val="center"/>
          </w:tcPr>
          <w:p w14:paraId="17483611" w14:textId="77777777" w:rsidR="0006434B" w:rsidRPr="00612768" w:rsidRDefault="0006434B" w:rsidP="00F81DD9">
            <w:pPr>
              <w:spacing w:before="60" w:after="60" w:line="276" w:lineRule="auto"/>
              <w:ind w:left="57"/>
              <w:rPr>
                <w:sz w:val="20"/>
                <w:szCs w:val="20"/>
              </w:rPr>
            </w:pPr>
            <w:r w:rsidRPr="00612768">
              <w:rPr>
                <w:sz w:val="20"/>
                <w:szCs w:val="20"/>
              </w:rPr>
              <w:t>Secretaría Ejecutiva del Instituto Electoral y de Participación Ciudadana de Tabasco.</w:t>
            </w:r>
          </w:p>
        </w:tc>
      </w:tr>
    </w:tbl>
    <w:p w14:paraId="14832261" w14:textId="77777777" w:rsidR="00BA03DE" w:rsidRPr="00612768" w:rsidRDefault="00BA03DE" w:rsidP="00BA03DE">
      <w:pPr>
        <w:pStyle w:val="Ttulo1"/>
        <w:rPr>
          <w:sz w:val="24"/>
          <w:szCs w:val="24"/>
        </w:rPr>
      </w:pPr>
      <w:r w:rsidRPr="00612768">
        <w:rPr>
          <w:sz w:val="24"/>
          <w:szCs w:val="24"/>
        </w:rPr>
        <w:t>Antecedentes</w:t>
      </w:r>
    </w:p>
    <w:p w14:paraId="05CA90E0" w14:textId="77777777" w:rsidR="00BA03DE" w:rsidRPr="00612768" w:rsidRDefault="00BA03DE" w:rsidP="00BA03DE">
      <w:pPr>
        <w:pStyle w:val="Ttulo2"/>
        <w:rPr>
          <w:sz w:val="23"/>
        </w:rPr>
      </w:pPr>
      <w:r w:rsidRPr="00612768">
        <w:rPr>
          <w:sz w:val="23"/>
        </w:rPr>
        <w:t>Modificación de la circunscripción plurinominal</w:t>
      </w:r>
    </w:p>
    <w:p w14:paraId="4724863D" w14:textId="77777777" w:rsidR="00BA03DE" w:rsidRPr="00612768" w:rsidRDefault="00BA03DE" w:rsidP="00BA03DE">
      <w:r w:rsidRPr="00612768">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5F3EBA16" w14:textId="77777777" w:rsidR="00BA03DE" w:rsidRPr="00612768" w:rsidRDefault="00BA03DE" w:rsidP="00BA03DE">
      <w:r w:rsidRPr="00612768">
        <w:t>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0475B55D" w14:textId="77777777" w:rsidR="00BA03DE" w:rsidRPr="00612768" w:rsidRDefault="00BA03DE" w:rsidP="00BA03DE">
      <w:pPr>
        <w:pStyle w:val="Ttulo2"/>
        <w:rPr>
          <w:sz w:val="23"/>
        </w:rPr>
      </w:pPr>
      <w:r w:rsidRPr="00612768">
        <w:rPr>
          <w:sz w:val="23"/>
        </w:rPr>
        <w:t>Homologación de plazos y fechas en los procesos electorales locales concurrentes</w:t>
      </w:r>
    </w:p>
    <w:p w14:paraId="32BB5C52" w14:textId="77777777" w:rsidR="00BA03DE" w:rsidRPr="00612768" w:rsidRDefault="00BA03DE" w:rsidP="00BA03DE">
      <w:r w:rsidRPr="00612768">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58D17DB8" w14:textId="77777777" w:rsidR="00BA03DE" w:rsidRPr="00612768" w:rsidRDefault="00BA03DE" w:rsidP="00BA03DE">
      <w:pPr>
        <w:pStyle w:val="Ttulo2"/>
        <w:rPr>
          <w:sz w:val="23"/>
        </w:rPr>
      </w:pPr>
      <w:r w:rsidRPr="00612768">
        <w:rPr>
          <w:sz w:val="23"/>
        </w:rPr>
        <w:t xml:space="preserve">Plan integral y calendario de coordinación </w:t>
      </w:r>
    </w:p>
    <w:p w14:paraId="77D0E411" w14:textId="77777777" w:rsidR="00BA03DE" w:rsidRPr="00612768" w:rsidRDefault="00BA03DE" w:rsidP="00BA03DE">
      <w:r w:rsidRPr="00612768">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23CA536B" w14:textId="77777777" w:rsidR="00BA03DE" w:rsidRPr="00612768" w:rsidRDefault="00BA03DE" w:rsidP="00BA03DE">
      <w:pPr>
        <w:pStyle w:val="Ttulo2"/>
        <w:rPr>
          <w:sz w:val="23"/>
        </w:rPr>
      </w:pPr>
      <w:r w:rsidRPr="00612768">
        <w:rPr>
          <w:sz w:val="23"/>
        </w:rPr>
        <w:t>Calendario electoral</w:t>
      </w:r>
    </w:p>
    <w:p w14:paraId="23EEF16F" w14:textId="77777777" w:rsidR="00BA03DE" w:rsidRPr="00612768" w:rsidRDefault="00BA03DE" w:rsidP="00BA03DE">
      <w:r w:rsidRPr="00612768">
        <w:t>El 29 de septiembre de 2023, el Consejo Estatal aprobó el acuerdo CE/2023/021 relativo al calendario electoral para el Proceso Electoral.</w:t>
      </w:r>
    </w:p>
    <w:p w14:paraId="20B106B1" w14:textId="77777777" w:rsidR="005E652D" w:rsidRPr="00612768" w:rsidRDefault="005E652D" w:rsidP="005E652D">
      <w:pPr>
        <w:pStyle w:val="Ttulo2"/>
        <w:rPr>
          <w:sz w:val="23"/>
        </w:rPr>
      </w:pPr>
      <w:r w:rsidRPr="00612768">
        <w:rPr>
          <w:sz w:val="23"/>
        </w:rPr>
        <w:t xml:space="preserve">Integración de la Comisión </w:t>
      </w:r>
    </w:p>
    <w:p w14:paraId="425A8633" w14:textId="77777777" w:rsidR="005E652D" w:rsidRPr="00612768" w:rsidRDefault="005E652D" w:rsidP="005E652D">
      <w:r w:rsidRPr="00612768">
        <w:t xml:space="preserve">El 5 de octubre de 2023, mediante acuerdo CE/2023/031, el Consejo Estatal determinó la nueva integración de la Comisión, quedando conformada por las Consejeras y el Consejero Electoral: Dra. </w:t>
      </w:r>
      <w:proofErr w:type="spellStart"/>
      <w:r w:rsidRPr="00612768">
        <w:t>Rosselvy</w:t>
      </w:r>
      <w:proofErr w:type="spellEnd"/>
      <w:r w:rsidRPr="00612768">
        <w:t xml:space="preserve"> del Carmen Domínguez Arévalo, Licda. María Elvia Magaña Sandoval y Lic. Hernán González Sala, Presidente de esta.</w:t>
      </w:r>
    </w:p>
    <w:p w14:paraId="25DB1A76" w14:textId="77777777" w:rsidR="00BA03DE" w:rsidRPr="00612768" w:rsidRDefault="00BA03DE" w:rsidP="00BA03DE">
      <w:pPr>
        <w:pStyle w:val="Ttulo2"/>
        <w:rPr>
          <w:sz w:val="23"/>
        </w:rPr>
      </w:pPr>
      <w:r w:rsidRPr="00612768">
        <w:rPr>
          <w:sz w:val="23"/>
        </w:rPr>
        <w:t>Inicio del Proceso Electoral</w:t>
      </w:r>
    </w:p>
    <w:p w14:paraId="6192E2BA" w14:textId="77777777" w:rsidR="00BA03DE" w:rsidRPr="00612768" w:rsidRDefault="00BA03DE" w:rsidP="00BA03DE">
      <w:r w:rsidRPr="00612768">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5B10ECCF" w14:textId="77777777" w:rsidR="005E652D" w:rsidRPr="00612768" w:rsidRDefault="005E652D" w:rsidP="00AC5172">
      <w:pPr>
        <w:pStyle w:val="Ttulo2"/>
        <w:rPr>
          <w:sz w:val="23"/>
        </w:rPr>
      </w:pPr>
      <w:r w:rsidRPr="00612768">
        <w:rPr>
          <w:sz w:val="23"/>
        </w:rPr>
        <w:t>Sesión de instalación de la Comisión</w:t>
      </w:r>
    </w:p>
    <w:p w14:paraId="3359A8FA" w14:textId="77777777" w:rsidR="005E652D" w:rsidRPr="00612768" w:rsidRDefault="005E652D" w:rsidP="005E652D">
      <w:r w:rsidRPr="00612768">
        <w:t>El 9 de octubre de 2023, en cumplimiento al acuerdo CE/2023/031, en sesión extraordinaria urgente, se llevó a cabo la toma de protesta de ley, por parte de la Presidencia, Consejerías Electorales y la Secretaría Técnica integrantes de la Comisión, quedando formal y legalmente instalada.</w:t>
      </w:r>
    </w:p>
    <w:p w14:paraId="11B44841" w14:textId="77777777" w:rsidR="00BA03DE" w:rsidRPr="00612768" w:rsidRDefault="00BA03DE" w:rsidP="00BA03DE">
      <w:pPr>
        <w:pStyle w:val="Ttulo2"/>
        <w:rPr>
          <w:sz w:val="23"/>
        </w:rPr>
      </w:pPr>
      <w:r w:rsidRPr="00612768">
        <w:rPr>
          <w:sz w:val="23"/>
        </w:rPr>
        <w:t>Convocatoria para la renovación del Poder Ejecutivo, Legislativo y los Ayuntamientos</w:t>
      </w:r>
    </w:p>
    <w:p w14:paraId="4C449963" w14:textId="77777777" w:rsidR="00BA03DE" w:rsidRPr="00612768" w:rsidRDefault="00BA03DE" w:rsidP="00BA03DE">
      <w:r w:rsidRPr="00612768">
        <w:t>El 20 de octubre de 2023, mediante acuerdo CE/2023/035, el Consejo Estatal expidió la convocatoria para renovar a las y los integrantes de los Poderes Ejecutivo, Legislativo y los Ayuntamientos del Estado, con motivo del Proceso Electoral.</w:t>
      </w:r>
    </w:p>
    <w:p w14:paraId="7EBD5882" w14:textId="073518F8" w:rsidR="005E652D" w:rsidRPr="00612768" w:rsidRDefault="005E652D" w:rsidP="00AC5172">
      <w:pPr>
        <w:pStyle w:val="Ttulo2"/>
        <w:rPr>
          <w:sz w:val="23"/>
        </w:rPr>
      </w:pPr>
      <w:r w:rsidRPr="00612768">
        <w:rPr>
          <w:sz w:val="23"/>
        </w:rPr>
        <w:t xml:space="preserve">Presentación de la </w:t>
      </w:r>
      <w:r w:rsidR="00AC5172" w:rsidRPr="00612768">
        <w:rPr>
          <w:sz w:val="23"/>
        </w:rPr>
        <w:t>p</w:t>
      </w:r>
      <w:r w:rsidRPr="00612768">
        <w:rPr>
          <w:sz w:val="23"/>
        </w:rPr>
        <w:t xml:space="preserve">ropuesta de </w:t>
      </w:r>
      <w:r w:rsidR="00AC5172" w:rsidRPr="00612768">
        <w:rPr>
          <w:sz w:val="23"/>
        </w:rPr>
        <w:t>Manual</w:t>
      </w:r>
    </w:p>
    <w:p w14:paraId="40F9627F" w14:textId="77777777" w:rsidR="005E652D" w:rsidRPr="00612768" w:rsidRDefault="005E652D" w:rsidP="005E652D">
      <w:pPr>
        <w:spacing w:line="295" w:lineRule="auto"/>
      </w:pPr>
      <w:r w:rsidRPr="00612768">
        <w:t>El 1 de febrero de 2024, la Secretaria Técnica de la Comisión, mediante oficio COEYEC/ST/04/2024, remitió a la Presidencia del Consejo, la propuesta relativa al Manual, para la deliberación por parte de este Consejo Estatal.</w:t>
      </w:r>
    </w:p>
    <w:p w14:paraId="3A4471F0" w14:textId="77777777" w:rsidR="00BA03DE" w:rsidRPr="00612768" w:rsidRDefault="00BA03DE" w:rsidP="00BA03DE">
      <w:pPr>
        <w:pStyle w:val="Ttulo2"/>
        <w:rPr>
          <w:sz w:val="23"/>
        </w:rPr>
      </w:pPr>
      <w:r w:rsidRPr="00612768">
        <w:rPr>
          <w:sz w:val="23"/>
        </w:rPr>
        <w:t>Jornada electoral</w:t>
      </w:r>
    </w:p>
    <w:p w14:paraId="6ED3C8D2" w14:textId="61028010" w:rsidR="00BA03DE" w:rsidRDefault="00BA03DE" w:rsidP="00BA03DE">
      <w:r w:rsidRPr="00612768">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4DCC08D0" w14:textId="77777777" w:rsidR="00BA03DE" w:rsidRPr="00612768" w:rsidRDefault="00BA03DE" w:rsidP="00BA03DE">
      <w:pPr>
        <w:pStyle w:val="Ttulo1"/>
        <w:rPr>
          <w:sz w:val="24"/>
          <w:szCs w:val="24"/>
        </w:rPr>
      </w:pPr>
      <w:r w:rsidRPr="00612768">
        <w:rPr>
          <w:sz w:val="24"/>
          <w:szCs w:val="24"/>
        </w:rPr>
        <w:t>Considerando</w:t>
      </w:r>
    </w:p>
    <w:p w14:paraId="277AFC64" w14:textId="77777777" w:rsidR="00BA03DE" w:rsidRPr="00612768" w:rsidRDefault="00BA03DE" w:rsidP="00BA03DE">
      <w:pPr>
        <w:pStyle w:val="Ttulo2"/>
        <w:rPr>
          <w:sz w:val="23"/>
        </w:rPr>
      </w:pPr>
      <w:r w:rsidRPr="00612768">
        <w:rPr>
          <w:sz w:val="23"/>
        </w:rPr>
        <w:t xml:space="preserve">Fines del Instituto </w:t>
      </w:r>
    </w:p>
    <w:p w14:paraId="3431403A" w14:textId="77777777" w:rsidR="00BA03DE" w:rsidRPr="00612768" w:rsidRDefault="00BA03DE" w:rsidP="00BA03DE">
      <w:r w:rsidRPr="00612768">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6079B7E0" w14:textId="77777777" w:rsidR="00BA03DE" w:rsidRPr="00612768" w:rsidRDefault="00BA03DE" w:rsidP="00BA03DE">
      <w:r w:rsidRPr="00612768">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88FFF2A" w14:textId="77777777" w:rsidR="00BA03DE" w:rsidRPr="00612768" w:rsidRDefault="00BA03DE" w:rsidP="00BA03DE">
      <w:pPr>
        <w:pStyle w:val="Ttulo2"/>
        <w:rPr>
          <w:sz w:val="23"/>
        </w:rPr>
      </w:pPr>
      <w:r w:rsidRPr="00612768">
        <w:rPr>
          <w:sz w:val="23"/>
        </w:rPr>
        <w:t xml:space="preserve">Órgano Superior de Dirección del Instituto </w:t>
      </w:r>
    </w:p>
    <w:p w14:paraId="073CD297" w14:textId="4FDBD3F2" w:rsidR="00BA03DE" w:rsidRDefault="00BA03DE" w:rsidP="00BA03DE">
      <w:r w:rsidRPr="00612768">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4367A6A6" w14:textId="77777777" w:rsidR="00BA03DE" w:rsidRPr="00612768" w:rsidRDefault="00BA03DE" w:rsidP="00BA03DE">
      <w:pPr>
        <w:pStyle w:val="Ttulo2"/>
        <w:rPr>
          <w:sz w:val="23"/>
        </w:rPr>
      </w:pPr>
      <w:r w:rsidRPr="00612768">
        <w:rPr>
          <w:sz w:val="23"/>
        </w:rPr>
        <w:t>Integración del Órgano de Dirección Superior</w:t>
      </w:r>
    </w:p>
    <w:p w14:paraId="7A710631" w14:textId="77777777" w:rsidR="00BA03DE" w:rsidRPr="00612768" w:rsidRDefault="00BA03DE" w:rsidP="00BA03DE">
      <w:r w:rsidRPr="00612768">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5D078879" w14:textId="77777777" w:rsidR="00BA03DE" w:rsidRPr="00612768" w:rsidRDefault="00BA03DE" w:rsidP="00BA03DE">
      <w:pPr>
        <w:pStyle w:val="Ttulo2"/>
        <w:rPr>
          <w:sz w:val="23"/>
        </w:rPr>
      </w:pPr>
      <w:r w:rsidRPr="00612768">
        <w:rPr>
          <w:sz w:val="23"/>
        </w:rPr>
        <w:t>Competencia del Consejo Estatal</w:t>
      </w:r>
    </w:p>
    <w:p w14:paraId="050B81C5" w14:textId="77777777" w:rsidR="0006434B" w:rsidRPr="00612768" w:rsidRDefault="0006434B" w:rsidP="0006434B">
      <w:pPr>
        <w:spacing w:line="300" w:lineRule="auto"/>
      </w:pPr>
      <w:r w:rsidRPr="00612768">
        <w:t>Que, de conformidad con los artículos 28 numeral 1, 115 numeral 1, fracciones XV, XX, XXI y XXII de la Ley Electoral, el Consejo Estatal es competente para llevar a cabo las actividades necesarias para la preparación de la jornada electoral, así como registrar las candidaturas a Gobernadora o Gobernador del Estado; las listas regionales de candidatas y candidatos a Diputadas y Diputados; así como las de Regidoras y Regidores, ambas de representación proporcional, que presenten los Partidos Políticos o Coaliciones; y, de forma supletoria registrar las candidaturas para Diputadas y Diputados y Regidoras y Regidores por el principio de mayoría relativa.</w:t>
      </w:r>
    </w:p>
    <w:p w14:paraId="257E270E" w14:textId="77777777" w:rsidR="0006434B" w:rsidRPr="00612768" w:rsidRDefault="0006434B" w:rsidP="0006434B">
      <w:pPr>
        <w:spacing w:line="300" w:lineRule="auto"/>
      </w:pPr>
      <w:r w:rsidRPr="00612768">
        <w:t>Acorde a lo anterior, el numeral 2 del artículo 115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73ACF84F" w14:textId="77777777" w:rsidR="0005269E" w:rsidRPr="00612768" w:rsidRDefault="0005269E" w:rsidP="0005269E">
      <w:pPr>
        <w:pStyle w:val="Ttulo2"/>
        <w:rPr>
          <w:sz w:val="23"/>
        </w:rPr>
      </w:pPr>
      <w:r w:rsidRPr="00612768">
        <w:rPr>
          <w:sz w:val="23"/>
        </w:rPr>
        <w:t xml:space="preserve">Órganos distritales o desconcentrados del Instituto </w:t>
      </w:r>
    </w:p>
    <w:p w14:paraId="4DBEDFB1" w14:textId="7D8CCCDF" w:rsidR="0005269E" w:rsidRDefault="0005269E" w:rsidP="0005269E">
      <w:r w:rsidRPr="00612768">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14:paraId="2E985FD8" w14:textId="77777777" w:rsidR="0005269E" w:rsidRPr="00612768" w:rsidRDefault="0005269E" w:rsidP="0005269E">
      <w:pPr>
        <w:pStyle w:val="Ttulo2"/>
        <w:rPr>
          <w:sz w:val="23"/>
        </w:rPr>
      </w:pPr>
      <w:r w:rsidRPr="00612768">
        <w:rPr>
          <w:sz w:val="23"/>
        </w:rPr>
        <w:t>Órganos auxiliares del Consejo Estatal</w:t>
      </w:r>
    </w:p>
    <w:p w14:paraId="26A1B371" w14:textId="77777777" w:rsidR="0005269E" w:rsidRPr="00612768" w:rsidRDefault="0005269E" w:rsidP="0005269E">
      <w:r w:rsidRPr="00612768">
        <w:t>Que, el artículo 113 numeral 1 de la Ley Electoral establece que el Consejo Estatal, además de las comisiones permanentes de Vinculación con el INE, de Organización Electoral y Educación Cívica, de Denuncias y Quejas, y de Igualdad de Género y no Discriminación; podrá constituir las comisiones temporales que considere pertinentes para el desempeño de sus atribuciones, las que siempre serán presididas por una Consejera o un Consejero Electoral, salvo la de Vinculación con el Instituto Nacional Electoral, que será presidida por la Consejera o el Consejero Presidente.</w:t>
      </w:r>
    </w:p>
    <w:p w14:paraId="246DC4F4" w14:textId="77777777" w:rsidR="0005269E" w:rsidRPr="00612768" w:rsidRDefault="0005269E" w:rsidP="0005269E">
      <w:r w:rsidRPr="00612768">
        <w:t>Asimismo, en términos del numeral 2 del artículo mencionado, todas las comisiones se integrarán con un máximo de tres consejeras y consejeros electorales bajo el principio de paridad de género; podrán participar en ellas, con voz, pero sin voto, las consejeras y los consejeros representantes de los partidos políticos.</w:t>
      </w:r>
    </w:p>
    <w:p w14:paraId="22298262" w14:textId="77777777" w:rsidR="0005269E" w:rsidRPr="00612768" w:rsidRDefault="0005269E" w:rsidP="0005269E">
      <w:pPr>
        <w:pStyle w:val="Ttulo2"/>
        <w:rPr>
          <w:sz w:val="23"/>
        </w:rPr>
      </w:pPr>
      <w:r w:rsidRPr="00612768">
        <w:rPr>
          <w:sz w:val="23"/>
        </w:rPr>
        <w:t xml:space="preserve">Atribuciones de la Comisión </w:t>
      </w:r>
    </w:p>
    <w:p w14:paraId="2D7BB6DB" w14:textId="77777777" w:rsidR="0005269E" w:rsidRPr="00612768" w:rsidRDefault="0005269E" w:rsidP="0005269E">
      <w:r w:rsidRPr="00612768">
        <w:t>Que, de la interpretación sistemática y funci</w:t>
      </w:r>
      <w:r w:rsidR="007E1C32" w:rsidRPr="00612768">
        <w:t xml:space="preserve">onal de los artículos 38 y 113 </w:t>
      </w:r>
      <w:r w:rsidRPr="00612768">
        <w:t>numerales 1</w:t>
      </w:r>
      <w:r w:rsidR="007E1C32" w:rsidRPr="00612768">
        <w:t xml:space="preserve"> y 3 de la Ley Electoral; y 14 </w:t>
      </w:r>
      <w:r w:rsidRPr="00612768">
        <w:t>numeral 1</w:t>
      </w:r>
      <w:r w:rsidR="007E1C32" w:rsidRPr="00612768">
        <w:t xml:space="preserve"> fracciones VII y XIII</w:t>
      </w:r>
      <w:r w:rsidRPr="00612768">
        <w:t xml:space="preserve"> del Reglamento de Comisiones, la Comisión es el órgano auxiliar del Consejo Estatal, que tiene entre otras funciones, la de proponer al Consejo, políticas y programas generales en materia de organización electoral, educación c</w:t>
      </w:r>
      <w:r w:rsidR="007E1C32" w:rsidRPr="00612768">
        <w:t xml:space="preserve">ívica o participación ciudadana; así como la de dar seguimiento a la elaboración de contenidos de los materiales didácticos para la capacitación. </w:t>
      </w:r>
    </w:p>
    <w:p w14:paraId="7E22AD72" w14:textId="77777777" w:rsidR="0005269E" w:rsidRPr="00612768" w:rsidRDefault="0005269E" w:rsidP="0005269E">
      <w:pPr>
        <w:pStyle w:val="Ttulo2"/>
        <w:rPr>
          <w:sz w:val="23"/>
        </w:rPr>
      </w:pPr>
      <w:r w:rsidRPr="00612768">
        <w:rPr>
          <w:sz w:val="23"/>
        </w:rPr>
        <w:t xml:space="preserve">Sistema Nacional de Registro de Precandidatos y Candidatos </w:t>
      </w:r>
    </w:p>
    <w:p w14:paraId="1364EFF8" w14:textId="69598E7B" w:rsidR="0005269E" w:rsidRDefault="0005269E" w:rsidP="004D0274">
      <w:r w:rsidRPr="00612768">
        <w:t>Que, de conformidad a lo</w:t>
      </w:r>
      <w:r w:rsidR="004D0274" w:rsidRPr="00612768">
        <w:t xml:space="preserve">s dispuesto en el artículo 270 </w:t>
      </w:r>
      <w:r w:rsidRPr="00612768">
        <w:t xml:space="preserve">numeral 1 del Reglamento de Elecciones, los datos relativos a precandidaturas, candidaturas, aspirantes a candidaturas independientes y candidaturas independientes, tanto en elecciones federales como locales deberán capturarse en el </w:t>
      </w:r>
      <w:r w:rsidR="005E652D" w:rsidRPr="00612768">
        <w:t>Sistema Nacional de Registro (</w:t>
      </w:r>
      <w:r w:rsidRPr="00612768">
        <w:t>SNR</w:t>
      </w:r>
      <w:r w:rsidR="005E652D" w:rsidRPr="00612768">
        <w:t>)</w:t>
      </w:r>
      <w:r w:rsidRPr="00612768">
        <w:t xml:space="preserve"> implementado por el INE, el cual constituye un medio que permite unificar los pro</w:t>
      </w:r>
      <w:r w:rsidR="004D0274" w:rsidRPr="00612768">
        <w:t>cedimientos de captura de datos y de registro de candidaturas, candidaturas independientes, precandidaturas y personas aspirantes a candidaturas independientes.</w:t>
      </w:r>
    </w:p>
    <w:p w14:paraId="2256B2D2" w14:textId="77777777" w:rsidR="0005269E" w:rsidRPr="00612768" w:rsidRDefault="00D621EF" w:rsidP="00D621EF">
      <w:pPr>
        <w:pStyle w:val="Ttulo2"/>
        <w:rPr>
          <w:sz w:val="23"/>
        </w:rPr>
      </w:pPr>
      <w:r w:rsidRPr="00612768">
        <w:rPr>
          <w:sz w:val="23"/>
        </w:rPr>
        <w:t>Registro de candidaturas</w:t>
      </w:r>
    </w:p>
    <w:p w14:paraId="7316DED4" w14:textId="77777777" w:rsidR="0005269E" w:rsidRPr="00612768" w:rsidRDefault="0005269E" w:rsidP="0005269E">
      <w:r w:rsidRPr="00612768">
        <w:t>Que</w:t>
      </w:r>
      <w:r w:rsidR="00D621EF" w:rsidRPr="00612768">
        <w:t>,</w:t>
      </w:r>
      <w:r w:rsidRPr="00612768">
        <w:t xml:space="preserve"> de </w:t>
      </w:r>
      <w:r w:rsidR="00D621EF" w:rsidRPr="00612768">
        <w:t xml:space="preserve">acuerdo con lo establecido en </w:t>
      </w:r>
      <w:r w:rsidRPr="00612768">
        <w:t>el Calendario Electoral apr</w:t>
      </w:r>
      <w:r w:rsidR="00D621EF" w:rsidRPr="00612768">
        <w:t>obado por este Consejo Estatal mediante</w:t>
      </w:r>
      <w:r w:rsidRPr="00612768">
        <w:t xml:space="preserve"> </w:t>
      </w:r>
      <w:r w:rsidR="00D621EF" w:rsidRPr="00612768">
        <w:t>a</w:t>
      </w:r>
      <w:r w:rsidRPr="00612768">
        <w:t>cuerdo CE/2023/021, el período para el registro de candidaturas a los dive</w:t>
      </w:r>
      <w:r w:rsidR="00D621EF" w:rsidRPr="00612768">
        <w:t>rsos cargos de elección popular con motivo d</w:t>
      </w:r>
      <w:r w:rsidRPr="00612768">
        <w:t xml:space="preserve">el Proceso Electoral, es el comprendido del </w:t>
      </w:r>
      <w:r w:rsidR="00D621EF" w:rsidRPr="00612768">
        <w:t xml:space="preserve">3 </w:t>
      </w:r>
      <w:r w:rsidRPr="00612768">
        <w:t xml:space="preserve">al </w:t>
      </w:r>
      <w:r w:rsidR="00D621EF" w:rsidRPr="00612768">
        <w:t xml:space="preserve">12 </w:t>
      </w:r>
      <w:r w:rsidRPr="00612768">
        <w:t xml:space="preserve">de marzo de </w:t>
      </w:r>
      <w:r w:rsidR="00D621EF" w:rsidRPr="00612768">
        <w:t>2024</w:t>
      </w:r>
      <w:r w:rsidRPr="00612768">
        <w:t>.</w:t>
      </w:r>
    </w:p>
    <w:p w14:paraId="4F6F623A" w14:textId="77777777" w:rsidR="0005269E" w:rsidRPr="00612768" w:rsidRDefault="0005269E" w:rsidP="0005269E">
      <w:r w:rsidRPr="00612768">
        <w:t>Lo anterior, en cumplimiento a lo dispuesto en el artículo 188 numeral 1, fracción I de la Ley Electoral, que establece que en el año en que se renueven el titular del Poder Ejecutivo Estatal, el Congreso del Estado y los ayuntamientos, el período de registro para todos los cargos comenzará noventa y un días antes de la jornada electoral y durará diez días, efectuándose ante los siguientes órganos:</w:t>
      </w:r>
    </w:p>
    <w:p w14:paraId="7F18249B" w14:textId="77777777" w:rsidR="0005269E" w:rsidRPr="00612768" w:rsidRDefault="0005269E" w:rsidP="005E652D">
      <w:pPr>
        <w:pStyle w:val="Prrafodelista"/>
        <w:numPr>
          <w:ilvl w:val="0"/>
          <w:numId w:val="6"/>
        </w:numPr>
        <w:ind w:left="748" w:hanging="391"/>
        <w:contextualSpacing w:val="0"/>
      </w:pPr>
      <w:r w:rsidRPr="00612768">
        <w:t xml:space="preserve">A Gobernador, Diputaciones y Regidurías por el principio de representación proporcional, ante el Consejo Estatal; y </w:t>
      </w:r>
    </w:p>
    <w:p w14:paraId="5C4150D5" w14:textId="77777777" w:rsidR="0005269E" w:rsidRPr="00612768" w:rsidRDefault="0005269E" w:rsidP="005E652D">
      <w:pPr>
        <w:pStyle w:val="Prrafodelista"/>
        <w:numPr>
          <w:ilvl w:val="0"/>
          <w:numId w:val="6"/>
        </w:numPr>
        <w:ind w:left="748" w:hanging="391"/>
        <w:contextualSpacing w:val="0"/>
      </w:pPr>
      <w:r w:rsidRPr="00612768">
        <w:t xml:space="preserve">Diputaciones y Regidurías por el principio de </w:t>
      </w:r>
      <w:r w:rsidR="005E652D" w:rsidRPr="00612768">
        <w:t>mayoría relativa</w:t>
      </w:r>
      <w:r w:rsidRPr="00612768">
        <w:t>, ante los Consejos Electorales Distritales respectivos.</w:t>
      </w:r>
    </w:p>
    <w:p w14:paraId="50C6E567" w14:textId="77777777" w:rsidR="0005269E" w:rsidRPr="00612768" w:rsidRDefault="00D621EF" w:rsidP="0005269E">
      <w:r w:rsidRPr="00612768">
        <w:t xml:space="preserve">Además, </w:t>
      </w:r>
      <w:r w:rsidR="0005269E" w:rsidRPr="00612768">
        <w:t>conforme lo dispone el artículo 188, numeral 4 de la Ley Electoral, en el caso de que los</w:t>
      </w:r>
      <w:r w:rsidRPr="00612768">
        <w:t xml:space="preserve"> partidos po</w:t>
      </w:r>
      <w:r w:rsidR="0005269E" w:rsidRPr="00612768">
        <w:t xml:space="preserve">líticos decidan registrar ante el Consejo Estatal, de manera supletoria, a alguna o a la totalidad de las candidaturas a diputaciones o regidurías por el principio de </w:t>
      </w:r>
      <w:r w:rsidRPr="00612768">
        <w:t>mayoría r</w:t>
      </w:r>
      <w:r w:rsidR="0005269E" w:rsidRPr="00612768">
        <w:t xml:space="preserve">elativa, deberán hacerlo a más tardar tres días antes de que venzan los plazos a que se refiere </w:t>
      </w:r>
      <w:r w:rsidRPr="00612768">
        <w:t>el propio</w:t>
      </w:r>
      <w:r w:rsidR="0005269E" w:rsidRPr="00612768">
        <w:t xml:space="preserve"> artículo.</w:t>
      </w:r>
    </w:p>
    <w:p w14:paraId="795B7B14" w14:textId="77777777" w:rsidR="0005269E" w:rsidRPr="00612768" w:rsidRDefault="0005269E" w:rsidP="00D621EF">
      <w:pPr>
        <w:pStyle w:val="Ttulo2"/>
        <w:rPr>
          <w:sz w:val="23"/>
        </w:rPr>
      </w:pPr>
      <w:r w:rsidRPr="00612768">
        <w:rPr>
          <w:sz w:val="23"/>
        </w:rPr>
        <w:t>Requisitos para ocupar</w:t>
      </w:r>
      <w:r w:rsidR="00D621EF" w:rsidRPr="00612768">
        <w:rPr>
          <w:sz w:val="23"/>
        </w:rPr>
        <w:t xml:space="preserve"> los cargos de elección popular</w:t>
      </w:r>
    </w:p>
    <w:p w14:paraId="458DA63A" w14:textId="77777777" w:rsidR="0005269E" w:rsidRPr="00612768" w:rsidRDefault="0005269E" w:rsidP="0005269E">
      <w:r w:rsidRPr="00612768">
        <w:t>Que</w:t>
      </w:r>
      <w:r w:rsidR="00D621EF" w:rsidRPr="00612768">
        <w:t>,</w:t>
      </w:r>
      <w:r w:rsidRPr="00612768">
        <w:t xml:space="preserve"> los artículos 15, 44 y 64 fracción XI de la Constitución Local </w:t>
      </w:r>
      <w:r w:rsidR="00D621EF" w:rsidRPr="00612768">
        <w:t>establecen</w:t>
      </w:r>
      <w:r w:rsidRPr="00612768">
        <w:t xml:space="preserve"> los requisitos que deben satisfacer quienes pretendan ser diputado o diputada, gobernador o gobernadora y regidor o regidora.</w:t>
      </w:r>
    </w:p>
    <w:p w14:paraId="662ED190" w14:textId="77777777" w:rsidR="0005269E" w:rsidRPr="00612768" w:rsidRDefault="0005269E" w:rsidP="00D621EF">
      <w:pPr>
        <w:pStyle w:val="Ttulo2"/>
        <w:rPr>
          <w:sz w:val="23"/>
        </w:rPr>
      </w:pPr>
      <w:r w:rsidRPr="00612768">
        <w:rPr>
          <w:sz w:val="23"/>
        </w:rPr>
        <w:t>Requisitos para registrar las candidaturas</w:t>
      </w:r>
    </w:p>
    <w:p w14:paraId="2D2A80FE" w14:textId="5ADB8D62" w:rsidR="0005269E" w:rsidRDefault="00D621EF" w:rsidP="00D621EF">
      <w:r w:rsidRPr="00612768">
        <w:t>Que, los artículos 11, 187</w:t>
      </w:r>
      <w:r w:rsidR="0005269E" w:rsidRPr="00612768">
        <w:t xml:space="preserve"> numeral 1 y 189 de la Ley Electoral establecen los </w:t>
      </w:r>
      <w:r w:rsidRPr="00612768">
        <w:t xml:space="preserve">siguientes </w:t>
      </w:r>
      <w:r w:rsidR="0005269E" w:rsidRPr="00612768">
        <w:t>r</w:t>
      </w:r>
      <w:r w:rsidRPr="00612768">
        <w:t>equisitos que deben satisfacer</w:t>
      </w:r>
      <w:r w:rsidR="0005269E" w:rsidRPr="00612768">
        <w:t xml:space="preserve"> para el registro de candidaturas </w:t>
      </w:r>
      <w:r w:rsidRPr="00612768">
        <w:t>aquellas personas que se postulen a los cargos de diputado o diputada, gobernador o gobernadora y regidor o regidora</w:t>
      </w:r>
      <w:r w:rsidR="0005269E" w:rsidRPr="00612768">
        <w:t>:</w:t>
      </w:r>
    </w:p>
    <w:p w14:paraId="52A35788" w14:textId="77777777" w:rsidR="0005269E" w:rsidRPr="00D621EF" w:rsidRDefault="0005269E" w:rsidP="00D621EF">
      <w:pPr>
        <w:pStyle w:val="Cita"/>
      </w:pPr>
      <w:r w:rsidRPr="00D621EF">
        <w:t xml:space="preserve">“ARTÍCULO 11. </w:t>
      </w:r>
    </w:p>
    <w:p w14:paraId="5F61CC47" w14:textId="77777777" w:rsidR="0005269E" w:rsidRPr="00091227" w:rsidRDefault="0005269E" w:rsidP="00D621EF">
      <w:pPr>
        <w:pStyle w:val="Cita"/>
      </w:pPr>
      <w:r w:rsidRPr="00091227">
        <w:t xml:space="preserve">1. </w:t>
      </w:r>
      <w:r w:rsidR="004D0274" w:rsidRPr="00091227">
        <w:t>Son elegibles para los cargos de Diputada o Diputado, Gobernadora o Gobernador del Estado, Presidenta o Presidente Municipal y Regidora o Regidor de los Ayuntamientos, las personas que reúnan los requisitos previstos en la Constitución Local.</w:t>
      </w:r>
    </w:p>
    <w:p w14:paraId="45E6B1C2" w14:textId="77777777" w:rsidR="004D0274" w:rsidRPr="00091227" w:rsidRDefault="0005269E" w:rsidP="00D621EF">
      <w:pPr>
        <w:pStyle w:val="Cita"/>
      </w:pPr>
      <w:r w:rsidRPr="00091227">
        <w:t xml:space="preserve">2. </w:t>
      </w:r>
      <w:r w:rsidR="004D0274" w:rsidRPr="00091227">
        <w:t>Además de los requisitos a que se refiere el párrafo anterior, las ciudadanas y los ciudadanos que aspiren a ser candidatos a Diputada o Diputado, Gobernadora o Gobernador del Estado, Presidenta o Presidente Municipal y Regidora o Regidor de los Ayuntamientos, deberán estar inscritos en el padrón electoral correspondiente y contar con credencial para votar.</w:t>
      </w:r>
    </w:p>
    <w:p w14:paraId="3E3E43E2" w14:textId="77777777" w:rsidR="0005269E" w:rsidRPr="00D621EF" w:rsidRDefault="0005269E" w:rsidP="00D621EF">
      <w:pPr>
        <w:pStyle w:val="Cita"/>
      </w:pPr>
      <w:r w:rsidRPr="00D621EF">
        <w:t>3. Adicional a los requisitos previstos en la Constitución Local y esta Ley, quien aspire a ser Diputada o Diputado, Presidenta o Presidente Municipal y Regidora o Regidor de los Ayuntamientos, no deberá estar condenada o condenado por el delito de violencia política contra las mujeres en razón de género.</w:t>
      </w:r>
    </w:p>
    <w:p w14:paraId="75BEF7DC" w14:textId="77777777" w:rsidR="0005269E" w:rsidRPr="00D621EF" w:rsidRDefault="0005269E" w:rsidP="00D621EF">
      <w:pPr>
        <w:pStyle w:val="Cita"/>
      </w:pPr>
      <w:r w:rsidRPr="00D621EF">
        <w:t xml:space="preserve">ARTÍCULO 187. </w:t>
      </w:r>
    </w:p>
    <w:p w14:paraId="3A37AD0E" w14:textId="77777777" w:rsidR="0005269E" w:rsidRPr="00D621EF" w:rsidRDefault="0005269E" w:rsidP="00D621EF">
      <w:pPr>
        <w:pStyle w:val="Cita"/>
      </w:pPr>
      <w:r w:rsidRPr="00D621EF">
        <w:t>1. Para el registro de candidaturas a cargos de elección popular, los partidos postulantes deberán presentar y, obtener el registro de la plataforma electoral que sus candidatas y candidatos sostendrán a lo largo de la campaña política.</w:t>
      </w:r>
    </w:p>
    <w:p w14:paraId="71FC2E94" w14:textId="77777777" w:rsidR="0005269E" w:rsidRPr="00D621EF" w:rsidRDefault="0005269E" w:rsidP="00D621EF">
      <w:pPr>
        <w:pStyle w:val="Cita"/>
      </w:pPr>
      <w:r w:rsidRPr="00D621EF">
        <w:t xml:space="preserve">ARTÍCULO 189. </w:t>
      </w:r>
    </w:p>
    <w:p w14:paraId="7293E756" w14:textId="77777777" w:rsidR="0005269E" w:rsidRPr="00D621EF" w:rsidRDefault="0005269E" w:rsidP="00D621EF">
      <w:pPr>
        <w:pStyle w:val="Cita"/>
      </w:pPr>
      <w:r w:rsidRPr="00D621EF">
        <w:t xml:space="preserve">1. La solicitud de registro de candidaturas deberá señalar el Partido Político o coalición que los postule y los siguientes datos personales del candidato: </w:t>
      </w:r>
    </w:p>
    <w:p w14:paraId="2F1ECCF3" w14:textId="77777777" w:rsidR="0005269E" w:rsidRPr="00D621EF" w:rsidRDefault="0005269E" w:rsidP="00D621EF">
      <w:pPr>
        <w:pStyle w:val="Cita"/>
        <w:numPr>
          <w:ilvl w:val="0"/>
          <w:numId w:val="4"/>
        </w:numPr>
        <w:contextualSpacing/>
      </w:pPr>
      <w:r w:rsidRPr="00D621EF">
        <w:t xml:space="preserve">Apellido paterno, apellido materno y nombre completo; </w:t>
      </w:r>
    </w:p>
    <w:p w14:paraId="4BA93FBF" w14:textId="77777777" w:rsidR="0005269E" w:rsidRPr="00D621EF" w:rsidRDefault="0005269E" w:rsidP="00D621EF">
      <w:pPr>
        <w:pStyle w:val="Cita"/>
        <w:numPr>
          <w:ilvl w:val="0"/>
          <w:numId w:val="4"/>
        </w:numPr>
        <w:contextualSpacing/>
      </w:pPr>
      <w:r w:rsidRPr="00D621EF">
        <w:t xml:space="preserve">Lugar y fecha de nacimiento; </w:t>
      </w:r>
    </w:p>
    <w:p w14:paraId="36FF6871" w14:textId="77777777" w:rsidR="0005269E" w:rsidRPr="00D621EF" w:rsidRDefault="0005269E" w:rsidP="00D621EF">
      <w:pPr>
        <w:pStyle w:val="Cita"/>
        <w:numPr>
          <w:ilvl w:val="0"/>
          <w:numId w:val="4"/>
        </w:numPr>
        <w:contextualSpacing/>
      </w:pPr>
      <w:r w:rsidRPr="00D621EF">
        <w:t xml:space="preserve">Domicilio y tiempo de residencia en el mismo; </w:t>
      </w:r>
    </w:p>
    <w:p w14:paraId="7F5679A9" w14:textId="77777777" w:rsidR="0005269E" w:rsidRPr="00D621EF" w:rsidRDefault="0005269E" w:rsidP="00D621EF">
      <w:pPr>
        <w:pStyle w:val="Cita"/>
        <w:numPr>
          <w:ilvl w:val="0"/>
          <w:numId w:val="4"/>
        </w:numPr>
        <w:contextualSpacing/>
      </w:pPr>
      <w:r w:rsidRPr="00D621EF">
        <w:t xml:space="preserve">Ocupación; </w:t>
      </w:r>
    </w:p>
    <w:p w14:paraId="33863498" w14:textId="77777777" w:rsidR="0005269E" w:rsidRPr="00D621EF" w:rsidRDefault="0005269E" w:rsidP="00D621EF">
      <w:pPr>
        <w:pStyle w:val="Cita"/>
        <w:numPr>
          <w:ilvl w:val="0"/>
          <w:numId w:val="4"/>
        </w:numPr>
        <w:contextualSpacing/>
      </w:pPr>
      <w:r w:rsidRPr="00D621EF">
        <w:t xml:space="preserve">Clave de la credencial para votar, y </w:t>
      </w:r>
    </w:p>
    <w:p w14:paraId="3E9C69C9" w14:textId="77777777" w:rsidR="0005269E" w:rsidRPr="00D621EF" w:rsidRDefault="0005269E" w:rsidP="00D621EF">
      <w:pPr>
        <w:pStyle w:val="Cita"/>
        <w:numPr>
          <w:ilvl w:val="0"/>
          <w:numId w:val="4"/>
        </w:numPr>
        <w:spacing w:before="0"/>
      </w:pPr>
      <w:r w:rsidRPr="00D621EF">
        <w:t xml:space="preserve">Cargo para el que se les postule. </w:t>
      </w:r>
    </w:p>
    <w:p w14:paraId="11931133" w14:textId="77777777" w:rsidR="0005269E" w:rsidRPr="00D621EF" w:rsidRDefault="0005269E" w:rsidP="00D621EF">
      <w:pPr>
        <w:pStyle w:val="Cita"/>
      </w:pPr>
      <w:r w:rsidRPr="00D621EF">
        <w:t>2. Los candidatos a diputados al Congreso del Estado o a regidores de los ayuntamientos, por ambos principios, que sean postulados para un período consecutivo, deberán acompañar una carta que especifique los periodos para los que han sido electos en ese cargo y la manifestación de estar cumpliendo los límites establecidos por la Constitución Local en materia de elección consecutiva.</w:t>
      </w:r>
    </w:p>
    <w:p w14:paraId="52078873" w14:textId="77777777" w:rsidR="0005269E" w:rsidRPr="00D621EF" w:rsidRDefault="0005269E" w:rsidP="00D621EF">
      <w:pPr>
        <w:pStyle w:val="Cita"/>
      </w:pPr>
      <w:r w:rsidRPr="00D621EF">
        <w:t>3. La solicitud deberá acompañarse de la declaración de aceptación de la candidatura, copia del acta de nacimiento y de la credencial para votar.</w:t>
      </w:r>
    </w:p>
    <w:p w14:paraId="060A8317" w14:textId="77777777" w:rsidR="0005269E" w:rsidRPr="00D621EF" w:rsidRDefault="0005269E" w:rsidP="00D621EF">
      <w:pPr>
        <w:pStyle w:val="Cita"/>
      </w:pPr>
      <w:r w:rsidRPr="00D621EF">
        <w:t>4. El Partido Político postulante, en su caso, deberá manifestar por escrito que los candidatos cuyo registro solicita, fueron seleccionados de conformidad con las bases estatuarias del propio partido.</w:t>
      </w:r>
    </w:p>
    <w:p w14:paraId="5C53BEA1" w14:textId="274694D4" w:rsidR="0005269E" w:rsidRPr="00D621EF" w:rsidRDefault="0005269E" w:rsidP="00D621EF">
      <w:pPr>
        <w:pStyle w:val="Cita"/>
      </w:pPr>
      <w:r w:rsidRPr="00D621EF">
        <w:t>5. La solicitud de cada Partido Político para el registro de las listas completas de candidaturas a Diputados por el Principio de Representación Proporcional para las dos circunscripciones plurinominales</w:t>
      </w:r>
      <w:r w:rsidR="00672859" w:rsidRPr="00672859">
        <w:rPr>
          <w:rStyle w:val="Refdenotaalpie"/>
          <w:spacing w:val="-2"/>
          <w:szCs w:val="24"/>
        </w:rPr>
        <w:footnoteReference w:id="1"/>
      </w:r>
      <w:r w:rsidRPr="00D621EF">
        <w:t>, deberá acompañarse, además de los documentos a que se refieren los párrafos anteriores, de la constancia de registro de por lo menos 14 candidaturas de Diputados y 12 Planillas de Regidores, por el Principio de Mayoría Relativa, las que se podrán acreditar con las registradas por el propio partido y las que correspondan a la coalición a la que, en su caso, pertenezcan.</w:t>
      </w:r>
    </w:p>
    <w:p w14:paraId="13C505F3" w14:textId="77777777" w:rsidR="0005269E" w:rsidRPr="00D621EF" w:rsidRDefault="0005269E" w:rsidP="00D621EF">
      <w:pPr>
        <w:pStyle w:val="Cita"/>
      </w:pPr>
      <w:r w:rsidRPr="00D621EF">
        <w:t>6. Para el registro de candidatos por coalición, según corresponda deberá acreditarse que se cumplió con lo dispuesto en los artículos del 86 al 91 de esta Ley, de acuerdo con la elección que se trate.</w:t>
      </w:r>
    </w:p>
    <w:p w14:paraId="0881FE7E" w14:textId="5B998FA2" w:rsidR="0005269E" w:rsidRPr="00D621EF" w:rsidRDefault="0005269E" w:rsidP="00D621EF">
      <w:pPr>
        <w:pStyle w:val="Cita"/>
      </w:pPr>
      <w:r w:rsidRPr="00D621EF">
        <w:t xml:space="preserve">7. La solicitud de registro de las listas de representación </w:t>
      </w:r>
      <w:r w:rsidR="00D621EF" w:rsidRPr="00D621EF">
        <w:t>proporcional</w:t>
      </w:r>
      <w:r w:rsidR="00672859">
        <w:rPr>
          <w:rStyle w:val="Refdenotaalpie"/>
        </w:rPr>
        <w:footnoteReference w:id="2"/>
      </w:r>
      <w:r w:rsidR="00D621EF" w:rsidRPr="00D621EF">
        <w:t xml:space="preserve"> a</w:t>
      </w:r>
      <w:r w:rsidRPr="00D621EF">
        <w:t xml:space="preserve"> que se hace referencia en los párrafos anteriores, deberá especificar cuáles de los integrantes de cada lista están optando por reelegirse en sus cargos y el número de veces que han ocupado la misma posición de manera consecutiva.”</w:t>
      </w:r>
    </w:p>
    <w:p w14:paraId="7E0CD8A0" w14:textId="77777777" w:rsidR="00D621EF" w:rsidRPr="00612768" w:rsidRDefault="00D621EF" w:rsidP="00D621EF">
      <w:pPr>
        <w:pStyle w:val="Ttulo2"/>
        <w:rPr>
          <w:sz w:val="23"/>
        </w:rPr>
      </w:pPr>
      <w:r w:rsidRPr="00612768">
        <w:rPr>
          <w:sz w:val="23"/>
        </w:rPr>
        <w:t xml:space="preserve">Propuesta de Manual </w:t>
      </w:r>
    </w:p>
    <w:p w14:paraId="4DDF5C73" w14:textId="77777777" w:rsidR="00D621EF" w:rsidRPr="00612768" w:rsidRDefault="00D621EF" w:rsidP="00D621EF">
      <w:r w:rsidRPr="00612768">
        <w:t xml:space="preserve">Que, las Comisiones Unidas con base en las atribuciones que le son conferidas en los artículos 14 y 19 del Reglamento de Comisiones, realizaron en conjunto con la </w:t>
      </w:r>
      <w:r w:rsidR="005E652D" w:rsidRPr="00612768">
        <w:t xml:space="preserve">DOEEC </w:t>
      </w:r>
      <w:r w:rsidRPr="00612768">
        <w:t>los trabajos relativos para la elaboración del manual para el registro de candidaturas a la gubernatura, diputaciones, presidencias municipales y regidurías en el Proceso Electoral, el cual recoge las opiniones, razonamientos, argumentos y experiencia de cada uno de sus integrantes, y tiene por objeto brindar a los partidos políticos, y en su caso, candidaturas independientes un insumo integral, ordenado y claro que precise los requisitos correspondientes y documentos que deberán presentar durante la recepción de solicitudes de registro de postulación a los cargos de elección popular que se estarán renovando en el Proceso Electoral, pues en él se plasman los criterios generales para la observancia del principio de paridad, de las acciones afirmativas y se presentan formatos útiles para el registro de las candidaturas.</w:t>
      </w:r>
    </w:p>
    <w:p w14:paraId="0CEA7807" w14:textId="77777777" w:rsidR="00D621EF" w:rsidRPr="00612768" w:rsidRDefault="00D621EF" w:rsidP="00D621EF">
      <w:r w:rsidRPr="00612768">
        <w:t xml:space="preserve">En ese contexto, si bien el Manual propuesto fue aprobado por la Comisión, el producto es resultado del trabajo coordinado y colaborativo de las Comisiones Unidas con el apoyo técnico del personal que integran la Coordinación de Prerrogativas y Partidos Políticos de la </w:t>
      </w:r>
      <w:r w:rsidR="005E652D" w:rsidRPr="00612768">
        <w:t>DOEEC</w:t>
      </w:r>
      <w:r w:rsidRPr="00612768">
        <w:t>, de las Unidades de Igualdad de Género y No Discriminación y de Tecnologías de la Información y Comunicación del Instituto; bajo esas consideraciones, el 29 de enero del 2024, la Comisión, celebró reunión de trabajo con sus integrantes; en la mesa de trabajo se presentó de manera ejecutiva a las representaciones de los partidos políticos el proyecto del presente Manual.</w:t>
      </w:r>
    </w:p>
    <w:p w14:paraId="1A0B6CA0" w14:textId="77777777" w:rsidR="00D621EF" w:rsidRPr="00612768" w:rsidRDefault="00D621EF" w:rsidP="00D621EF">
      <w:r w:rsidRPr="00612768">
        <w:t xml:space="preserve">Posteriormente, el 1 de febrero del 2024, previa a la celebración de la Sesión Extraordinaria de la Comisión, se llevó a cabo la segunda reunión de trabajo, a través de la cual, las Consejerías Electorales integrantes de la comisión, junto con las Consejerías representantes de los partidos políticos integrantes de la misma, realizaron observaciones en relación </w:t>
      </w:r>
      <w:r w:rsidR="005E652D" w:rsidRPr="00612768">
        <w:t xml:space="preserve">con el </w:t>
      </w:r>
      <w:r w:rsidRPr="00612768">
        <w:t xml:space="preserve">contenido de Manual </w:t>
      </w:r>
      <w:r w:rsidR="005E652D" w:rsidRPr="00612768">
        <w:t xml:space="preserve">las cuales </w:t>
      </w:r>
      <w:r w:rsidRPr="00612768">
        <w:t>fueron solventadas.</w:t>
      </w:r>
    </w:p>
    <w:p w14:paraId="435305EC" w14:textId="77777777" w:rsidR="0005269E" w:rsidRPr="00612768" w:rsidRDefault="00D621EF" w:rsidP="00D621EF">
      <w:r w:rsidRPr="00612768">
        <w:t>Por lo anterior, los trabajos realizados de manera conjunta por las Comisiones Unidas relacionados con la elaboración del Manual, son complementarias y en la especie estaríamos hablando de un trabajo colaborativo de comisiones unidas, eficaz para el cumplimiento de las finalidades del Instituto.</w:t>
      </w:r>
    </w:p>
    <w:p w14:paraId="631719BB" w14:textId="77777777" w:rsidR="00D621EF" w:rsidRPr="00612768" w:rsidRDefault="005E652D" w:rsidP="00D621EF">
      <w:r w:rsidRPr="00612768">
        <w:t>Sobre esa base, c</w:t>
      </w:r>
      <w:r w:rsidR="00D621EF" w:rsidRPr="00612768">
        <w:t xml:space="preserve">omo parte de la preparación de las elecciones que se celebrarán el próximo 2 de junio del </w:t>
      </w:r>
      <w:r w:rsidRPr="00612768">
        <w:t>2024</w:t>
      </w:r>
      <w:r w:rsidR="00D621EF" w:rsidRPr="00612768">
        <w:t xml:space="preserve">, en las que las y los ciudadanos tabasqueños elegirán a quienes habrán de ocupar los cargos </w:t>
      </w:r>
      <w:r w:rsidRPr="00612768">
        <w:t xml:space="preserve">a la </w:t>
      </w:r>
      <w:r w:rsidR="00D621EF" w:rsidRPr="00612768">
        <w:t xml:space="preserve">Gubernatura, Diputaciones Locales e integrantes de las Presidencias Municipales y Regidurías en el Estado, </w:t>
      </w:r>
      <w:r w:rsidRPr="00612768">
        <w:t xml:space="preserve">la Comisión propuso a este </w:t>
      </w:r>
      <w:r w:rsidR="00D621EF" w:rsidRPr="00612768">
        <w:t xml:space="preserve">Consejo Estatal, el </w:t>
      </w:r>
      <w:r w:rsidRPr="00612768">
        <w:t>M</w:t>
      </w:r>
      <w:r w:rsidR="00D621EF" w:rsidRPr="00612768">
        <w:t>anual que tiene como finalidad servir de guía, para que de manera ordenada se agilice la revisión de la documentación que presenten los partidos políticos y en su caso, las candidaturas independientes, en cada una de las faces dentro del procedimiento de registro de candidaturas.</w:t>
      </w:r>
    </w:p>
    <w:p w14:paraId="08430376" w14:textId="77777777" w:rsidR="00D621EF" w:rsidRPr="00612768" w:rsidRDefault="00D621EF" w:rsidP="00D621EF">
      <w:r w:rsidRPr="00612768">
        <w:t>De igual forma proporciona a los partidos políticos y en su caso, las candidaturas independientes, así como a órganos desconcentrados del Instituto, los elementos e información necesaria que les permita llevar a cabo el registro de candidaturas de manera eficiente y sin contratiempo alguno, ante los órganos electorales correspondientes.</w:t>
      </w:r>
    </w:p>
    <w:p w14:paraId="0DE88842" w14:textId="77777777" w:rsidR="00D621EF" w:rsidRPr="00612768" w:rsidRDefault="00D621EF" w:rsidP="00D621EF">
      <w:r w:rsidRPr="00612768">
        <w:t>Asimismo, el manual, contiene la información relacionada con los requisitos constitucionales y legales para ocupar cada cargo, los plazos y los órganos competentes para efectuar el registro; el procedimiento de registro ante el Sistema Nacional de Registro; el procedimiento de registro tratándose coaliciones o candidaturas comunes; los requisitos que debe satisfacer la solicitud, los documentos que deben acompañarse; la verificación de los requisitos; publicación de registro de candidaturas, así como las sustituciones.</w:t>
      </w:r>
    </w:p>
    <w:p w14:paraId="2CBFFCE8" w14:textId="77777777" w:rsidR="00D621EF" w:rsidRPr="00612768" w:rsidRDefault="00D621EF" w:rsidP="00D621EF">
      <w:r w:rsidRPr="00612768">
        <w:t>Lo anterior, con el fin de que, las personas interesadas tomen las previsiones correspondientes y cuenten con el tiempo necesario que les permita recabar la información y documentación que deberá de ser exhibida con la solicitud de registro, y así evitar cualquier retraso o contratiempo a consecuencia de la falta de información.</w:t>
      </w:r>
    </w:p>
    <w:p w14:paraId="5C561B35" w14:textId="77777777" w:rsidR="00D621EF" w:rsidRPr="00612768" w:rsidRDefault="00D621EF" w:rsidP="00D621EF">
      <w:r w:rsidRPr="00612768">
        <w:t>Asimismo, los instructivos de apoyo, cuentan entre otros, con los formatos que deberán presentarse ante el órgano electoral que corresponda, para solicitar el registro y acreditar el cumplimiento de los requisitos establecidos en la Constitución Local para ocupar los diversos cargos de elección popular en disputa, para la sustitución de candidaturas, así como el formato relativo a la declaración de aceptación de candidatura a la que alude el artículo 189 numeral 3 de la Ley Electoral.</w:t>
      </w:r>
    </w:p>
    <w:p w14:paraId="6E5EB2AB" w14:textId="77777777" w:rsidR="00D621EF" w:rsidRPr="00612768" w:rsidRDefault="00D621EF" w:rsidP="00D621EF">
      <w:r w:rsidRPr="00612768">
        <w:t>Lo anterior, como se ha señalado, con el fin de dar cumplimiento a lo establecido en los artículos 101 numeral 1 fracción III, 102 numeral 1, 106 y 115 numeral 1 fracciones IX, XII y XV de la Ley Electoral</w:t>
      </w:r>
      <w:r w:rsidR="005E652D" w:rsidRPr="00612768">
        <w:t xml:space="preserve"> que refieren que corresponde </w:t>
      </w:r>
      <w:r w:rsidRPr="00612768">
        <w:t xml:space="preserve">al Instituto asegurar a las y los candidatos el ejercicio de sus derechos político-electorales; a regir sus funciones y actividades por los principios básicos de </w:t>
      </w:r>
      <w:r w:rsidR="005E652D" w:rsidRPr="00612768">
        <w:t>certeza, imparcialidad, independencia, legalidad, máxima publicidad, objetividad y paridad de género</w:t>
      </w:r>
      <w:r w:rsidRPr="00612768">
        <w:t xml:space="preserve">; y al Consejo Estatal a vigilar el cumplimiento de las disposiciones constitucionales y legales en materia electoral, así como de velar porque los principios de </w:t>
      </w:r>
      <w:r w:rsidR="005E652D" w:rsidRPr="00612768">
        <w:t xml:space="preserve">certeza, legalidad, independencia, máxima publicidad, imparcialidad y objetividad, </w:t>
      </w:r>
      <w:r w:rsidRPr="00612768">
        <w:t>guíen todas las actividades del Instituto.</w:t>
      </w:r>
    </w:p>
    <w:p w14:paraId="41F931F9" w14:textId="77777777" w:rsidR="005E652D" w:rsidRDefault="005E652D" w:rsidP="005E652D">
      <w:r w:rsidRPr="00612768">
        <w:t>Sobre la base de las consideraciones señaladas, este Consejo Estatal emite el siguiente</w:t>
      </w:r>
      <w:r>
        <w:t>:</w:t>
      </w:r>
    </w:p>
    <w:p w14:paraId="0FFEEE02" w14:textId="77777777" w:rsidR="005E652D" w:rsidRPr="00612768" w:rsidRDefault="005E652D" w:rsidP="005E652D">
      <w:pPr>
        <w:pStyle w:val="Ttulo1"/>
        <w:rPr>
          <w:sz w:val="24"/>
          <w:szCs w:val="24"/>
        </w:rPr>
      </w:pPr>
      <w:r w:rsidRPr="00612768">
        <w:rPr>
          <w:sz w:val="24"/>
          <w:szCs w:val="24"/>
        </w:rPr>
        <w:t>Acuerdo</w:t>
      </w:r>
    </w:p>
    <w:p w14:paraId="41FD8051" w14:textId="5E28F035" w:rsidR="005E652D" w:rsidRPr="00612768" w:rsidRDefault="005E652D" w:rsidP="005E652D">
      <w:r w:rsidRPr="00612768">
        <w:rPr>
          <w:b/>
        </w:rPr>
        <w:t>Primero.</w:t>
      </w:r>
      <w:r w:rsidRPr="00612768">
        <w:t xml:space="preserve"> </w:t>
      </w:r>
      <w:r w:rsidR="0006434B" w:rsidRPr="00612768">
        <w:t xml:space="preserve">Se aprueba </w:t>
      </w:r>
      <w:r w:rsidR="00B3522D" w:rsidRPr="00612768">
        <w:t>Manual para el registro de candidaturas a la Gubernatura, Diputaciones, Presidencias Municipales y Regidurías en el Proceso Electoral Local Ordinario 2023</w:t>
      </w:r>
      <w:r w:rsidR="00091227" w:rsidRPr="00612768">
        <w:t xml:space="preserve"> </w:t>
      </w:r>
      <w:r w:rsidR="00B3522D" w:rsidRPr="00612768">
        <w:t>-</w:t>
      </w:r>
      <w:r w:rsidR="00091227" w:rsidRPr="00612768">
        <w:t xml:space="preserve"> </w:t>
      </w:r>
      <w:r w:rsidR="00B3522D" w:rsidRPr="00612768">
        <w:t xml:space="preserve">2024, </w:t>
      </w:r>
      <w:r w:rsidR="0006434B" w:rsidRPr="00612768">
        <w:t>que forma parte integral del presente acuerdo como anexo 1.</w:t>
      </w:r>
    </w:p>
    <w:p w14:paraId="3530891B" w14:textId="77777777" w:rsidR="0006434B" w:rsidRPr="00612768" w:rsidRDefault="0006434B" w:rsidP="005E652D">
      <w:r w:rsidRPr="00612768">
        <w:rPr>
          <w:b/>
        </w:rPr>
        <w:t>Segundo.</w:t>
      </w:r>
      <w:r w:rsidRPr="00612768">
        <w:t xml:space="preserve"> Se instruye a la Dirección de Organización Electoral y Educación Cívica de este Instituto, para qué, a través de la Coordinación de Prerrogativas y Partidos Políticos difunda entre los partidos políticos y en su caso candidaturas independientes, así como a las organizaciones de ciudadanos que lo soliciten, el contenido del Manual aprobado y proporcionen la asesoría y orientación que se requiera.</w:t>
      </w:r>
    </w:p>
    <w:p w14:paraId="220896F2" w14:textId="77777777" w:rsidR="0006434B" w:rsidRPr="00612768" w:rsidRDefault="0006434B" w:rsidP="005E652D">
      <w:pPr>
        <w:pStyle w:val="Puntos"/>
        <w:widowControl w:val="0"/>
        <w:spacing w:line="300" w:lineRule="auto"/>
        <w:ind w:left="0"/>
        <w:rPr>
          <w:sz w:val="23"/>
          <w:szCs w:val="23"/>
        </w:rPr>
      </w:pPr>
      <w:r w:rsidRPr="00612768">
        <w:rPr>
          <w:b/>
          <w:sz w:val="23"/>
          <w:szCs w:val="23"/>
        </w:rPr>
        <w:t>Tercero.</w:t>
      </w:r>
      <w:r w:rsidRPr="00612768">
        <w:rPr>
          <w:sz w:val="23"/>
          <w:szCs w:val="23"/>
        </w:rPr>
        <w:t xml:space="preserve"> Del mismo modo, se instruye a la Dirección de Organización Electoral y Educación Cívica, prevea la logística necesaria y realice las capacitaciones correspondientes a las áreas que guarden relación con el Manual motivo de aprobación, para su cabal cumplimiento.</w:t>
      </w:r>
    </w:p>
    <w:p w14:paraId="3E9375FD" w14:textId="77777777" w:rsidR="005E652D" w:rsidRPr="00612768" w:rsidRDefault="0006434B" w:rsidP="005E652D">
      <w:pPr>
        <w:pStyle w:val="Puntos"/>
        <w:widowControl w:val="0"/>
        <w:spacing w:line="300" w:lineRule="auto"/>
        <w:ind w:left="0"/>
        <w:rPr>
          <w:sz w:val="23"/>
          <w:szCs w:val="23"/>
        </w:rPr>
      </w:pPr>
      <w:r w:rsidRPr="00612768">
        <w:rPr>
          <w:b/>
          <w:sz w:val="23"/>
          <w:szCs w:val="23"/>
        </w:rPr>
        <w:t xml:space="preserve">Cuarto. </w:t>
      </w:r>
      <w:r w:rsidR="005E652D" w:rsidRPr="00612768">
        <w:rPr>
          <w:sz w:val="23"/>
          <w:szCs w:val="23"/>
        </w:rPr>
        <w:t>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3A224DF7" w14:textId="77777777" w:rsidR="005E652D" w:rsidRPr="00612768" w:rsidRDefault="0006434B" w:rsidP="005E652D">
      <w:pPr>
        <w:pStyle w:val="Puntos"/>
        <w:widowControl w:val="0"/>
        <w:spacing w:line="300" w:lineRule="auto"/>
        <w:ind w:left="0"/>
        <w:rPr>
          <w:sz w:val="23"/>
          <w:szCs w:val="23"/>
        </w:rPr>
      </w:pPr>
      <w:r w:rsidRPr="00612768">
        <w:rPr>
          <w:b/>
          <w:bCs/>
          <w:sz w:val="23"/>
          <w:szCs w:val="23"/>
        </w:rPr>
        <w:t>Quinto</w:t>
      </w:r>
      <w:r w:rsidR="005E652D" w:rsidRPr="00612768">
        <w:rPr>
          <w:b/>
          <w:bCs/>
          <w:sz w:val="23"/>
          <w:szCs w:val="23"/>
        </w:rPr>
        <w:t>.</w:t>
      </w:r>
      <w:r w:rsidR="005E652D" w:rsidRPr="00612768">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5115DB84" w14:textId="2B1AC99D" w:rsidR="005E652D" w:rsidRPr="00612768" w:rsidRDefault="005E652D" w:rsidP="005E652D">
      <w:pPr>
        <w:pStyle w:val="Puntos"/>
        <w:widowControl w:val="0"/>
        <w:spacing w:line="300" w:lineRule="auto"/>
        <w:ind w:left="0"/>
        <w:rPr>
          <w:sz w:val="23"/>
          <w:szCs w:val="23"/>
        </w:rPr>
      </w:pPr>
      <w:r w:rsidRPr="00612768">
        <w:rPr>
          <w:sz w:val="23"/>
          <w:szCs w:val="23"/>
        </w:rPr>
        <w:t xml:space="preserve">El presente acuerdo fue </w:t>
      </w:r>
      <w:r w:rsidR="00612768">
        <w:rPr>
          <w:sz w:val="23"/>
          <w:szCs w:val="23"/>
        </w:rPr>
        <w:t>aprobado</w:t>
      </w:r>
      <w:r w:rsidRPr="00612768">
        <w:rPr>
          <w:sz w:val="23"/>
          <w:szCs w:val="23"/>
        </w:rPr>
        <w:t xml:space="preserve"> en sesión </w:t>
      </w:r>
      <w:r w:rsidR="00612768">
        <w:rPr>
          <w:sz w:val="23"/>
          <w:szCs w:val="23"/>
        </w:rPr>
        <w:t>extraordinaria</w:t>
      </w:r>
      <w:r w:rsidRPr="00612768">
        <w:rPr>
          <w:sz w:val="23"/>
          <w:szCs w:val="23"/>
        </w:rPr>
        <w:t xml:space="preserve"> efectuada el </w:t>
      </w:r>
      <w:r w:rsidR="00612768">
        <w:rPr>
          <w:sz w:val="23"/>
          <w:szCs w:val="23"/>
        </w:rPr>
        <w:t xml:space="preserve">03 </w:t>
      </w:r>
      <w:r w:rsidRPr="00612768">
        <w:rPr>
          <w:sz w:val="23"/>
          <w:szCs w:val="23"/>
        </w:rPr>
        <w:t>de</w:t>
      </w:r>
      <w:r w:rsidR="004D7F1D">
        <w:rPr>
          <w:sz w:val="23"/>
          <w:szCs w:val="23"/>
        </w:rPr>
        <w:t xml:space="preserve"> febrero</w:t>
      </w:r>
      <w:r w:rsidRPr="00612768">
        <w:rPr>
          <w:sz w:val="23"/>
          <w:szCs w:val="23"/>
        </w:rPr>
        <w:t xml:space="preserve"> del año dos mil veinticuatro, por votación </w:t>
      </w:r>
      <w:r w:rsidR="00612768">
        <w:rPr>
          <w:sz w:val="23"/>
          <w:szCs w:val="23"/>
        </w:rPr>
        <w:t>unánime</w:t>
      </w:r>
      <w:r w:rsidRPr="00612768">
        <w:rPr>
          <w:sz w:val="23"/>
          <w:szCs w:val="23"/>
        </w:rPr>
        <w:t xml:space="preserve"> de las y los Consejeros Electorales del Consejo Estatal del Instituto Electoral y de Participación Ciudadana de Tabasco: Dra. </w:t>
      </w:r>
      <w:proofErr w:type="spellStart"/>
      <w:r w:rsidRPr="00612768">
        <w:rPr>
          <w:sz w:val="23"/>
          <w:szCs w:val="23"/>
        </w:rPr>
        <w:t>Rosselvy</w:t>
      </w:r>
      <w:proofErr w:type="spellEnd"/>
      <w:r w:rsidRPr="00612768">
        <w:rPr>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4E93282D" w14:textId="77777777" w:rsidR="005E652D" w:rsidRPr="00612768" w:rsidRDefault="005E652D" w:rsidP="005E652D">
      <w:bookmarkStart w:id="0" w:name="_GoBack"/>
      <w:bookmarkEnd w:id="0"/>
    </w:p>
    <w:p w14:paraId="7E791C49" w14:textId="77777777" w:rsidR="005E652D" w:rsidRPr="00612768" w:rsidRDefault="005E652D" w:rsidP="005E652D"/>
    <w:p w14:paraId="073F29D7" w14:textId="77777777" w:rsidR="005E652D" w:rsidRPr="00612768" w:rsidRDefault="005E652D" w:rsidP="005E652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5E652D" w:rsidRPr="00612768" w14:paraId="346C0728" w14:textId="77777777" w:rsidTr="00F81DD9">
        <w:tc>
          <w:tcPr>
            <w:tcW w:w="4248" w:type="dxa"/>
          </w:tcPr>
          <w:p w14:paraId="1D34C066" w14:textId="77777777" w:rsidR="005E652D" w:rsidRPr="00612768" w:rsidRDefault="005E652D" w:rsidP="00F81DD9">
            <w:pPr>
              <w:spacing w:before="0" w:after="0" w:line="300" w:lineRule="auto"/>
              <w:jc w:val="center"/>
              <w:rPr>
                <w:rFonts w:ascii="Arial Negrita" w:hAnsi="Arial Negrita"/>
                <w:b/>
                <w:bCs/>
                <w:spacing w:val="-10"/>
              </w:rPr>
            </w:pPr>
            <w:r w:rsidRPr="00612768">
              <w:rPr>
                <w:rFonts w:ascii="Arial Negrita" w:hAnsi="Arial Negrita"/>
                <w:b/>
                <w:bCs/>
                <w:spacing w:val="-10"/>
              </w:rPr>
              <w:t>MTRA. ELIZABETH NAVA GUTIÉRREZ</w:t>
            </w:r>
          </w:p>
          <w:p w14:paraId="0BC5D1BD" w14:textId="77777777" w:rsidR="005E652D" w:rsidRPr="00612768" w:rsidRDefault="005E652D" w:rsidP="00F81DD9">
            <w:pPr>
              <w:spacing w:before="0" w:after="0" w:line="300" w:lineRule="auto"/>
              <w:jc w:val="center"/>
              <w:rPr>
                <w:b/>
                <w:bCs/>
              </w:rPr>
            </w:pPr>
            <w:r w:rsidRPr="00612768">
              <w:rPr>
                <w:rFonts w:ascii="Arial Negrita" w:hAnsi="Arial Negrita"/>
                <w:b/>
                <w:bCs/>
                <w:spacing w:val="-10"/>
              </w:rPr>
              <w:t>CONSEJERA PRESIDENTA</w:t>
            </w:r>
          </w:p>
        </w:tc>
        <w:tc>
          <w:tcPr>
            <w:tcW w:w="283" w:type="dxa"/>
          </w:tcPr>
          <w:p w14:paraId="3F0BFA7B" w14:textId="77777777" w:rsidR="005E652D" w:rsidRPr="00612768" w:rsidRDefault="005E652D" w:rsidP="00F81DD9">
            <w:pPr>
              <w:spacing w:before="0" w:after="0" w:line="300" w:lineRule="auto"/>
              <w:rPr>
                <w:b/>
                <w:bCs/>
              </w:rPr>
            </w:pPr>
          </w:p>
        </w:tc>
        <w:tc>
          <w:tcPr>
            <w:tcW w:w="4297" w:type="dxa"/>
          </w:tcPr>
          <w:p w14:paraId="49950AB6" w14:textId="77777777" w:rsidR="005E652D" w:rsidRPr="00612768" w:rsidRDefault="005E652D" w:rsidP="00F81DD9">
            <w:pPr>
              <w:spacing w:before="0" w:after="0" w:line="300" w:lineRule="auto"/>
              <w:jc w:val="center"/>
              <w:rPr>
                <w:rFonts w:ascii="Arial Negrita" w:hAnsi="Arial Negrita"/>
                <w:b/>
                <w:bCs/>
                <w:spacing w:val="-10"/>
              </w:rPr>
            </w:pPr>
            <w:r w:rsidRPr="00612768">
              <w:rPr>
                <w:rFonts w:ascii="Arial Negrita" w:hAnsi="Arial Negrita"/>
                <w:b/>
                <w:bCs/>
                <w:spacing w:val="-10"/>
              </w:rPr>
              <w:t>LIC. JORGE ALBERTO ZAVALA FRÍAS</w:t>
            </w:r>
          </w:p>
          <w:p w14:paraId="75C8D3A3" w14:textId="77777777" w:rsidR="005E652D" w:rsidRPr="00612768" w:rsidRDefault="005E652D" w:rsidP="00F81DD9">
            <w:pPr>
              <w:spacing w:before="0" w:after="0" w:line="300" w:lineRule="auto"/>
              <w:jc w:val="center"/>
              <w:rPr>
                <w:b/>
                <w:bCs/>
              </w:rPr>
            </w:pPr>
            <w:r w:rsidRPr="00612768">
              <w:rPr>
                <w:rFonts w:ascii="Arial Negrita" w:hAnsi="Arial Negrita"/>
                <w:b/>
                <w:bCs/>
                <w:spacing w:val="-10"/>
              </w:rPr>
              <w:t>SECRETARIO DEL CONSEJO</w:t>
            </w:r>
          </w:p>
        </w:tc>
      </w:tr>
    </w:tbl>
    <w:p w14:paraId="5DEF1CFA" w14:textId="77777777" w:rsidR="005E652D" w:rsidRPr="00612768" w:rsidRDefault="005E652D" w:rsidP="005E652D"/>
    <w:sectPr w:rsidR="005E652D" w:rsidRPr="00612768" w:rsidSect="00612768">
      <w:headerReference w:type="default" r:id="rId8"/>
      <w:footerReference w:type="default" r:id="rId9"/>
      <w:pgSz w:w="12240" w:h="15840" w:code="1"/>
      <w:pgMar w:top="2835" w:right="1608"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56E78" w14:textId="77777777" w:rsidR="0023212A" w:rsidRDefault="0023212A" w:rsidP="005E652D">
      <w:pPr>
        <w:spacing w:before="0" w:after="0" w:line="240" w:lineRule="auto"/>
      </w:pPr>
      <w:r>
        <w:separator/>
      </w:r>
    </w:p>
  </w:endnote>
  <w:endnote w:type="continuationSeparator" w:id="0">
    <w:p w14:paraId="09865C71" w14:textId="77777777" w:rsidR="0023212A" w:rsidRDefault="0023212A" w:rsidP="005E65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18"/>
        <w:szCs w:val="20"/>
      </w:rPr>
      <w:id w:val="-1400975691"/>
      <w:docPartObj>
        <w:docPartGallery w:val="Page Numbers (Top of Page)"/>
        <w:docPartUnique/>
      </w:docPartObj>
    </w:sdtPr>
    <w:sdtEndPr/>
    <w:sdtContent>
      <w:p w14:paraId="15866122" w14:textId="19A55FCF" w:rsidR="005E652D" w:rsidRPr="005E652D" w:rsidRDefault="005E652D" w:rsidP="005E652D">
        <w:pPr>
          <w:pStyle w:val="Piedepgina"/>
          <w:jc w:val="right"/>
          <w:rPr>
            <w:color w:val="993366"/>
            <w:sz w:val="18"/>
            <w:szCs w:val="20"/>
          </w:rPr>
        </w:pPr>
        <w:r w:rsidRPr="003E0EC5">
          <w:rPr>
            <w:b/>
            <w:bCs/>
            <w:color w:val="993366"/>
            <w:sz w:val="22"/>
            <w:lang w:val="es-ES"/>
          </w:rPr>
          <w:t xml:space="preserve">Página </w:t>
        </w:r>
        <w:r w:rsidRPr="003E0EC5">
          <w:rPr>
            <w:b/>
            <w:bCs/>
            <w:color w:val="993366"/>
            <w:sz w:val="22"/>
          </w:rPr>
          <w:fldChar w:fldCharType="begin"/>
        </w:r>
        <w:r w:rsidRPr="003E0EC5">
          <w:rPr>
            <w:b/>
            <w:bCs/>
            <w:color w:val="993366"/>
            <w:sz w:val="22"/>
          </w:rPr>
          <w:instrText>PAGE</w:instrText>
        </w:r>
        <w:r w:rsidRPr="003E0EC5">
          <w:rPr>
            <w:b/>
            <w:bCs/>
            <w:color w:val="993366"/>
            <w:sz w:val="22"/>
          </w:rPr>
          <w:fldChar w:fldCharType="separate"/>
        </w:r>
        <w:r w:rsidR="004D7F1D">
          <w:rPr>
            <w:b/>
            <w:bCs/>
            <w:noProof/>
            <w:color w:val="993366"/>
            <w:sz w:val="22"/>
          </w:rPr>
          <w:t>9</w:t>
        </w:r>
        <w:r w:rsidRPr="003E0EC5">
          <w:rPr>
            <w:b/>
            <w:bCs/>
            <w:color w:val="993366"/>
            <w:sz w:val="22"/>
          </w:rPr>
          <w:fldChar w:fldCharType="end"/>
        </w:r>
        <w:r w:rsidRPr="003E0EC5">
          <w:rPr>
            <w:b/>
            <w:bCs/>
            <w:color w:val="993366"/>
            <w:sz w:val="22"/>
            <w:lang w:val="es-ES"/>
          </w:rPr>
          <w:t xml:space="preserve"> | </w:t>
        </w:r>
        <w:r w:rsidRPr="003E0EC5">
          <w:rPr>
            <w:b/>
            <w:bCs/>
            <w:color w:val="993366"/>
            <w:sz w:val="22"/>
          </w:rPr>
          <w:fldChar w:fldCharType="begin"/>
        </w:r>
        <w:r w:rsidRPr="003E0EC5">
          <w:rPr>
            <w:b/>
            <w:bCs/>
            <w:color w:val="993366"/>
            <w:sz w:val="22"/>
          </w:rPr>
          <w:instrText>NUMPAGES</w:instrText>
        </w:r>
        <w:r w:rsidRPr="003E0EC5">
          <w:rPr>
            <w:b/>
            <w:bCs/>
            <w:color w:val="993366"/>
            <w:sz w:val="22"/>
          </w:rPr>
          <w:fldChar w:fldCharType="separate"/>
        </w:r>
        <w:r w:rsidR="004D7F1D">
          <w:rPr>
            <w:b/>
            <w:bCs/>
            <w:noProof/>
            <w:color w:val="993366"/>
            <w:sz w:val="22"/>
          </w:rPr>
          <w:t>13</w:t>
        </w:r>
        <w:r w:rsidRPr="003E0EC5">
          <w:rPr>
            <w:b/>
            <w:bCs/>
            <w:color w:val="993366"/>
            <w:sz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C2378" w14:textId="77777777" w:rsidR="0023212A" w:rsidRDefault="0023212A" w:rsidP="005E652D">
      <w:pPr>
        <w:spacing w:before="0" w:after="0" w:line="240" w:lineRule="auto"/>
      </w:pPr>
      <w:r>
        <w:separator/>
      </w:r>
    </w:p>
  </w:footnote>
  <w:footnote w:type="continuationSeparator" w:id="0">
    <w:p w14:paraId="685610B7" w14:textId="77777777" w:rsidR="0023212A" w:rsidRDefault="0023212A" w:rsidP="005E652D">
      <w:pPr>
        <w:spacing w:before="0" w:after="0" w:line="240" w:lineRule="auto"/>
      </w:pPr>
      <w:r>
        <w:continuationSeparator/>
      </w:r>
    </w:p>
  </w:footnote>
  <w:footnote w:id="1">
    <w:p w14:paraId="760972F1" w14:textId="77777777" w:rsidR="00672859" w:rsidRPr="00672859" w:rsidRDefault="00672859" w:rsidP="00672859">
      <w:pPr>
        <w:pStyle w:val="Textonotapie"/>
        <w:rPr>
          <w:sz w:val="16"/>
          <w:szCs w:val="16"/>
        </w:rPr>
      </w:pPr>
      <w:r w:rsidRPr="00672859">
        <w:rPr>
          <w:rStyle w:val="Refdenotaalpie"/>
          <w:sz w:val="16"/>
          <w:szCs w:val="16"/>
        </w:rPr>
        <w:footnoteRef/>
      </w:r>
      <w:r w:rsidRPr="00672859">
        <w:rPr>
          <w:sz w:val="16"/>
          <w:szCs w:val="16"/>
        </w:rPr>
        <w:t xml:space="preserve"> Mediante Decreto 300, publicado en el Periódico Oficial del Estado de Tabasco, se reformó el párrafo primero del artículo 14 de la Constitución Política del Estado Libre y Soberado de Tabasco, quedando como sigue: “</w:t>
      </w:r>
      <w:r w:rsidRPr="00672859">
        <w:rPr>
          <w:i/>
          <w:sz w:val="16"/>
          <w:szCs w:val="16"/>
        </w:rPr>
        <w:t>Artículo 14.- La elección de diputados, propietarios y suplentes, según el principio de representación proporcional, será por lista de candidatos en una circunscripción plurinominal que comprende todo el territorio del Estado</w:t>
      </w:r>
      <w:r w:rsidRPr="00672859">
        <w:rPr>
          <w:sz w:val="16"/>
          <w:szCs w:val="16"/>
        </w:rPr>
        <w:t>”.</w:t>
      </w:r>
    </w:p>
  </w:footnote>
  <w:footnote w:id="2">
    <w:p w14:paraId="2D2818BF" w14:textId="627530B9" w:rsidR="00672859" w:rsidRPr="00672859" w:rsidRDefault="00672859">
      <w:pPr>
        <w:pStyle w:val="Textonotapie"/>
        <w:rPr>
          <w:sz w:val="16"/>
          <w:szCs w:val="16"/>
          <w:lang w:val="es-ES"/>
        </w:rPr>
      </w:pPr>
      <w:r w:rsidRPr="00672859">
        <w:rPr>
          <w:rStyle w:val="Refdenotaalpie"/>
          <w:sz w:val="16"/>
          <w:szCs w:val="16"/>
        </w:rPr>
        <w:footnoteRef/>
      </w:r>
      <w:r w:rsidRPr="00672859">
        <w:rPr>
          <w:sz w:val="16"/>
          <w:szCs w:val="16"/>
        </w:rPr>
        <w:t xml:space="preserve"> </w:t>
      </w:r>
      <w:proofErr w:type="spellStart"/>
      <w:r w:rsidRPr="00672859">
        <w:rPr>
          <w:sz w:val="16"/>
          <w:szCs w:val="16"/>
          <w:lang w:val="es-ES"/>
        </w:rPr>
        <w:t>Idem</w:t>
      </w:r>
      <w:proofErr w:type="spellEnd"/>
      <w:r w:rsidRPr="00672859">
        <w:rPr>
          <w:sz w:val="16"/>
          <w:szCs w:val="16"/>
          <w:lang w:val="es-E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5E652D" w:rsidRPr="00063338" w14:paraId="279D030F" w14:textId="77777777" w:rsidTr="00F81DD9">
      <w:tc>
        <w:tcPr>
          <w:tcW w:w="1418" w:type="dxa"/>
        </w:tcPr>
        <w:p w14:paraId="2CDA156C" w14:textId="77777777" w:rsidR="005E652D" w:rsidRPr="00063338" w:rsidRDefault="005E652D" w:rsidP="005E652D">
          <w:pPr>
            <w:pStyle w:val="Encabezado"/>
            <w:ind w:left="-170"/>
            <w:jc w:val="left"/>
          </w:pPr>
          <w:r>
            <w:rPr>
              <w:b/>
              <w:noProof/>
              <w:sz w:val="32"/>
              <w:lang w:eastAsia="es-MX"/>
            </w:rPr>
            <w:drawing>
              <wp:inline distT="0" distB="0" distL="0" distR="0" wp14:anchorId="2A127CF6" wp14:editId="2250A9CF">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45749159" w14:textId="77777777" w:rsidR="005E652D" w:rsidRPr="00507065" w:rsidRDefault="005E652D" w:rsidP="005E652D">
          <w:pPr>
            <w:pStyle w:val="Encabezado"/>
            <w:spacing w:before="720"/>
            <w:jc w:val="center"/>
            <w:rPr>
              <w:b/>
              <w:bCs/>
              <w:sz w:val="25"/>
              <w:szCs w:val="25"/>
            </w:rPr>
          </w:pPr>
          <w:r w:rsidRPr="00507065">
            <w:rPr>
              <w:b/>
              <w:bCs/>
              <w:sz w:val="25"/>
              <w:szCs w:val="25"/>
            </w:rPr>
            <w:t>INSTITUTO ELECTORAL Y DE PARTICIPACIÓN CIUDADANA DE TABASCO</w:t>
          </w:r>
        </w:p>
        <w:p w14:paraId="23F8D741" w14:textId="77777777" w:rsidR="005E652D" w:rsidRPr="00063338" w:rsidRDefault="005E652D" w:rsidP="005E652D">
          <w:pPr>
            <w:pStyle w:val="Encabezado"/>
            <w:jc w:val="center"/>
          </w:pPr>
          <w:r w:rsidRPr="00507065">
            <w:rPr>
              <w:sz w:val="26"/>
              <w:szCs w:val="26"/>
            </w:rPr>
            <w:t>CONSEJO ESTATAL</w:t>
          </w:r>
        </w:p>
      </w:tc>
      <w:tc>
        <w:tcPr>
          <w:tcW w:w="1701" w:type="dxa"/>
        </w:tcPr>
        <w:p w14:paraId="1C669CE0" w14:textId="77777777" w:rsidR="005E652D" w:rsidRPr="00063338" w:rsidRDefault="005E652D" w:rsidP="005E652D">
          <w:pPr>
            <w:pStyle w:val="Encabezado"/>
            <w:spacing w:before="480"/>
          </w:pPr>
          <w:r>
            <w:rPr>
              <w:noProof/>
              <w:lang w:eastAsia="es-MX"/>
            </w:rPr>
            <w:drawing>
              <wp:inline distT="0" distB="0" distL="0" distR="0" wp14:anchorId="0B8F25C5" wp14:editId="0DA8B98E">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4D8B2D71" w14:textId="7A1D95FE" w:rsidR="005E652D" w:rsidRPr="00612768" w:rsidRDefault="00612768" w:rsidP="00612768">
    <w:pPr>
      <w:pStyle w:val="Encabezado"/>
      <w:jc w:val="right"/>
      <w:rPr>
        <w:b/>
        <w:sz w:val="24"/>
        <w:szCs w:val="24"/>
      </w:rPr>
    </w:pPr>
    <w:r w:rsidRPr="00612768">
      <w:rPr>
        <w:b/>
        <w:sz w:val="24"/>
        <w:szCs w:val="24"/>
      </w:rPr>
      <w:t>CE/2024/014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F12C1"/>
    <w:multiLevelType w:val="hybridMultilevel"/>
    <w:tmpl w:val="5C14047C"/>
    <w:lvl w:ilvl="0" w:tplc="512EA532">
      <w:start w:val="1"/>
      <w:numFmt w:val="upperRoman"/>
      <w:lvlText w:val="%1."/>
      <w:lvlJc w:val="left"/>
      <w:pPr>
        <w:ind w:left="1287"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A23A52"/>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3A742A14"/>
    <w:multiLevelType w:val="hybridMultilevel"/>
    <w:tmpl w:val="0724495E"/>
    <w:lvl w:ilvl="0" w:tplc="E828F476">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B4715A"/>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3F328A"/>
    <w:multiLevelType w:val="hybridMultilevel"/>
    <w:tmpl w:val="D938B0B4"/>
    <w:lvl w:ilvl="0" w:tplc="512EA53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79632780"/>
    <w:multiLevelType w:val="hybridMultilevel"/>
    <w:tmpl w:val="24A408D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DE"/>
    <w:rsid w:val="0005269E"/>
    <w:rsid w:val="0006434B"/>
    <w:rsid w:val="00091227"/>
    <w:rsid w:val="0023212A"/>
    <w:rsid w:val="00446316"/>
    <w:rsid w:val="004D0274"/>
    <w:rsid w:val="004D7F1D"/>
    <w:rsid w:val="005E5894"/>
    <w:rsid w:val="005E652D"/>
    <w:rsid w:val="00612768"/>
    <w:rsid w:val="00672859"/>
    <w:rsid w:val="006B7A86"/>
    <w:rsid w:val="00717B1B"/>
    <w:rsid w:val="007E1C32"/>
    <w:rsid w:val="00AC5172"/>
    <w:rsid w:val="00B3522D"/>
    <w:rsid w:val="00BA03DE"/>
    <w:rsid w:val="00D621EF"/>
    <w:rsid w:val="00E63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CDE0"/>
  <w15:chartTrackingRefBased/>
  <w15:docId w15:val="{1974D971-43C8-4B10-87DB-A46682CB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3DE"/>
    <w:pPr>
      <w:spacing w:before="240" w:after="240" w:line="288" w:lineRule="auto"/>
      <w:jc w:val="both"/>
    </w:pPr>
    <w:rPr>
      <w:rFonts w:ascii="Arial" w:hAnsi="Arial" w:cs="Arial"/>
      <w:sz w:val="23"/>
      <w:szCs w:val="23"/>
    </w:rPr>
  </w:style>
  <w:style w:type="paragraph" w:styleId="Ttulo1">
    <w:name w:val="heading 1"/>
    <w:basedOn w:val="Normal"/>
    <w:next w:val="Normal"/>
    <w:link w:val="Ttulo1Car"/>
    <w:uiPriority w:val="9"/>
    <w:qFormat/>
    <w:rsid w:val="00BA03DE"/>
    <w:pPr>
      <w:numPr>
        <w:numId w:val="1"/>
      </w:numPr>
      <w:spacing w:before="600" w:after="480"/>
      <w:jc w:val="center"/>
      <w:outlineLvl w:val="0"/>
    </w:pPr>
    <w:rPr>
      <w:b/>
      <w:sz w:val="28"/>
    </w:rPr>
  </w:style>
  <w:style w:type="paragraph" w:styleId="Ttulo2">
    <w:name w:val="heading 2"/>
    <w:basedOn w:val="Normal"/>
    <w:next w:val="Normal"/>
    <w:link w:val="Ttulo2Car"/>
    <w:uiPriority w:val="9"/>
    <w:unhideWhenUsed/>
    <w:qFormat/>
    <w:rsid w:val="00BA03DE"/>
    <w:pPr>
      <w:numPr>
        <w:ilvl w:val="1"/>
        <w:numId w:val="1"/>
      </w:numPr>
      <w:spacing w:before="480"/>
      <w:outlineLvl w:val="1"/>
    </w:pPr>
    <w:rPr>
      <w:b/>
      <w:sz w:val="24"/>
    </w:rPr>
  </w:style>
  <w:style w:type="paragraph" w:styleId="Ttulo3">
    <w:name w:val="heading 3"/>
    <w:basedOn w:val="Normal"/>
    <w:next w:val="Normal"/>
    <w:link w:val="Ttulo3Car"/>
    <w:uiPriority w:val="9"/>
    <w:unhideWhenUsed/>
    <w:qFormat/>
    <w:rsid w:val="00BA03DE"/>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A03DE"/>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A03D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A03D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A03D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A03D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A03D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03DE"/>
    <w:rPr>
      <w:rFonts w:ascii="Arial" w:hAnsi="Arial" w:cs="Arial"/>
      <w:b/>
      <w:sz w:val="28"/>
      <w:szCs w:val="23"/>
    </w:rPr>
  </w:style>
  <w:style w:type="character" w:customStyle="1" w:styleId="Ttulo2Car">
    <w:name w:val="Título 2 Car"/>
    <w:basedOn w:val="Fuentedeprrafopredeter"/>
    <w:link w:val="Ttulo2"/>
    <w:uiPriority w:val="9"/>
    <w:rsid w:val="00BA03DE"/>
    <w:rPr>
      <w:rFonts w:ascii="Arial" w:hAnsi="Arial" w:cs="Arial"/>
      <w:b/>
      <w:sz w:val="24"/>
      <w:szCs w:val="23"/>
    </w:rPr>
  </w:style>
  <w:style w:type="character" w:customStyle="1" w:styleId="Ttulo3Car">
    <w:name w:val="Título 3 Car"/>
    <w:basedOn w:val="Fuentedeprrafopredeter"/>
    <w:link w:val="Ttulo3"/>
    <w:uiPriority w:val="9"/>
    <w:semiHidden/>
    <w:rsid w:val="00BA03D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BA03DE"/>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BA03DE"/>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BA03DE"/>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BA03DE"/>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BA03D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A03DE"/>
    <w:rPr>
      <w:rFonts w:asciiTheme="majorHAnsi" w:eastAsiaTheme="majorEastAsia" w:hAnsiTheme="majorHAnsi" w:cstheme="majorBidi"/>
      <w:i/>
      <w:iCs/>
      <w:color w:val="272727" w:themeColor="text1" w:themeTint="D8"/>
      <w:sz w:val="21"/>
      <w:szCs w:val="21"/>
    </w:rPr>
  </w:style>
  <w:style w:type="paragraph" w:styleId="Cita">
    <w:name w:val="Quote"/>
    <w:basedOn w:val="Normal"/>
    <w:next w:val="Normal"/>
    <w:link w:val="CitaCar"/>
    <w:uiPriority w:val="29"/>
    <w:qFormat/>
    <w:rsid w:val="00D621EF"/>
    <w:pPr>
      <w:ind w:left="567" w:right="567"/>
    </w:pPr>
    <w:rPr>
      <w:sz w:val="20"/>
    </w:rPr>
  </w:style>
  <w:style w:type="character" w:customStyle="1" w:styleId="CitaCar">
    <w:name w:val="Cita Car"/>
    <w:basedOn w:val="Fuentedeprrafopredeter"/>
    <w:link w:val="Cita"/>
    <w:uiPriority w:val="29"/>
    <w:rsid w:val="00D621EF"/>
    <w:rPr>
      <w:rFonts w:ascii="Arial" w:hAnsi="Arial" w:cs="Arial"/>
      <w:sz w:val="20"/>
      <w:szCs w:val="23"/>
    </w:rPr>
  </w:style>
  <w:style w:type="paragraph" w:styleId="Prrafodelista">
    <w:name w:val="List Paragraph"/>
    <w:basedOn w:val="Normal"/>
    <w:uiPriority w:val="34"/>
    <w:qFormat/>
    <w:rsid w:val="005E652D"/>
    <w:pPr>
      <w:ind w:left="720"/>
      <w:contextualSpacing/>
    </w:pPr>
  </w:style>
  <w:style w:type="table" w:styleId="Tablaconcuadrcula">
    <w:name w:val="Table Grid"/>
    <w:basedOn w:val="Tablanormal"/>
    <w:uiPriority w:val="39"/>
    <w:rsid w:val="005E6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os">
    <w:name w:val="Puntos"/>
    <w:basedOn w:val="Normal"/>
    <w:link w:val="PuntosCar"/>
    <w:qFormat/>
    <w:rsid w:val="005E652D"/>
    <w:pPr>
      <w:spacing w:before="0" w:line="283" w:lineRule="auto"/>
      <w:ind w:left="624"/>
    </w:pPr>
    <w:rPr>
      <w:sz w:val="24"/>
      <w:szCs w:val="24"/>
    </w:rPr>
  </w:style>
  <w:style w:type="character" w:customStyle="1" w:styleId="PuntosCar">
    <w:name w:val="Puntos Car"/>
    <w:basedOn w:val="Fuentedeprrafopredeter"/>
    <w:link w:val="Puntos"/>
    <w:rsid w:val="005E652D"/>
    <w:rPr>
      <w:rFonts w:ascii="Arial" w:hAnsi="Arial" w:cs="Arial"/>
      <w:sz w:val="24"/>
      <w:szCs w:val="24"/>
    </w:rPr>
  </w:style>
  <w:style w:type="paragraph" w:styleId="Encabezado">
    <w:name w:val="header"/>
    <w:basedOn w:val="Normal"/>
    <w:link w:val="EncabezadoCar"/>
    <w:uiPriority w:val="99"/>
    <w:unhideWhenUsed/>
    <w:rsid w:val="005E652D"/>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5E652D"/>
    <w:rPr>
      <w:rFonts w:ascii="Arial" w:hAnsi="Arial" w:cs="Arial"/>
      <w:sz w:val="23"/>
      <w:szCs w:val="23"/>
    </w:rPr>
  </w:style>
  <w:style w:type="paragraph" w:styleId="Piedepgina">
    <w:name w:val="footer"/>
    <w:basedOn w:val="Normal"/>
    <w:link w:val="PiedepginaCar"/>
    <w:uiPriority w:val="99"/>
    <w:unhideWhenUsed/>
    <w:rsid w:val="005E652D"/>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5E652D"/>
    <w:rPr>
      <w:rFonts w:ascii="Arial" w:hAnsi="Arial" w:cs="Arial"/>
      <w:sz w:val="23"/>
      <w:szCs w:val="23"/>
    </w:rPr>
  </w:style>
  <w:style w:type="character" w:styleId="Refdecomentario">
    <w:name w:val="annotation reference"/>
    <w:basedOn w:val="Fuentedeprrafopredeter"/>
    <w:uiPriority w:val="99"/>
    <w:semiHidden/>
    <w:unhideWhenUsed/>
    <w:rsid w:val="00E63BA0"/>
    <w:rPr>
      <w:sz w:val="16"/>
      <w:szCs w:val="16"/>
    </w:rPr>
  </w:style>
  <w:style w:type="paragraph" w:styleId="Textocomentario">
    <w:name w:val="annotation text"/>
    <w:basedOn w:val="Normal"/>
    <w:link w:val="TextocomentarioCar"/>
    <w:uiPriority w:val="99"/>
    <w:semiHidden/>
    <w:unhideWhenUsed/>
    <w:rsid w:val="00E63B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3BA0"/>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E63BA0"/>
    <w:rPr>
      <w:b/>
      <w:bCs/>
    </w:rPr>
  </w:style>
  <w:style w:type="character" w:customStyle="1" w:styleId="AsuntodelcomentarioCar">
    <w:name w:val="Asunto del comentario Car"/>
    <w:basedOn w:val="TextocomentarioCar"/>
    <w:link w:val="Asuntodelcomentario"/>
    <w:uiPriority w:val="99"/>
    <w:semiHidden/>
    <w:rsid w:val="00E63BA0"/>
    <w:rPr>
      <w:rFonts w:ascii="Arial" w:hAnsi="Arial" w:cs="Arial"/>
      <w:b/>
      <w:bCs/>
      <w:sz w:val="20"/>
      <w:szCs w:val="20"/>
    </w:rPr>
  </w:style>
  <w:style w:type="paragraph" w:styleId="Textodeglobo">
    <w:name w:val="Balloon Text"/>
    <w:basedOn w:val="Normal"/>
    <w:link w:val="TextodegloboCar"/>
    <w:uiPriority w:val="99"/>
    <w:semiHidden/>
    <w:unhideWhenUsed/>
    <w:rsid w:val="00E63BA0"/>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3BA0"/>
    <w:rPr>
      <w:rFonts w:ascii="Segoe UI" w:hAnsi="Segoe UI" w:cs="Segoe UI"/>
      <w:sz w:val="18"/>
      <w:szCs w:val="18"/>
    </w:rPr>
  </w:style>
  <w:style w:type="character" w:styleId="Refdenotaalpie">
    <w:name w:val="footnote reference"/>
    <w:basedOn w:val="Fuentedeprrafopredeter"/>
    <w:uiPriority w:val="99"/>
    <w:semiHidden/>
    <w:unhideWhenUsed/>
    <w:rsid w:val="00672859"/>
    <w:rPr>
      <w:vertAlign w:val="superscript"/>
    </w:rPr>
  </w:style>
  <w:style w:type="paragraph" w:styleId="Textonotapie">
    <w:name w:val="footnote text"/>
    <w:basedOn w:val="Normal"/>
    <w:link w:val="TextonotapieCar"/>
    <w:uiPriority w:val="99"/>
    <w:semiHidden/>
    <w:unhideWhenUsed/>
    <w:rsid w:val="0067285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67285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4660-8B44-4E52-8EAF-5EDEEBE5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3907</Words>
  <Characters>21494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9</cp:revision>
  <cp:lastPrinted>2024-02-03T20:16:00Z</cp:lastPrinted>
  <dcterms:created xsi:type="dcterms:W3CDTF">2024-02-02T00:56:00Z</dcterms:created>
  <dcterms:modified xsi:type="dcterms:W3CDTF">2024-02-03T20:17:00Z</dcterms:modified>
</cp:coreProperties>
</file>