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81EA6" w14:textId="2BB5D472" w:rsidR="00C46719" w:rsidRPr="00BA4A47" w:rsidRDefault="00520A91" w:rsidP="00C46719">
      <w:pPr>
        <w:pStyle w:val="Ttulo"/>
        <w:rPr>
          <w:rFonts w:ascii="Arial" w:hAnsi="Arial"/>
        </w:rPr>
      </w:pPr>
      <w:bookmarkStart w:id="0" w:name="_GoBack"/>
      <w:bookmarkEnd w:id="0"/>
      <w:r w:rsidRPr="00BA4A47">
        <w:rPr>
          <w:rFonts w:ascii="Arial" w:hAnsi="Arial"/>
        </w:rPr>
        <w:t>ACUERDO QUE, A PROPUESTA DE LA COMISIÓN PERMANENTE DE ORGANIZACIÓN ELECTORAL Y EDUCACIÓN CÍVICA, EMITE EL CONSEJO ESTATAL DEL INSTITUTO ELECTORAL Y DE PARTICIPACIÓN CIUDADANA DE TABASCO, MEDIANTE EL CUAL APRUEBA EL MANUAL DE SUPERVISIÓN DEL PROCESO DE PRODUCCIÓN DE LA DOCUMENTACIÓN Y MATERIAL ELECTORAL, ASÍ COMO DEL CONTROL DE CALIDAD DEL PRODUCTO TERMINADO PARA EL PROCESO ELECTORAL LOCAL ORDINARIO 2023-2024</w:t>
      </w:r>
    </w:p>
    <w:p w14:paraId="3E6C7CC7" w14:textId="77777777" w:rsidR="00C46719" w:rsidRPr="00BA4A47" w:rsidRDefault="00C46719" w:rsidP="00C46719">
      <w:pPr>
        <w:spacing w:line="300" w:lineRule="auto"/>
        <w:rPr>
          <w:rFonts w:ascii="Arial" w:hAnsi="Arial" w:cs="Arial"/>
        </w:rPr>
      </w:pPr>
      <w:r w:rsidRPr="00BA4A47">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46719" w:rsidRPr="00BA4A47" w14:paraId="1134649F" w14:textId="77777777" w:rsidTr="006E39ED">
        <w:trPr>
          <w:trHeight w:val="624"/>
          <w:jc w:val="center"/>
        </w:trPr>
        <w:tc>
          <w:tcPr>
            <w:tcW w:w="2042" w:type="pct"/>
            <w:shd w:val="clear" w:color="auto" w:fill="auto"/>
            <w:vAlign w:val="center"/>
          </w:tcPr>
          <w:p w14:paraId="62FBBA27"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Consejo Estatal:</w:t>
            </w:r>
          </w:p>
        </w:tc>
        <w:tc>
          <w:tcPr>
            <w:tcW w:w="2958" w:type="pct"/>
            <w:shd w:val="clear" w:color="auto" w:fill="auto"/>
            <w:vAlign w:val="center"/>
          </w:tcPr>
          <w:p w14:paraId="6E215E87"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Consejo Estatal del Instituto Electoral y de Participación Ciudadana de Tabasco.</w:t>
            </w:r>
          </w:p>
        </w:tc>
      </w:tr>
      <w:tr w:rsidR="00C46719" w:rsidRPr="00BA4A47" w14:paraId="478372F4" w14:textId="77777777" w:rsidTr="006E39ED">
        <w:trPr>
          <w:trHeight w:val="624"/>
          <w:jc w:val="center"/>
        </w:trPr>
        <w:tc>
          <w:tcPr>
            <w:tcW w:w="2042" w:type="pct"/>
            <w:shd w:val="clear" w:color="auto" w:fill="auto"/>
            <w:vAlign w:val="center"/>
          </w:tcPr>
          <w:p w14:paraId="2204D9BE"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Consejos Distritales</w:t>
            </w:r>
          </w:p>
        </w:tc>
        <w:tc>
          <w:tcPr>
            <w:tcW w:w="2958" w:type="pct"/>
            <w:shd w:val="clear" w:color="auto" w:fill="auto"/>
            <w:vAlign w:val="center"/>
          </w:tcPr>
          <w:p w14:paraId="2F22076B"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Consejos Electorales Distritales del Instituto Electoral y de Participación Ciudadana de Tabasco.</w:t>
            </w:r>
          </w:p>
        </w:tc>
      </w:tr>
      <w:tr w:rsidR="00C46719" w:rsidRPr="00BA4A47" w14:paraId="45547E59" w14:textId="77777777" w:rsidTr="006E39ED">
        <w:trPr>
          <w:trHeight w:val="624"/>
          <w:jc w:val="center"/>
        </w:trPr>
        <w:tc>
          <w:tcPr>
            <w:tcW w:w="2042" w:type="pct"/>
            <w:shd w:val="clear" w:color="auto" w:fill="auto"/>
            <w:vAlign w:val="center"/>
          </w:tcPr>
          <w:p w14:paraId="18DDE7BD"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Constitución Federal:</w:t>
            </w:r>
          </w:p>
        </w:tc>
        <w:tc>
          <w:tcPr>
            <w:tcW w:w="2958" w:type="pct"/>
            <w:shd w:val="clear" w:color="auto" w:fill="auto"/>
            <w:vAlign w:val="center"/>
          </w:tcPr>
          <w:p w14:paraId="1410031F"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Constitución Política de los Estados Unidos Mexicanos.</w:t>
            </w:r>
          </w:p>
        </w:tc>
      </w:tr>
      <w:tr w:rsidR="00C46719" w:rsidRPr="00BA4A47" w14:paraId="200729D5" w14:textId="77777777" w:rsidTr="006E39ED">
        <w:trPr>
          <w:trHeight w:val="624"/>
          <w:jc w:val="center"/>
        </w:trPr>
        <w:tc>
          <w:tcPr>
            <w:tcW w:w="2042" w:type="pct"/>
            <w:shd w:val="clear" w:color="auto" w:fill="auto"/>
            <w:vAlign w:val="center"/>
          </w:tcPr>
          <w:p w14:paraId="557FFE1D"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Constitución Local:</w:t>
            </w:r>
          </w:p>
        </w:tc>
        <w:tc>
          <w:tcPr>
            <w:tcW w:w="2958" w:type="pct"/>
            <w:shd w:val="clear" w:color="auto" w:fill="auto"/>
            <w:vAlign w:val="center"/>
          </w:tcPr>
          <w:p w14:paraId="2A4479F3"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Constitución Política del Estado Libre y Soberano de Tabasco.</w:t>
            </w:r>
          </w:p>
        </w:tc>
      </w:tr>
      <w:tr w:rsidR="00C46719" w:rsidRPr="00BA4A47" w14:paraId="75DADFD2" w14:textId="77777777" w:rsidTr="006E39ED">
        <w:trPr>
          <w:trHeight w:val="624"/>
          <w:jc w:val="center"/>
        </w:trPr>
        <w:tc>
          <w:tcPr>
            <w:tcW w:w="2042" w:type="pct"/>
            <w:shd w:val="clear" w:color="auto" w:fill="auto"/>
            <w:vAlign w:val="center"/>
          </w:tcPr>
          <w:p w14:paraId="4DDC9FF4"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Dirección Ejecutiva:</w:t>
            </w:r>
          </w:p>
        </w:tc>
        <w:tc>
          <w:tcPr>
            <w:tcW w:w="2958" w:type="pct"/>
            <w:shd w:val="clear" w:color="auto" w:fill="auto"/>
            <w:vAlign w:val="center"/>
          </w:tcPr>
          <w:p w14:paraId="23F129BC"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Dirección Ejecutiva de Organización Electoral y Educación Cívica del Instituto Nacional Electoral.</w:t>
            </w:r>
          </w:p>
        </w:tc>
      </w:tr>
      <w:tr w:rsidR="00C46719" w:rsidRPr="00BA4A47" w14:paraId="2AFFBC8A" w14:textId="77777777" w:rsidTr="006E39ED">
        <w:trPr>
          <w:trHeight w:val="624"/>
          <w:jc w:val="center"/>
        </w:trPr>
        <w:tc>
          <w:tcPr>
            <w:tcW w:w="2042" w:type="pct"/>
            <w:shd w:val="clear" w:color="auto" w:fill="auto"/>
            <w:vAlign w:val="center"/>
          </w:tcPr>
          <w:p w14:paraId="68C962EA"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INE:</w:t>
            </w:r>
          </w:p>
        </w:tc>
        <w:tc>
          <w:tcPr>
            <w:tcW w:w="2958" w:type="pct"/>
            <w:shd w:val="clear" w:color="auto" w:fill="auto"/>
            <w:vAlign w:val="center"/>
          </w:tcPr>
          <w:p w14:paraId="10E48CF1"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Instituto Nacional Electoral.</w:t>
            </w:r>
          </w:p>
        </w:tc>
      </w:tr>
      <w:tr w:rsidR="00C46719" w:rsidRPr="00BA4A47" w14:paraId="07D2EEB7" w14:textId="77777777" w:rsidTr="006E39ED">
        <w:trPr>
          <w:trHeight w:val="624"/>
          <w:jc w:val="center"/>
        </w:trPr>
        <w:tc>
          <w:tcPr>
            <w:tcW w:w="2042" w:type="pct"/>
            <w:shd w:val="clear" w:color="auto" w:fill="auto"/>
            <w:vAlign w:val="center"/>
          </w:tcPr>
          <w:p w14:paraId="2FF0BC72"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Instituto:</w:t>
            </w:r>
          </w:p>
        </w:tc>
        <w:tc>
          <w:tcPr>
            <w:tcW w:w="2958" w:type="pct"/>
            <w:shd w:val="clear" w:color="auto" w:fill="auto"/>
          </w:tcPr>
          <w:p w14:paraId="417A31BD"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Instituto Electoral y de Participación Ciudadana de Tabasco.</w:t>
            </w:r>
          </w:p>
        </w:tc>
      </w:tr>
      <w:tr w:rsidR="00C46719" w:rsidRPr="00BA4A47" w14:paraId="19CAFDE8" w14:textId="77777777" w:rsidTr="006E39ED">
        <w:trPr>
          <w:trHeight w:val="624"/>
          <w:jc w:val="center"/>
        </w:trPr>
        <w:tc>
          <w:tcPr>
            <w:tcW w:w="2042" w:type="pct"/>
            <w:shd w:val="clear" w:color="auto" w:fill="auto"/>
            <w:vAlign w:val="center"/>
          </w:tcPr>
          <w:p w14:paraId="421C87CC"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Ley Electoral:</w:t>
            </w:r>
          </w:p>
        </w:tc>
        <w:tc>
          <w:tcPr>
            <w:tcW w:w="2958" w:type="pct"/>
            <w:shd w:val="clear" w:color="auto" w:fill="auto"/>
            <w:vAlign w:val="center"/>
          </w:tcPr>
          <w:p w14:paraId="5B92621E"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Ley Electoral y de Partidos Políticos del Estado de Tabasco.</w:t>
            </w:r>
          </w:p>
        </w:tc>
      </w:tr>
      <w:tr w:rsidR="00C46719" w:rsidRPr="00BA4A47" w14:paraId="3DF94F81" w14:textId="77777777" w:rsidTr="006E39ED">
        <w:trPr>
          <w:trHeight w:val="624"/>
          <w:jc w:val="center"/>
        </w:trPr>
        <w:tc>
          <w:tcPr>
            <w:tcW w:w="2042" w:type="pct"/>
            <w:shd w:val="clear" w:color="auto" w:fill="auto"/>
            <w:vAlign w:val="center"/>
          </w:tcPr>
          <w:p w14:paraId="1B7B5B11"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Ley General:</w:t>
            </w:r>
          </w:p>
        </w:tc>
        <w:tc>
          <w:tcPr>
            <w:tcW w:w="2958" w:type="pct"/>
            <w:shd w:val="clear" w:color="auto" w:fill="auto"/>
            <w:vAlign w:val="center"/>
          </w:tcPr>
          <w:p w14:paraId="66614DFA"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Ley General de Instituciones y Procedimientos Electorales.</w:t>
            </w:r>
          </w:p>
        </w:tc>
      </w:tr>
      <w:tr w:rsidR="00C46719" w:rsidRPr="00BA4A47" w14:paraId="712323B7" w14:textId="77777777" w:rsidTr="006E39ED">
        <w:trPr>
          <w:trHeight w:val="624"/>
          <w:jc w:val="center"/>
        </w:trPr>
        <w:tc>
          <w:tcPr>
            <w:tcW w:w="2042" w:type="pct"/>
            <w:shd w:val="clear" w:color="auto" w:fill="auto"/>
            <w:vAlign w:val="center"/>
          </w:tcPr>
          <w:p w14:paraId="206BDFFB"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Manual:</w:t>
            </w:r>
          </w:p>
        </w:tc>
        <w:tc>
          <w:tcPr>
            <w:tcW w:w="2958" w:type="pct"/>
            <w:shd w:val="clear" w:color="auto" w:fill="auto"/>
            <w:vAlign w:val="center"/>
          </w:tcPr>
          <w:p w14:paraId="657C6B09"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 xml:space="preserve">Manual de supervisión del proceso de producción de la documentación y material electoral, así como del control de calidad del </w:t>
            </w:r>
            <w:r w:rsidRPr="00520A91">
              <w:rPr>
                <w:rFonts w:ascii="Arial" w:hAnsi="Arial" w:cs="Arial"/>
                <w:sz w:val="20"/>
                <w:szCs w:val="20"/>
              </w:rPr>
              <w:lastRenderedPageBreak/>
              <w:t>producto terminado para el Proceso Electoral Local Ordinario 2023-2024.</w:t>
            </w:r>
          </w:p>
        </w:tc>
      </w:tr>
      <w:tr w:rsidR="00C46719" w:rsidRPr="00BA4A47" w14:paraId="3626F5BE" w14:textId="77777777" w:rsidTr="006E39ED">
        <w:trPr>
          <w:trHeight w:val="624"/>
          <w:jc w:val="center"/>
        </w:trPr>
        <w:tc>
          <w:tcPr>
            <w:tcW w:w="2042" w:type="pct"/>
            <w:shd w:val="clear" w:color="auto" w:fill="auto"/>
            <w:vAlign w:val="center"/>
          </w:tcPr>
          <w:p w14:paraId="6C1E0F73"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lastRenderedPageBreak/>
              <w:t>Organismo electoral:</w:t>
            </w:r>
          </w:p>
        </w:tc>
        <w:tc>
          <w:tcPr>
            <w:tcW w:w="2958" w:type="pct"/>
            <w:shd w:val="clear" w:color="auto" w:fill="auto"/>
            <w:vAlign w:val="center"/>
          </w:tcPr>
          <w:p w14:paraId="5843A53D"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 xml:space="preserve">Organismo(s) público(s) local(es) electoral(es). </w:t>
            </w:r>
          </w:p>
        </w:tc>
      </w:tr>
      <w:tr w:rsidR="00C46719" w:rsidRPr="00BA4A47" w14:paraId="757C18D9" w14:textId="77777777" w:rsidTr="006E39ED">
        <w:trPr>
          <w:trHeight w:val="624"/>
          <w:jc w:val="center"/>
        </w:trPr>
        <w:tc>
          <w:tcPr>
            <w:tcW w:w="2042" w:type="pct"/>
            <w:shd w:val="clear" w:color="auto" w:fill="auto"/>
            <w:vAlign w:val="center"/>
          </w:tcPr>
          <w:p w14:paraId="0FAE5909"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Proceso Electoral:</w:t>
            </w:r>
          </w:p>
        </w:tc>
        <w:tc>
          <w:tcPr>
            <w:tcW w:w="2958" w:type="pct"/>
            <w:shd w:val="clear" w:color="auto" w:fill="auto"/>
            <w:vAlign w:val="center"/>
          </w:tcPr>
          <w:p w14:paraId="2E9A6E09"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Proceso Electoral Local Ordinario 2023-2024.</w:t>
            </w:r>
          </w:p>
        </w:tc>
      </w:tr>
      <w:tr w:rsidR="00C46719" w:rsidRPr="00BA4A47" w14:paraId="081ECD05" w14:textId="77777777" w:rsidTr="006E39ED">
        <w:trPr>
          <w:trHeight w:val="624"/>
          <w:jc w:val="center"/>
        </w:trPr>
        <w:tc>
          <w:tcPr>
            <w:tcW w:w="2042" w:type="pct"/>
            <w:shd w:val="clear" w:color="auto" w:fill="auto"/>
            <w:vAlign w:val="center"/>
          </w:tcPr>
          <w:p w14:paraId="34D224E9"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Reglamento de Elecciones:</w:t>
            </w:r>
          </w:p>
        </w:tc>
        <w:tc>
          <w:tcPr>
            <w:tcW w:w="2958" w:type="pct"/>
            <w:shd w:val="clear" w:color="auto" w:fill="auto"/>
            <w:vAlign w:val="center"/>
          </w:tcPr>
          <w:p w14:paraId="7CDEBDA8"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Reglamento de Elecciones del Instituto Nacional Electoral.</w:t>
            </w:r>
          </w:p>
        </w:tc>
      </w:tr>
      <w:tr w:rsidR="00C46719" w:rsidRPr="00BA4A47" w14:paraId="63EFC1D4" w14:textId="77777777" w:rsidTr="006E39ED">
        <w:trPr>
          <w:trHeight w:val="624"/>
          <w:jc w:val="center"/>
        </w:trPr>
        <w:tc>
          <w:tcPr>
            <w:tcW w:w="2042" w:type="pct"/>
            <w:shd w:val="clear" w:color="auto" w:fill="auto"/>
            <w:vAlign w:val="center"/>
          </w:tcPr>
          <w:p w14:paraId="20ABFD61" w14:textId="77777777" w:rsidR="00C46719" w:rsidRPr="00520A91" w:rsidRDefault="00C46719" w:rsidP="00C46719">
            <w:pPr>
              <w:widowControl w:val="0"/>
              <w:spacing w:before="60" w:after="60" w:line="300" w:lineRule="auto"/>
              <w:ind w:left="57"/>
              <w:jc w:val="right"/>
              <w:rPr>
                <w:rFonts w:ascii="Arial" w:hAnsi="Arial" w:cs="Arial"/>
                <w:b/>
                <w:sz w:val="20"/>
                <w:szCs w:val="20"/>
              </w:rPr>
            </w:pPr>
            <w:r w:rsidRPr="00520A91">
              <w:rPr>
                <w:rFonts w:ascii="Arial" w:hAnsi="Arial" w:cs="Arial"/>
                <w:b/>
                <w:sz w:val="20"/>
                <w:szCs w:val="20"/>
              </w:rPr>
              <w:t>Secretaría Ejecutiva:</w:t>
            </w:r>
          </w:p>
        </w:tc>
        <w:tc>
          <w:tcPr>
            <w:tcW w:w="2958" w:type="pct"/>
            <w:shd w:val="clear" w:color="auto" w:fill="auto"/>
            <w:vAlign w:val="center"/>
          </w:tcPr>
          <w:p w14:paraId="01242D70" w14:textId="77777777" w:rsidR="00C46719" w:rsidRPr="00520A91" w:rsidRDefault="00C46719" w:rsidP="00C46719">
            <w:pPr>
              <w:widowControl w:val="0"/>
              <w:spacing w:before="60" w:after="60" w:line="300" w:lineRule="auto"/>
              <w:ind w:left="57"/>
              <w:rPr>
                <w:rFonts w:ascii="Arial" w:hAnsi="Arial" w:cs="Arial"/>
                <w:sz w:val="20"/>
                <w:szCs w:val="20"/>
              </w:rPr>
            </w:pPr>
            <w:r w:rsidRPr="00520A91">
              <w:rPr>
                <w:rFonts w:ascii="Arial" w:hAnsi="Arial" w:cs="Arial"/>
                <w:sz w:val="20"/>
                <w:szCs w:val="20"/>
              </w:rPr>
              <w:t>Secretaría Ejecutiva del Instituto Electoral y de Participación Ciudadana de Tabasco.</w:t>
            </w:r>
          </w:p>
        </w:tc>
      </w:tr>
    </w:tbl>
    <w:p w14:paraId="7FEBDF4B" w14:textId="77777777" w:rsidR="00C46719" w:rsidRPr="00520A91" w:rsidRDefault="00C46719" w:rsidP="00595BE4">
      <w:pPr>
        <w:pStyle w:val="Ttulo1"/>
        <w:rPr>
          <w:rFonts w:ascii="Arial" w:hAnsi="Arial"/>
          <w:sz w:val="24"/>
          <w:szCs w:val="24"/>
        </w:rPr>
      </w:pPr>
      <w:r w:rsidRPr="00520A91">
        <w:rPr>
          <w:rFonts w:ascii="Arial" w:hAnsi="Arial"/>
          <w:sz w:val="24"/>
          <w:szCs w:val="24"/>
        </w:rPr>
        <w:t>Antecedentes</w:t>
      </w:r>
    </w:p>
    <w:p w14:paraId="16E24087" w14:textId="3F65181A" w:rsidR="00C46719" w:rsidRPr="00520A91" w:rsidRDefault="00C46719" w:rsidP="00C46719">
      <w:pPr>
        <w:pStyle w:val="Ttulo2"/>
        <w:rPr>
          <w:rFonts w:ascii="Arial" w:hAnsi="Arial"/>
          <w:sz w:val="23"/>
          <w:szCs w:val="23"/>
        </w:rPr>
      </w:pPr>
      <w:r w:rsidRPr="00520A91">
        <w:rPr>
          <w:rFonts w:ascii="Arial" w:hAnsi="Arial"/>
          <w:sz w:val="23"/>
          <w:szCs w:val="23"/>
        </w:rPr>
        <w:t>Distritación electoral</w:t>
      </w:r>
    </w:p>
    <w:p w14:paraId="00D22D53" w14:textId="77777777" w:rsidR="00C46719" w:rsidRPr="00520A91" w:rsidRDefault="00C46719" w:rsidP="00C46719">
      <w:pPr>
        <w:spacing w:line="300" w:lineRule="auto"/>
        <w:rPr>
          <w:rFonts w:ascii="Arial" w:hAnsi="Arial" w:cs="Arial"/>
        </w:rPr>
      </w:pPr>
      <w:r w:rsidRPr="00520A91">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1A21780F" w14:textId="77777777" w:rsidR="00C46719" w:rsidRPr="00520A91" w:rsidRDefault="00C46719" w:rsidP="00C46719">
      <w:pPr>
        <w:pStyle w:val="Ttulo2"/>
        <w:rPr>
          <w:rFonts w:ascii="Arial" w:hAnsi="Arial"/>
          <w:sz w:val="23"/>
          <w:szCs w:val="23"/>
        </w:rPr>
      </w:pPr>
      <w:r w:rsidRPr="00520A91">
        <w:rPr>
          <w:rFonts w:ascii="Arial" w:hAnsi="Arial"/>
          <w:sz w:val="23"/>
          <w:szCs w:val="23"/>
        </w:rPr>
        <w:t>Homologación de plazos y fechas en los Procesos Electorales Locales Concurrentes</w:t>
      </w:r>
    </w:p>
    <w:p w14:paraId="1107A60E" w14:textId="77777777" w:rsidR="00C46719" w:rsidRPr="00520A91" w:rsidRDefault="00C46719" w:rsidP="00C46719">
      <w:pPr>
        <w:spacing w:line="300" w:lineRule="auto"/>
        <w:rPr>
          <w:rFonts w:ascii="Arial" w:hAnsi="Arial" w:cs="Arial"/>
        </w:rPr>
      </w:pPr>
      <w:r w:rsidRPr="00520A91">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D7A1474" w14:textId="77777777" w:rsidR="00C46719" w:rsidRPr="00520A91" w:rsidRDefault="00C46719" w:rsidP="00C46719">
      <w:pPr>
        <w:pStyle w:val="Ttulo2"/>
        <w:rPr>
          <w:rFonts w:ascii="Arial" w:hAnsi="Arial"/>
          <w:sz w:val="23"/>
          <w:szCs w:val="23"/>
        </w:rPr>
      </w:pPr>
      <w:r w:rsidRPr="00520A91">
        <w:rPr>
          <w:rFonts w:ascii="Arial" w:hAnsi="Arial"/>
          <w:sz w:val="23"/>
          <w:szCs w:val="23"/>
        </w:rPr>
        <w:lastRenderedPageBreak/>
        <w:t xml:space="preserve">Plan Integral y Calendario de Coordinación </w:t>
      </w:r>
    </w:p>
    <w:p w14:paraId="7F6F9285" w14:textId="77777777" w:rsidR="00C46719" w:rsidRPr="00520A91" w:rsidRDefault="00C46719" w:rsidP="00C46719">
      <w:pPr>
        <w:spacing w:line="300" w:lineRule="auto"/>
        <w:rPr>
          <w:rFonts w:ascii="Arial" w:hAnsi="Arial" w:cs="Arial"/>
        </w:rPr>
      </w:pPr>
      <w:r w:rsidRPr="00520A91">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65501F5" w14:textId="77777777" w:rsidR="00C46719" w:rsidRPr="00520A91" w:rsidRDefault="00C46719" w:rsidP="00C46719">
      <w:pPr>
        <w:pStyle w:val="Ttulo2"/>
        <w:rPr>
          <w:rFonts w:ascii="Arial" w:hAnsi="Arial"/>
          <w:sz w:val="23"/>
          <w:szCs w:val="23"/>
        </w:rPr>
      </w:pPr>
      <w:r w:rsidRPr="00520A91">
        <w:rPr>
          <w:rFonts w:ascii="Arial" w:hAnsi="Arial"/>
          <w:sz w:val="23"/>
          <w:szCs w:val="23"/>
        </w:rPr>
        <w:t>Calendario Electoral</w:t>
      </w:r>
    </w:p>
    <w:p w14:paraId="363907C5" w14:textId="77777777" w:rsidR="00C46719" w:rsidRPr="00520A91" w:rsidRDefault="00C46719" w:rsidP="00C46719">
      <w:pPr>
        <w:spacing w:line="300" w:lineRule="auto"/>
        <w:rPr>
          <w:rFonts w:ascii="Arial" w:hAnsi="Arial" w:cs="Arial"/>
        </w:rPr>
      </w:pPr>
      <w:r w:rsidRPr="00520A91">
        <w:rPr>
          <w:rFonts w:ascii="Arial" w:hAnsi="Arial" w:cs="Arial"/>
        </w:rPr>
        <w:t xml:space="preserve">El 29 de septiembre de 2023, mediante acuerdo CE/2023/021, el Consejo Estatal aprobó el calendario electoral para el Proceso Electoral. </w:t>
      </w:r>
    </w:p>
    <w:p w14:paraId="44EBDC78" w14:textId="77777777" w:rsidR="00C46719" w:rsidRPr="00520A91" w:rsidRDefault="00C46719" w:rsidP="00C46719">
      <w:pPr>
        <w:pStyle w:val="Ttulo2"/>
        <w:rPr>
          <w:rFonts w:ascii="Arial" w:hAnsi="Arial"/>
          <w:sz w:val="23"/>
          <w:szCs w:val="23"/>
        </w:rPr>
      </w:pPr>
      <w:r w:rsidRPr="00520A91">
        <w:rPr>
          <w:rFonts w:ascii="Arial" w:hAnsi="Arial"/>
          <w:sz w:val="23"/>
          <w:szCs w:val="23"/>
        </w:rPr>
        <w:t>Convenio marco interinstitucional INE-Talleres Gráficos de México</w:t>
      </w:r>
    </w:p>
    <w:p w14:paraId="2775C182" w14:textId="77777777" w:rsidR="00C46719" w:rsidRPr="00520A91" w:rsidRDefault="00C46719" w:rsidP="00C46719">
      <w:pPr>
        <w:spacing w:line="300" w:lineRule="auto"/>
        <w:rPr>
          <w:rFonts w:ascii="Arial" w:hAnsi="Arial" w:cs="Arial"/>
        </w:rPr>
      </w:pPr>
      <w:r w:rsidRPr="00520A91">
        <w:rPr>
          <w:rFonts w:ascii="Arial" w:hAnsi="Arial" w:cs="Arial"/>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14:paraId="6B8D70DD" w14:textId="77777777" w:rsidR="00C46719" w:rsidRPr="00520A91" w:rsidRDefault="00C46719" w:rsidP="00C46719">
      <w:pPr>
        <w:spacing w:line="300" w:lineRule="auto"/>
        <w:rPr>
          <w:rFonts w:ascii="Arial" w:hAnsi="Arial" w:cs="Arial"/>
        </w:rPr>
      </w:pPr>
      <w:r w:rsidRPr="00520A91">
        <w:rPr>
          <w:rFonts w:ascii="Arial" w:hAnsi="Arial" w:cs="Arial"/>
        </w:rPr>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14:paraId="2C2FC9EB" w14:textId="77777777" w:rsidR="00C46719" w:rsidRPr="00520A91" w:rsidRDefault="00C46719" w:rsidP="00C46719">
      <w:pPr>
        <w:pStyle w:val="Ttulo2"/>
        <w:rPr>
          <w:rFonts w:ascii="Arial" w:hAnsi="Arial"/>
          <w:sz w:val="23"/>
          <w:szCs w:val="23"/>
        </w:rPr>
      </w:pPr>
      <w:r w:rsidRPr="00520A91">
        <w:rPr>
          <w:rFonts w:ascii="Arial" w:hAnsi="Arial"/>
          <w:sz w:val="23"/>
          <w:szCs w:val="23"/>
        </w:rPr>
        <w:t>Inicio del Proceso Electoral</w:t>
      </w:r>
    </w:p>
    <w:p w14:paraId="40620B1F" w14:textId="77777777" w:rsidR="00C46719" w:rsidRPr="00520A91" w:rsidRDefault="00C46719" w:rsidP="00C46719">
      <w:pPr>
        <w:spacing w:line="300" w:lineRule="auto"/>
        <w:rPr>
          <w:rFonts w:ascii="Arial" w:hAnsi="Arial" w:cs="Arial"/>
        </w:rPr>
      </w:pPr>
      <w:r w:rsidRPr="00520A91">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0C517A6F" w14:textId="77777777" w:rsidR="00C46719" w:rsidRPr="00520A91" w:rsidRDefault="00C46719" w:rsidP="00C46719">
      <w:pPr>
        <w:pStyle w:val="Ttulo2"/>
        <w:rPr>
          <w:rFonts w:ascii="Arial" w:hAnsi="Arial"/>
          <w:sz w:val="23"/>
          <w:szCs w:val="23"/>
        </w:rPr>
      </w:pPr>
      <w:r w:rsidRPr="00520A91">
        <w:rPr>
          <w:rFonts w:ascii="Arial" w:hAnsi="Arial"/>
          <w:sz w:val="23"/>
          <w:szCs w:val="23"/>
        </w:rPr>
        <w:lastRenderedPageBreak/>
        <w:t xml:space="preserve">Adhesión al convenio marco </w:t>
      </w:r>
    </w:p>
    <w:p w14:paraId="2CD2A375" w14:textId="77777777" w:rsidR="00C46719" w:rsidRPr="00520A91" w:rsidRDefault="00C46719" w:rsidP="00C46719">
      <w:pPr>
        <w:spacing w:line="300" w:lineRule="auto"/>
        <w:rPr>
          <w:rFonts w:ascii="Arial" w:hAnsi="Arial" w:cs="Arial"/>
        </w:rPr>
      </w:pPr>
      <w:r w:rsidRPr="00520A91">
        <w:rPr>
          <w:rFonts w:ascii="Arial" w:hAnsi="Arial" w:cs="Arial"/>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14:paraId="27D57CA6" w14:textId="77777777" w:rsidR="00C46719" w:rsidRPr="00520A91" w:rsidRDefault="00C46719" w:rsidP="00C46719">
      <w:pPr>
        <w:pStyle w:val="Ttulo2"/>
        <w:rPr>
          <w:rFonts w:ascii="Arial" w:hAnsi="Arial"/>
          <w:sz w:val="23"/>
          <w:szCs w:val="23"/>
        </w:rPr>
      </w:pPr>
      <w:r w:rsidRPr="00520A91">
        <w:rPr>
          <w:rFonts w:ascii="Arial" w:hAnsi="Arial"/>
          <w:sz w:val="23"/>
          <w:szCs w:val="23"/>
        </w:rPr>
        <w:t>Aprobación del diseño y la impresión de la documentación y materiales electorales</w:t>
      </w:r>
    </w:p>
    <w:p w14:paraId="441BA82C" w14:textId="77777777" w:rsidR="00C46719" w:rsidRPr="00520A91" w:rsidRDefault="00C46719" w:rsidP="00C46719">
      <w:pPr>
        <w:spacing w:line="300" w:lineRule="auto"/>
        <w:rPr>
          <w:rFonts w:ascii="Arial" w:hAnsi="Arial" w:cs="Arial"/>
        </w:rPr>
      </w:pPr>
      <w:r w:rsidRPr="00520A91">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14:paraId="740F7ED7" w14:textId="77777777" w:rsidR="00C46719" w:rsidRPr="00520A91" w:rsidRDefault="00C46719" w:rsidP="00C46719">
      <w:pPr>
        <w:pStyle w:val="Ttulo2"/>
        <w:rPr>
          <w:rFonts w:ascii="Arial" w:hAnsi="Arial"/>
          <w:sz w:val="23"/>
          <w:szCs w:val="23"/>
        </w:rPr>
      </w:pPr>
      <w:r w:rsidRPr="00520A91">
        <w:rPr>
          <w:rFonts w:ascii="Arial" w:hAnsi="Arial"/>
          <w:sz w:val="23"/>
          <w:szCs w:val="23"/>
        </w:rPr>
        <w:t>Presentación de la propuesta de Manual</w:t>
      </w:r>
    </w:p>
    <w:p w14:paraId="1181FCAA" w14:textId="77777777" w:rsidR="00C46719" w:rsidRPr="00520A91" w:rsidRDefault="00C46719" w:rsidP="00C46719">
      <w:pPr>
        <w:spacing w:line="300" w:lineRule="auto"/>
        <w:rPr>
          <w:rFonts w:ascii="Arial" w:hAnsi="Arial" w:cs="Arial"/>
        </w:rPr>
      </w:pPr>
      <w:r w:rsidRPr="00520A91">
        <w:rPr>
          <w:rFonts w:ascii="Arial" w:hAnsi="Arial" w:cs="Arial"/>
        </w:rPr>
        <w:t>El 12 de abril de 2024, la Secretaria Técnica de la Comisión, mediante oficio COEYEC/013/2024, remitió a la Presidencia del Consejo la propuesta relativa al Manual, que tiene como propósito la supervisión del proceso de producción de la documentación y material electoral, así como del control de calidad del producto terminado para el Proceso Electoral. Lo anterior, para la deliberación por parte de este Consejo Estatal.</w:t>
      </w:r>
    </w:p>
    <w:p w14:paraId="42C6B14B" w14:textId="77777777" w:rsidR="00C46719" w:rsidRPr="00520A91" w:rsidRDefault="00C46719" w:rsidP="00C46719">
      <w:pPr>
        <w:pStyle w:val="Ttulo2"/>
        <w:rPr>
          <w:rFonts w:ascii="Arial" w:hAnsi="Arial"/>
          <w:sz w:val="23"/>
          <w:szCs w:val="23"/>
        </w:rPr>
      </w:pPr>
      <w:r w:rsidRPr="00520A91">
        <w:rPr>
          <w:rFonts w:ascii="Arial" w:hAnsi="Arial"/>
          <w:sz w:val="23"/>
          <w:szCs w:val="23"/>
        </w:rPr>
        <w:t>Jornada Electoral</w:t>
      </w:r>
    </w:p>
    <w:p w14:paraId="5B8C522D" w14:textId="77777777" w:rsidR="00C46719" w:rsidRPr="00520A91" w:rsidRDefault="00C46719" w:rsidP="00C46719">
      <w:pPr>
        <w:spacing w:line="300" w:lineRule="auto"/>
        <w:rPr>
          <w:rFonts w:ascii="Arial" w:hAnsi="Arial" w:cs="Arial"/>
        </w:rPr>
      </w:pPr>
      <w:r w:rsidRPr="00520A91">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31397093" w14:textId="77777777" w:rsidR="00C46719" w:rsidRPr="00520A91" w:rsidRDefault="00C46719" w:rsidP="00C46719">
      <w:pPr>
        <w:pStyle w:val="Ttulo1"/>
        <w:rPr>
          <w:rFonts w:ascii="Arial" w:hAnsi="Arial"/>
          <w:sz w:val="24"/>
          <w:szCs w:val="24"/>
        </w:rPr>
      </w:pPr>
      <w:r w:rsidRPr="00520A91">
        <w:rPr>
          <w:rFonts w:ascii="Arial" w:hAnsi="Arial"/>
          <w:sz w:val="24"/>
          <w:szCs w:val="24"/>
        </w:rPr>
        <w:lastRenderedPageBreak/>
        <w:t>Considerando</w:t>
      </w:r>
    </w:p>
    <w:p w14:paraId="03A08448" w14:textId="77777777" w:rsidR="00C46719" w:rsidRPr="00520A91" w:rsidRDefault="00C46719" w:rsidP="00C46719">
      <w:pPr>
        <w:pStyle w:val="Ttulo2"/>
        <w:rPr>
          <w:rFonts w:ascii="Arial" w:hAnsi="Arial"/>
          <w:sz w:val="23"/>
          <w:szCs w:val="23"/>
        </w:rPr>
      </w:pPr>
      <w:r w:rsidRPr="00520A91">
        <w:rPr>
          <w:rFonts w:ascii="Arial" w:hAnsi="Arial"/>
          <w:sz w:val="23"/>
          <w:szCs w:val="23"/>
        </w:rPr>
        <w:t xml:space="preserve">Fines del Instituto </w:t>
      </w:r>
    </w:p>
    <w:p w14:paraId="3FFF7F92" w14:textId="77777777" w:rsidR="00C46719" w:rsidRPr="00520A91" w:rsidRDefault="00C46719" w:rsidP="00C46719">
      <w:pPr>
        <w:spacing w:line="300" w:lineRule="auto"/>
        <w:rPr>
          <w:rFonts w:ascii="Arial" w:hAnsi="Arial" w:cs="Arial"/>
        </w:rPr>
      </w:pPr>
      <w:r w:rsidRPr="00520A91">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7CDCD78" w14:textId="77777777" w:rsidR="00C46719" w:rsidRPr="00520A91" w:rsidRDefault="00C46719" w:rsidP="00C46719">
      <w:pPr>
        <w:spacing w:line="300" w:lineRule="auto"/>
        <w:rPr>
          <w:rFonts w:ascii="Arial" w:hAnsi="Arial" w:cs="Arial"/>
        </w:rPr>
      </w:pPr>
      <w:r w:rsidRPr="00520A91">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D504EBC" w14:textId="77777777" w:rsidR="00C46719" w:rsidRPr="00520A91" w:rsidRDefault="00C46719" w:rsidP="00C46719">
      <w:pPr>
        <w:pStyle w:val="Ttulo2"/>
        <w:rPr>
          <w:rFonts w:ascii="Arial" w:hAnsi="Arial"/>
          <w:sz w:val="23"/>
          <w:szCs w:val="23"/>
        </w:rPr>
      </w:pPr>
      <w:r w:rsidRPr="00520A91">
        <w:rPr>
          <w:rFonts w:ascii="Arial" w:hAnsi="Arial"/>
          <w:sz w:val="23"/>
          <w:szCs w:val="23"/>
        </w:rPr>
        <w:t xml:space="preserve">Órgano Superior de Dirección del Instituto </w:t>
      </w:r>
    </w:p>
    <w:p w14:paraId="4CE9497A" w14:textId="77777777" w:rsidR="00C46719" w:rsidRPr="00520A91" w:rsidRDefault="00C46719" w:rsidP="00C46719">
      <w:pPr>
        <w:spacing w:line="300" w:lineRule="auto"/>
        <w:rPr>
          <w:rFonts w:ascii="Arial" w:hAnsi="Arial" w:cs="Arial"/>
        </w:rPr>
      </w:pPr>
      <w:r w:rsidRPr="00520A91">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CB4BC97" w14:textId="77777777" w:rsidR="00C46719" w:rsidRPr="00520A91" w:rsidRDefault="00C46719" w:rsidP="00C46719">
      <w:pPr>
        <w:pStyle w:val="Ttulo2"/>
        <w:rPr>
          <w:rFonts w:ascii="Arial" w:hAnsi="Arial"/>
          <w:sz w:val="23"/>
          <w:szCs w:val="23"/>
        </w:rPr>
      </w:pPr>
      <w:r w:rsidRPr="00520A91">
        <w:rPr>
          <w:rFonts w:ascii="Arial" w:hAnsi="Arial"/>
          <w:sz w:val="23"/>
          <w:szCs w:val="23"/>
        </w:rPr>
        <w:lastRenderedPageBreak/>
        <w:t>Integración del Órgano de Dirección Superior</w:t>
      </w:r>
    </w:p>
    <w:p w14:paraId="2CB3BC95" w14:textId="77777777" w:rsidR="00C46719" w:rsidRPr="00520A91" w:rsidRDefault="00C46719" w:rsidP="00C46719">
      <w:pPr>
        <w:spacing w:line="300" w:lineRule="auto"/>
        <w:rPr>
          <w:rFonts w:ascii="Arial" w:hAnsi="Arial" w:cs="Arial"/>
        </w:rPr>
      </w:pPr>
      <w:r w:rsidRPr="00520A91">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6565DCC" w14:textId="77777777" w:rsidR="00C46719" w:rsidRPr="00520A91" w:rsidRDefault="00C46719" w:rsidP="00C46719">
      <w:pPr>
        <w:pStyle w:val="Ttulo2"/>
        <w:rPr>
          <w:rFonts w:ascii="Arial" w:hAnsi="Arial"/>
          <w:sz w:val="23"/>
          <w:szCs w:val="23"/>
        </w:rPr>
      </w:pPr>
      <w:r w:rsidRPr="00520A91">
        <w:rPr>
          <w:rFonts w:ascii="Arial" w:hAnsi="Arial"/>
          <w:sz w:val="23"/>
          <w:szCs w:val="23"/>
        </w:rPr>
        <w:t xml:space="preserve">Competencia del Consejo Estatal </w:t>
      </w:r>
    </w:p>
    <w:p w14:paraId="3A592165" w14:textId="77777777" w:rsidR="00C46719" w:rsidRPr="00520A91" w:rsidRDefault="00C46719" w:rsidP="00C46719">
      <w:pPr>
        <w:spacing w:line="300" w:lineRule="auto"/>
        <w:rPr>
          <w:rFonts w:ascii="Arial" w:hAnsi="Arial" w:cs="Arial"/>
        </w:rPr>
      </w:pPr>
      <w:r w:rsidRPr="00520A91">
        <w:rPr>
          <w:rFonts w:ascii="Arial" w:hAnsi="Arial" w:cs="Arial"/>
        </w:rPr>
        <w:t>Que,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14:paraId="0862E1B5" w14:textId="77777777" w:rsidR="00C46719" w:rsidRPr="00520A91" w:rsidRDefault="00C46719" w:rsidP="00C46719">
      <w:pPr>
        <w:spacing w:line="300" w:lineRule="auto"/>
        <w:rPr>
          <w:rFonts w:ascii="Arial" w:hAnsi="Arial" w:cs="Arial"/>
        </w:rPr>
      </w:pPr>
      <w:r w:rsidRPr="00520A91">
        <w:rPr>
          <w:rFonts w:ascii="Arial" w:hAnsi="Arial" w:cs="Arial"/>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4799134" w14:textId="77777777" w:rsidR="00C46719" w:rsidRPr="00520A91" w:rsidRDefault="00C46719" w:rsidP="00C46719">
      <w:pPr>
        <w:pStyle w:val="Ttulo2"/>
        <w:rPr>
          <w:rFonts w:ascii="Arial" w:hAnsi="Arial"/>
          <w:sz w:val="23"/>
          <w:szCs w:val="23"/>
        </w:rPr>
      </w:pPr>
      <w:r w:rsidRPr="00520A91">
        <w:rPr>
          <w:rFonts w:ascii="Arial" w:hAnsi="Arial"/>
          <w:sz w:val="23"/>
          <w:szCs w:val="23"/>
        </w:rPr>
        <w:t>Regulación de la documentación electoral</w:t>
      </w:r>
    </w:p>
    <w:p w14:paraId="56C4576C" w14:textId="77777777" w:rsidR="00C46719" w:rsidRPr="00520A91" w:rsidRDefault="00C46719" w:rsidP="00C46719">
      <w:pPr>
        <w:spacing w:line="300" w:lineRule="auto"/>
        <w:rPr>
          <w:rFonts w:ascii="Arial" w:hAnsi="Arial" w:cs="Arial"/>
        </w:rPr>
      </w:pPr>
      <w:r w:rsidRPr="00520A91">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14:paraId="455ABAC7" w14:textId="77777777" w:rsidR="00C46719" w:rsidRPr="00520A91" w:rsidRDefault="00C46719" w:rsidP="00C46719">
      <w:pPr>
        <w:spacing w:line="300" w:lineRule="auto"/>
        <w:rPr>
          <w:rFonts w:ascii="Arial" w:hAnsi="Arial" w:cs="Arial"/>
        </w:rPr>
      </w:pPr>
      <w:r w:rsidRPr="00520A91">
        <w:rPr>
          <w:rFonts w:ascii="Arial" w:hAnsi="Arial" w:cs="Arial"/>
        </w:rPr>
        <w:lastRenderedPageBreak/>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44BC3763" w14:textId="77777777" w:rsidR="00C46719" w:rsidRPr="00520A91" w:rsidRDefault="00C46719" w:rsidP="00C46719">
      <w:pPr>
        <w:pStyle w:val="Ttulo2"/>
        <w:rPr>
          <w:rFonts w:ascii="Arial" w:hAnsi="Arial"/>
          <w:sz w:val="23"/>
          <w:szCs w:val="23"/>
        </w:rPr>
      </w:pPr>
      <w:r w:rsidRPr="00520A91">
        <w:rPr>
          <w:rFonts w:ascii="Arial" w:hAnsi="Arial"/>
          <w:sz w:val="23"/>
          <w:szCs w:val="23"/>
        </w:rPr>
        <w:t>Boletas electorales</w:t>
      </w:r>
    </w:p>
    <w:p w14:paraId="03A5BBAB" w14:textId="77777777" w:rsidR="00C46719" w:rsidRPr="00520A91" w:rsidRDefault="00C46719" w:rsidP="00C46719">
      <w:pPr>
        <w:spacing w:line="300" w:lineRule="auto"/>
        <w:rPr>
          <w:rFonts w:ascii="Arial" w:hAnsi="Arial" w:cs="Arial"/>
        </w:rPr>
      </w:pPr>
      <w:r w:rsidRPr="00520A91">
        <w:rPr>
          <w:rFonts w:ascii="Arial" w:hAnsi="Arial" w:cs="Arial"/>
        </w:rPr>
        <w:t>Que, el artículo 150 numeral 1, inciso a) del Reglamento de Elecciones establece 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w:t>
      </w:r>
    </w:p>
    <w:p w14:paraId="081D356A" w14:textId="77777777" w:rsidR="00C46719" w:rsidRPr="00520A91" w:rsidRDefault="00C46719" w:rsidP="00C46719">
      <w:pPr>
        <w:pStyle w:val="Ttulo2"/>
        <w:rPr>
          <w:rFonts w:ascii="Arial" w:hAnsi="Arial"/>
          <w:sz w:val="23"/>
          <w:szCs w:val="23"/>
        </w:rPr>
      </w:pPr>
      <w:r w:rsidRPr="00520A91">
        <w:rPr>
          <w:rFonts w:ascii="Arial" w:hAnsi="Arial"/>
          <w:sz w:val="23"/>
          <w:szCs w:val="23"/>
        </w:rPr>
        <w:t>Responsable de la documentación y materiales electorales</w:t>
      </w:r>
    </w:p>
    <w:p w14:paraId="6396D003" w14:textId="77777777" w:rsidR="00C46719" w:rsidRPr="00520A91" w:rsidRDefault="00C46719" w:rsidP="00C46719">
      <w:pPr>
        <w:spacing w:line="300" w:lineRule="auto"/>
        <w:rPr>
          <w:rFonts w:ascii="Arial" w:hAnsi="Arial" w:cs="Arial"/>
        </w:rPr>
      </w:pPr>
      <w:r w:rsidRPr="00520A91">
        <w:rPr>
          <w:rFonts w:ascii="Arial" w:hAnsi="Arial" w:cs="Arial"/>
        </w:rPr>
        <w:t>Que, el artículo 149 numeral 4 del Reglamento de Elecciones dispone que la Dirección Ejecutiva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14:paraId="2BB6FF3F" w14:textId="77777777" w:rsidR="00C46719" w:rsidRPr="00520A91" w:rsidRDefault="00C46719" w:rsidP="00C46719">
      <w:pPr>
        <w:spacing w:line="300" w:lineRule="auto"/>
        <w:rPr>
          <w:rFonts w:ascii="Arial" w:hAnsi="Arial" w:cs="Arial"/>
        </w:rPr>
      </w:pPr>
      <w:r w:rsidRPr="00520A91">
        <w:rPr>
          <w:rFonts w:ascii="Arial" w:hAnsi="Arial" w:cs="Arial"/>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14:paraId="266AECE7" w14:textId="77777777" w:rsidR="00C46719" w:rsidRPr="00520A91" w:rsidRDefault="00C46719" w:rsidP="00C46719">
      <w:pPr>
        <w:pStyle w:val="Ttulo2"/>
        <w:rPr>
          <w:rFonts w:ascii="Arial" w:hAnsi="Arial"/>
          <w:sz w:val="23"/>
          <w:szCs w:val="23"/>
        </w:rPr>
      </w:pPr>
      <w:r w:rsidRPr="00520A91">
        <w:rPr>
          <w:rFonts w:ascii="Arial" w:hAnsi="Arial"/>
          <w:sz w:val="23"/>
          <w:szCs w:val="23"/>
        </w:rPr>
        <w:lastRenderedPageBreak/>
        <w:t>Documentación electoral</w:t>
      </w:r>
    </w:p>
    <w:p w14:paraId="6F0F2BAA" w14:textId="77777777" w:rsidR="00C46719" w:rsidRPr="00520A91" w:rsidRDefault="00C46719" w:rsidP="00C46719">
      <w:pPr>
        <w:spacing w:line="300" w:lineRule="auto"/>
        <w:rPr>
          <w:rFonts w:ascii="Arial" w:hAnsi="Arial" w:cs="Arial"/>
        </w:rPr>
      </w:pPr>
      <w:r w:rsidRPr="00520A91">
        <w:rPr>
          <w:rFonts w:ascii="Arial" w:hAnsi="Arial" w:cs="Arial"/>
        </w:rPr>
        <w:t>Que, de acuerdo con el artículo 150 del Reglamento de Elecciones, los documentos electorales se dividen en los dos grupos siguientes:</w:t>
      </w:r>
    </w:p>
    <w:p w14:paraId="340AF91E" w14:textId="77777777" w:rsidR="00C46719" w:rsidRPr="00520A91" w:rsidRDefault="00C46719" w:rsidP="00C46719">
      <w:pPr>
        <w:pStyle w:val="Prrafodelista"/>
        <w:numPr>
          <w:ilvl w:val="0"/>
          <w:numId w:val="1"/>
        </w:numPr>
        <w:spacing w:line="300" w:lineRule="auto"/>
        <w:contextualSpacing w:val="0"/>
        <w:rPr>
          <w:rFonts w:ascii="Arial" w:hAnsi="Arial" w:cs="Arial"/>
        </w:rPr>
      </w:pPr>
      <w:r w:rsidRPr="00520A91">
        <w:rPr>
          <w:rFonts w:ascii="Arial" w:hAnsi="Arial" w:cs="Arial"/>
        </w:rPr>
        <w:t xml:space="preserve">Documentos con emblemas de partidos políticos y candidaturas independientes; y </w:t>
      </w:r>
    </w:p>
    <w:p w14:paraId="2403BE28" w14:textId="77777777" w:rsidR="00C46719" w:rsidRPr="00520A91" w:rsidRDefault="00C46719" w:rsidP="00C46719">
      <w:pPr>
        <w:pStyle w:val="Prrafodelista"/>
        <w:numPr>
          <w:ilvl w:val="0"/>
          <w:numId w:val="1"/>
        </w:numPr>
        <w:spacing w:line="300" w:lineRule="auto"/>
        <w:contextualSpacing w:val="0"/>
        <w:rPr>
          <w:rFonts w:ascii="Arial" w:hAnsi="Arial" w:cs="Arial"/>
        </w:rPr>
      </w:pPr>
      <w:r w:rsidRPr="00520A91">
        <w:rPr>
          <w:rFonts w:ascii="Arial" w:hAnsi="Arial" w:cs="Arial"/>
        </w:rPr>
        <w:t>Documentos sin emblemas de partidos políticos ni candidaturas independientes.</w:t>
      </w:r>
    </w:p>
    <w:p w14:paraId="3EA2B83B" w14:textId="77777777" w:rsidR="00C46719" w:rsidRPr="00520A91" w:rsidRDefault="00C46719" w:rsidP="00C46719">
      <w:pPr>
        <w:spacing w:line="300" w:lineRule="auto"/>
        <w:rPr>
          <w:rFonts w:ascii="Arial" w:hAnsi="Arial" w:cs="Arial"/>
        </w:rPr>
      </w:pPr>
      <w:r w:rsidRPr="00520A91">
        <w:rPr>
          <w:rFonts w:ascii="Arial" w:hAnsi="Arial" w:cs="Arial"/>
        </w:rPr>
        <w:t>Además, las especificaciones técnicas de los dos grupos de documentos electorales mencionados están contenidas en el anexo 4.1 del Reglamento de Elecciones y los documentos podrán integrarse en dos o más en una impresión, cuando contengan elementos comunes y conserven las características particulares contenidas en las especificaciones técnicas, previa aprobación de la Comisión competente o del órgano superior de dirección del organismo electoral.</w:t>
      </w:r>
    </w:p>
    <w:p w14:paraId="03829604" w14:textId="77777777" w:rsidR="00C46719" w:rsidRPr="00520A91" w:rsidRDefault="00C46719" w:rsidP="00C46719">
      <w:pPr>
        <w:spacing w:line="300" w:lineRule="auto"/>
        <w:rPr>
          <w:rFonts w:ascii="Arial" w:hAnsi="Arial" w:cs="Arial"/>
        </w:rPr>
      </w:pPr>
      <w:r w:rsidRPr="00520A91">
        <w:rPr>
          <w:rFonts w:ascii="Arial" w:hAnsi="Arial" w:cs="Arial"/>
        </w:rPr>
        <w:t>Para el caso de los organismos electorales, se deberá contar con la validación previa de la Dirección Ejecutiva, atendiendo a lo establecido en el artículo 160 del Reglamento de Elecciones.</w:t>
      </w:r>
    </w:p>
    <w:p w14:paraId="43C1BE1E" w14:textId="77777777" w:rsidR="00C46719" w:rsidRPr="00520A91" w:rsidRDefault="00C46719" w:rsidP="00C46719">
      <w:pPr>
        <w:pStyle w:val="Ttulo2"/>
        <w:rPr>
          <w:rFonts w:ascii="Arial" w:hAnsi="Arial"/>
          <w:sz w:val="23"/>
          <w:szCs w:val="23"/>
        </w:rPr>
      </w:pPr>
      <w:r w:rsidRPr="00520A91">
        <w:rPr>
          <w:rFonts w:ascii="Arial" w:hAnsi="Arial"/>
          <w:sz w:val="23"/>
          <w:szCs w:val="23"/>
        </w:rPr>
        <w:t>Contenido de las boletas electorales</w:t>
      </w:r>
    </w:p>
    <w:p w14:paraId="7AA7543F" w14:textId="77777777" w:rsidR="00C46719" w:rsidRPr="00520A91" w:rsidRDefault="00C46719" w:rsidP="00C46719">
      <w:pPr>
        <w:spacing w:line="300" w:lineRule="auto"/>
        <w:rPr>
          <w:rFonts w:ascii="Arial" w:hAnsi="Arial" w:cs="Arial"/>
        </w:rPr>
      </w:pPr>
      <w:r w:rsidRPr="00520A91">
        <w:rPr>
          <w:rFonts w:ascii="Arial" w:hAnsi="Arial" w:cs="Arial"/>
        </w:rPr>
        <w:t>Que, entre la documentación electoral con emblemas de partidos políticos y candidaturas independientes que se requiere para la realización de las elecciones, se ubican las boletas electorales por cada tipo de elección, las actas de jornada electoral y de escrutinio y cómputo, cuyas especificaciones técnicas están contenidas en el anexo 4.1 del citado ordenamiento, de acuerdo con lo que señala el artículo 150 numeral 1, inciso a) del Reglamento de Elecciones.</w:t>
      </w:r>
    </w:p>
    <w:p w14:paraId="0057DC71" w14:textId="77777777" w:rsidR="00C46719" w:rsidRPr="00520A91" w:rsidRDefault="00C46719" w:rsidP="00C46719">
      <w:pPr>
        <w:pStyle w:val="Ttulo2"/>
        <w:rPr>
          <w:rFonts w:ascii="Arial" w:hAnsi="Arial"/>
          <w:sz w:val="23"/>
          <w:szCs w:val="23"/>
        </w:rPr>
      </w:pPr>
      <w:r w:rsidRPr="00520A91">
        <w:rPr>
          <w:rFonts w:ascii="Arial" w:hAnsi="Arial"/>
          <w:sz w:val="23"/>
          <w:szCs w:val="23"/>
        </w:rPr>
        <w:t>Entrega de la documentación y material electorales a los Consejos Distritales</w:t>
      </w:r>
    </w:p>
    <w:p w14:paraId="45B08FBA" w14:textId="77777777" w:rsidR="00C46719" w:rsidRPr="00520A91" w:rsidRDefault="00C46719" w:rsidP="00C46719">
      <w:pPr>
        <w:spacing w:line="300" w:lineRule="auto"/>
        <w:rPr>
          <w:rFonts w:ascii="Arial" w:hAnsi="Arial" w:cs="Arial"/>
        </w:rPr>
      </w:pPr>
      <w:r w:rsidRPr="00520A91">
        <w:rPr>
          <w:rFonts w:ascii="Arial" w:hAnsi="Arial" w:cs="Arial"/>
        </w:rPr>
        <w:t xml:space="preserve">Que, de conformidad con lo dispuesto por los artículos 268 numeral 1, inciso e) de la Ley General y 218 numeral 2, fracción V de la Ley Electoral, las boletas electorales </w:t>
      </w:r>
      <w:r w:rsidRPr="00520A91">
        <w:rPr>
          <w:rFonts w:ascii="Arial" w:hAnsi="Arial" w:cs="Arial"/>
        </w:rPr>
        <w:lastRenderedPageBreak/>
        <w:t>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2186A0A6" w14:textId="77777777" w:rsidR="00C46719" w:rsidRPr="00520A91" w:rsidRDefault="00C46719" w:rsidP="00C46719">
      <w:pPr>
        <w:pStyle w:val="Ttulo2"/>
        <w:rPr>
          <w:rFonts w:ascii="Arial" w:hAnsi="Arial"/>
          <w:sz w:val="23"/>
          <w:szCs w:val="23"/>
        </w:rPr>
      </w:pPr>
      <w:r w:rsidRPr="00520A91">
        <w:rPr>
          <w:rFonts w:ascii="Arial" w:hAnsi="Arial"/>
          <w:sz w:val="23"/>
          <w:szCs w:val="23"/>
        </w:rPr>
        <w:t>Entrega de la documentación y material electorales a las Presidencias de las Mesas Directivas de Casilla</w:t>
      </w:r>
    </w:p>
    <w:p w14:paraId="44CDCC82" w14:textId="77777777" w:rsidR="00C46719" w:rsidRPr="00520A91" w:rsidRDefault="00C46719" w:rsidP="00C46719">
      <w:pPr>
        <w:spacing w:line="300" w:lineRule="auto"/>
        <w:rPr>
          <w:rFonts w:ascii="Arial" w:hAnsi="Arial" w:cs="Arial"/>
        </w:rPr>
      </w:pPr>
      <w:r w:rsidRPr="00520A91">
        <w:rPr>
          <w:rFonts w:ascii="Arial" w:hAnsi="Arial" w:cs="Arial"/>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materiales electorales aprobados por el Consejo Estatal, así como los útiles de escritorio y demás elementos necesarios para el desarrollo de la jornada electoral.</w:t>
      </w:r>
    </w:p>
    <w:p w14:paraId="262B66A7" w14:textId="77777777" w:rsidR="00C46719" w:rsidRPr="00520A91" w:rsidRDefault="00C46719" w:rsidP="00C46719">
      <w:pPr>
        <w:pStyle w:val="Ttulo2"/>
        <w:rPr>
          <w:rFonts w:ascii="Arial" w:hAnsi="Arial"/>
          <w:sz w:val="23"/>
          <w:szCs w:val="23"/>
        </w:rPr>
      </w:pPr>
      <w:r w:rsidRPr="00520A91">
        <w:rPr>
          <w:rFonts w:ascii="Arial" w:hAnsi="Arial"/>
          <w:sz w:val="23"/>
          <w:szCs w:val="23"/>
        </w:rPr>
        <w:t>Manual de control</w:t>
      </w:r>
    </w:p>
    <w:p w14:paraId="6A0DDCD2" w14:textId="77777777" w:rsidR="00C46719" w:rsidRPr="00520A91" w:rsidRDefault="00C46719" w:rsidP="00C46719">
      <w:pPr>
        <w:spacing w:line="300" w:lineRule="auto"/>
        <w:rPr>
          <w:rFonts w:ascii="Arial" w:hAnsi="Arial" w:cs="Arial"/>
        </w:rPr>
      </w:pPr>
      <w:r w:rsidRPr="00520A91">
        <w:rPr>
          <w:rFonts w:ascii="Arial" w:hAnsi="Arial" w:cs="Arial"/>
        </w:rPr>
        <w:t xml:space="preserve">Que, el anexo 4.1 del Reglamento de Elecciones dispone, entre otras cosas que, tanto el INE como los organismos electorales, de conformidad con las necesidades propias de su producción, deberán elaborar un Manual de control de calidad de uso interno, a través del cual se detalle la manera de supervisar la producción de la documentación electoral y se garantice que el fabricante cumpla con las especificaciones técnicas. El Manual de los organismos electorales deben presentarlo al INE junto con el listado de sus proveedores adjudicados, para su conocimiento y, en su caso, observaciones. </w:t>
      </w:r>
    </w:p>
    <w:p w14:paraId="30DD616C" w14:textId="77777777" w:rsidR="00C46719" w:rsidRPr="00520A91" w:rsidRDefault="00C46719" w:rsidP="00C46719">
      <w:pPr>
        <w:spacing w:line="300" w:lineRule="auto"/>
        <w:rPr>
          <w:rFonts w:ascii="Arial" w:hAnsi="Arial" w:cs="Arial"/>
        </w:rPr>
      </w:pPr>
      <w:r w:rsidRPr="00520A91">
        <w:rPr>
          <w:rFonts w:ascii="Arial" w:hAnsi="Arial" w:cs="Arial"/>
        </w:rPr>
        <w:t>Asimismo, el Manual debe contener los siguientes puntos:</w:t>
      </w:r>
    </w:p>
    <w:p w14:paraId="37EF2CC0"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Marco legal.</w:t>
      </w:r>
    </w:p>
    <w:p w14:paraId="6D948449"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Criterios de adjudicación de la producción.</w:t>
      </w:r>
    </w:p>
    <w:p w14:paraId="75A3C9BF"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Acciones para designar al fabricante.</w:t>
      </w:r>
    </w:p>
    <w:p w14:paraId="277F8D83" w14:textId="55843694" w:rsidR="00C46719" w:rsidRPr="00520A91" w:rsidRDefault="00221C0E" w:rsidP="00677497">
      <w:pPr>
        <w:pStyle w:val="Prrafodelista"/>
        <w:numPr>
          <w:ilvl w:val="0"/>
          <w:numId w:val="2"/>
        </w:numPr>
        <w:spacing w:line="300" w:lineRule="auto"/>
        <w:ind w:left="714" w:hanging="357"/>
        <w:rPr>
          <w:rFonts w:ascii="Arial" w:hAnsi="Arial" w:cs="Arial"/>
        </w:rPr>
      </w:pPr>
      <w:r w:rsidRPr="00520A91">
        <w:rPr>
          <w:rFonts w:ascii="Arial" w:hAnsi="Arial" w:cs="Arial"/>
        </w:rPr>
        <w:t>Consideraciones</w:t>
      </w:r>
      <w:r w:rsidR="00C46719" w:rsidRPr="00520A91">
        <w:rPr>
          <w:rFonts w:ascii="Arial" w:hAnsi="Arial" w:cs="Arial"/>
        </w:rPr>
        <w:t xml:space="preserve"> en la supervisión de la producción.</w:t>
      </w:r>
    </w:p>
    <w:p w14:paraId="6364AE6F"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Normas aplicables en los procesos de producción de los documentos electorales.</w:t>
      </w:r>
    </w:p>
    <w:p w14:paraId="2884BBFB"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lastRenderedPageBreak/>
        <w:t>Diagramas de flujo de los procedimientos de supervisión de la producción de la documentación electoral.</w:t>
      </w:r>
    </w:p>
    <w:p w14:paraId="072C55FE"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Parámetros de evaluación para la revisión de la documentación electoral.</w:t>
      </w:r>
    </w:p>
    <w:p w14:paraId="4AEBA187" w14:textId="77777777" w:rsidR="00C46719" w:rsidRPr="00520A91" w:rsidRDefault="00C46719" w:rsidP="00677497">
      <w:pPr>
        <w:pStyle w:val="Prrafodelista"/>
        <w:numPr>
          <w:ilvl w:val="0"/>
          <w:numId w:val="2"/>
        </w:numPr>
        <w:spacing w:line="300" w:lineRule="auto"/>
        <w:ind w:left="714" w:hanging="357"/>
        <w:rPr>
          <w:rFonts w:ascii="Arial" w:hAnsi="Arial" w:cs="Arial"/>
        </w:rPr>
      </w:pPr>
      <w:r w:rsidRPr="00520A91">
        <w:rPr>
          <w:rFonts w:ascii="Arial" w:hAnsi="Arial" w:cs="Arial"/>
        </w:rPr>
        <w:t>Procedimiento de la supervisión, formatos para anotar los resultados y criterios para aceptar o rechazar la producción.</w:t>
      </w:r>
    </w:p>
    <w:p w14:paraId="4CA090FB" w14:textId="77777777" w:rsidR="00C46719" w:rsidRPr="00520A91" w:rsidRDefault="00C46719" w:rsidP="00C46719">
      <w:pPr>
        <w:spacing w:line="300" w:lineRule="auto"/>
        <w:rPr>
          <w:rFonts w:ascii="Arial" w:hAnsi="Arial" w:cs="Arial"/>
        </w:rPr>
      </w:pPr>
      <w:r w:rsidRPr="00520A91">
        <w:rPr>
          <w:rFonts w:ascii="Arial" w:hAnsi="Arial" w:cs="Arial"/>
        </w:rPr>
        <w:t>El objetivo de este  documento es establecer las disposiciones generales para la supervisión y control de calidad de los documentos y materiales electorales que se imprimirán y producirán en el organismo público designado para la producción de la documentación y materiales electorales antes referidos, y así se garantice que los Consejos Distritales cuenten con la documentación electoral, materiales electorales, formas aprobadas,  útiles y demás elementos necesarios para el cumplimiento de las funciones de las mesas directivas de casilla, el día de la Jornada Electoral.</w:t>
      </w:r>
    </w:p>
    <w:p w14:paraId="46E6DE53" w14:textId="77777777" w:rsidR="00C46719" w:rsidRPr="00520A91" w:rsidRDefault="00C46719" w:rsidP="00C46719">
      <w:pPr>
        <w:pStyle w:val="Ttulo2"/>
        <w:rPr>
          <w:rFonts w:ascii="Arial" w:hAnsi="Arial"/>
          <w:sz w:val="23"/>
          <w:szCs w:val="23"/>
        </w:rPr>
      </w:pPr>
      <w:r w:rsidRPr="00520A91">
        <w:rPr>
          <w:rFonts w:ascii="Arial" w:hAnsi="Arial"/>
          <w:sz w:val="23"/>
          <w:szCs w:val="23"/>
        </w:rPr>
        <w:t>Supervisión de la producción de documentos electorales</w:t>
      </w:r>
    </w:p>
    <w:p w14:paraId="21EBFAA2" w14:textId="77777777" w:rsidR="00C46719" w:rsidRPr="00520A91" w:rsidRDefault="00C46719" w:rsidP="00C46719">
      <w:pPr>
        <w:spacing w:line="300" w:lineRule="auto"/>
        <w:rPr>
          <w:rFonts w:ascii="Arial" w:hAnsi="Arial" w:cs="Arial"/>
        </w:rPr>
      </w:pPr>
      <w:r w:rsidRPr="00520A91">
        <w:rPr>
          <w:rFonts w:ascii="Arial" w:hAnsi="Arial" w:cs="Arial"/>
        </w:rPr>
        <w:t>Que, de acuerdo con el anexo 4.1 del Reglamento de Elecciones, para supervisar la producción de la documentación electoral se debe seguir el siguiente procedimiento:</w:t>
      </w:r>
    </w:p>
    <w:p w14:paraId="74FAE294"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Elaborar un Programa de producción de los documentos electorales, que incluya tiempos y cantidades a producir de cada uno de ellos, considerando como mínimo los siguientes aspectos:</w:t>
      </w:r>
    </w:p>
    <w:p w14:paraId="57D33DC7"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Plazos establecidos en la legislación electoral para que los documentos se encuentren en poder de los consejos distritales o en su caso, municipales.</w:t>
      </w:r>
    </w:p>
    <w:p w14:paraId="5DF5D86D"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Capacidad instalada e infraestructura técnica y humana del proveedor.</w:t>
      </w:r>
    </w:p>
    <w:p w14:paraId="3B7CC555"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Producción, en primera instancia, de aquellos documentos que no tienen emblemas de partidos políticos y por lo tanto no tienen restricción en su producción (más que la aprobación del Consejo) y después de los que contienen emblemas, a fin de optimizar los tiempos de producción.</w:t>
      </w:r>
    </w:p>
    <w:p w14:paraId="3CAB31C2"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Entregar al fabricante los archivos electrónicos con los diseños de los documentos, así como sus especificaciones técnicas impresas.</w:t>
      </w:r>
    </w:p>
    <w:p w14:paraId="0EA0BE30"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lastRenderedPageBreak/>
        <w:t>Establecer con el proveedor las reuniones de trabajo necesarias, con el propósito de aclarar dudas sobre especificaciones técnicas y comprometer las fechas de producción y entregas de los documentos en las cantidades requeridas.</w:t>
      </w:r>
    </w:p>
    <w:p w14:paraId="47AD01B1"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Solicitar al fabricante un calendario detallado de producción de las boletas electorales antes de su inicio, con el propósito de que el Instituto y, en su caso, el organismo público local electoral lo distribuya a los representantes de los partidos políticos y de candidatos independientes, para evitar sustituciones de nombres cuando éstas se estén imprimiendo o ya estén impresas.</w:t>
      </w:r>
    </w:p>
    <w:p w14:paraId="5326BD5D"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Contratar, en caso de ser necesario, personal eventual con conocimientos en artes gráficas, que supervise la producción de la documentación electoral, que deberá ser capacitado antes de entrar en funciones.</w:t>
      </w:r>
    </w:p>
    <w:p w14:paraId="103B7F5D"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Solicitar al proveedor las pruebas de color de cada documento electoral para su revisión y, en su caso, aprobación. En boletas y actas de casilla se debe invitar a representantes de partidos políticos y de candidato(s) independiente(s), para que den el visto bueno de sus emblemas.</w:t>
      </w:r>
    </w:p>
    <w:p w14:paraId="5591DFCF"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Realizar los trabajos de supervisión y control de calidad durante la producción de la documentación electoral.</w:t>
      </w:r>
    </w:p>
    <w:p w14:paraId="5843FDE9"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Realizar con el proveedor reuniones periódicas (al menos, una a la semana) para revisar los avances en la producción, posibles retrasos con respecto a la programación y alternativas de solución ante eventualidades.</w:t>
      </w:r>
    </w:p>
    <w:p w14:paraId="4370BB32" w14:textId="77777777" w:rsidR="00C46719" w:rsidRPr="00520A91" w:rsidRDefault="00C46719" w:rsidP="00C46719">
      <w:pPr>
        <w:pStyle w:val="Prrafodelista"/>
        <w:numPr>
          <w:ilvl w:val="0"/>
          <w:numId w:val="3"/>
        </w:numPr>
        <w:spacing w:line="300" w:lineRule="auto"/>
        <w:ind w:left="357" w:hanging="357"/>
        <w:contextualSpacing w:val="0"/>
        <w:rPr>
          <w:rFonts w:ascii="Arial" w:hAnsi="Arial" w:cs="Arial"/>
        </w:rPr>
      </w:pPr>
      <w:r w:rsidRPr="00520A91">
        <w:rPr>
          <w:rFonts w:ascii="Arial" w:hAnsi="Arial" w:cs="Arial"/>
        </w:rPr>
        <w:t>Dentro de las instalaciones del fabricante se deben llevar a cabo tres tipos de revisiones:</w:t>
      </w:r>
    </w:p>
    <w:p w14:paraId="56CA480D"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 xml:space="preserve">Verificación de materias primas (papel seguridad, en su caso; papel </w:t>
      </w:r>
      <w:proofErr w:type="spellStart"/>
      <w:r w:rsidRPr="00520A91">
        <w:rPr>
          <w:rFonts w:ascii="Arial" w:hAnsi="Arial" w:cs="Arial"/>
        </w:rPr>
        <w:t>autocopiante</w:t>
      </w:r>
      <w:proofErr w:type="spellEnd"/>
      <w:r w:rsidRPr="00520A91">
        <w:rPr>
          <w:rFonts w:ascii="Arial" w:hAnsi="Arial" w:cs="Arial"/>
        </w:rPr>
        <w:t>, papel bond, cartulina Bristol, etc.). Se deben solicitar los certificados de calidad de cada sustrato y materia prima que se requiera y/o la realización de las pruebas de laboratorio (gramaje, resistencia, tensión, blancura, rasgado, humedad).</w:t>
      </w:r>
    </w:p>
    <w:p w14:paraId="293B013A"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 xml:space="preserve">Supervisión de las etapas de producción (preprensa, impresión, corte, alzado, encuadernado y empaque). Si en alguna de las etapas hubiera material que no </w:t>
      </w:r>
      <w:r w:rsidRPr="00520A91">
        <w:rPr>
          <w:rFonts w:ascii="Arial" w:hAnsi="Arial" w:cs="Arial"/>
        </w:rPr>
        <w:lastRenderedPageBreak/>
        <w:t>cumpla con las especificaciones técnicas, deberá ser separado, rechazado y reemplazado. Los aspectos que se deben supervisar, dependiendo del documento, en cada una de estas etapas son:</w:t>
      </w:r>
    </w:p>
    <w:p w14:paraId="57AAD421" w14:textId="77777777" w:rsidR="00C46719" w:rsidRPr="00520A91" w:rsidRDefault="00C46719" w:rsidP="00C46719">
      <w:pPr>
        <w:pStyle w:val="Prrafodelista"/>
        <w:spacing w:line="300" w:lineRule="auto"/>
        <w:ind w:left="714"/>
        <w:contextualSpacing w:val="0"/>
        <w:rPr>
          <w:rFonts w:ascii="Arial" w:hAnsi="Arial" w:cs="Arial"/>
          <w:b/>
        </w:rPr>
      </w:pPr>
      <w:r w:rsidRPr="00520A91">
        <w:rPr>
          <w:rFonts w:ascii="Arial" w:hAnsi="Arial" w:cs="Arial"/>
          <w:b/>
        </w:rPr>
        <w:t>PREPRENSA</w:t>
      </w:r>
    </w:p>
    <w:p w14:paraId="4F98C975" w14:textId="77777777" w:rsidR="00C46719" w:rsidRPr="00520A91" w:rsidRDefault="00C46719" w:rsidP="00677497">
      <w:pPr>
        <w:pStyle w:val="Prrafodelista"/>
        <w:numPr>
          <w:ilvl w:val="0"/>
          <w:numId w:val="4"/>
        </w:numPr>
        <w:spacing w:line="300" w:lineRule="auto"/>
        <w:ind w:left="1429" w:hanging="357"/>
        <w:rPr>
          <w:rFonts w:ascii="Arial" w:hAnsi="Arial" w:cs="Arial"/>
        </w:rPr>
      </w:pPr>
      <w:r w:rsidRPr="00520A91">
        <w:rPr>
          <w:rFonts w:ascii="Arial" w:hAnsi="Arial" w:cs="Arial"/>
        </w:rPr>
        <w:t>Características del sustrato.</w:t>
      </w:r>
    </w:p>
    <w:p w14:paraId="337574AE" w14:textId="77777777" w:rsidR="00C46719" w:rsidRPr="00520A91" w:rsidRDefault="00C46719" w:rsidP="00677497">
      <w:pPr>
        <w:pStyle w:val="Prrafodelista"/>
        <w:numPr>
          <w:ilvl w:val="0"/>
          <w:numId w:val="4"/>
        </w:numPr>
        <w:spacing w:line="300" w:lineRule="auto"/>
        <w:ind w:left="1429" w:hanging="357"/>
        <w:rPr>
          <w:rFonts w:ascii="Arial" w:hAnsi="Arial" w:cs="Arial"/>
        </w:rPr>
      </w:pPr>
      <w:r w:rsidRPr="00520A91">
        <w:rPr>
          <w:rFonts w:ascii="Arial" w:hAnsi="Arial" w:cs="Arial"/>
        </w:rPr>
        <w:t xml:space="preserve">Transmisión de datos del papel </w:t>
      </w:r>
      <w:proofErr w:type="spellStart"/>
      <w:r w:rsidRPr="00520A91">
        <w:rPr>
          <w:rFonts w:ascii="Arial" w:hAnsi="Arial" w:cs="Arial"/>
        </w:rPr>
        <w:t>autocopiante</w:t>
      </w:r>
      <w:proofErr w:type="spellEnd"/>
      <w:r w:rsidRPr="00520A91">
        <w:rPr>
          <w:rFonts w:ascii="Arial" w:hAnsi="Arial" w:cs="Arial"/>
        </w:rPr>
        <w:t>.</w:t>
      </w:r>
    </w:p>
    <w:p w14:paraId="3C0A159F" w14:textId="77777777" w:rsidR="00C46719" w:rsidRPr="00520A91" w:rsidRDefault="00C46719" w:rsidP="00677497">
      <w:pPr>
        <w:pStyle w:val="Prrafodelista"/>
        <w:numPr>
          <w:ilvl w:val="0"/>
          <w:numId w:val="4"/>
        </w:numPr>
        <w:spacing w:line="300" w:lineRule="auto"/>
        <w:ind w:left="1429" w:hanging="357"/>
        <w:rPr>
          <w:rFonts w:ascii="Arial" w:hAnsi="Arial" w:cs="Arial"/>
        </w:rPr>
      </w:pPr>
      <w:r w:rsidRPr="00520A91">
        <w:rPr>
          <w:rFonts w:ascii="Arial" w:hAnsi="Arial" w:cs="Arial"/>
        </w:rPr>
        <w:t>Revisión de originales mecánicos, pruebas de color y/o impresiones láser.</w:t>
      </w:r>
    </w:p>
    <w:p w14:paraId="69EC4981" w14:textId="77777777" w:rsidR="00C46719" w:rsidRPr="00520A91" w:rsidRDefault="00C46719" w:rsidP="00C46719">
      <w:pPr>
        <w:spacing w:line="300" w:lineRule="auto"/>
        <w:ind w:left="714"/>
        <w:rPr>
          <w:rFonts w:ascii="Arial" w:hAnsi="Arial" w:cs="Arial"/>
          <w:b/>
        </w:rPr>
      </w:pPr>
      <w:r w:rsidRPr="00520A91">
        <w:rPr>
          <w:rFonts w:ascii="Arial" w:hAnsi="Arial" w:cs="Arial"/>
          <w:b/>
        </w:rPr>
        <w:t>IMPRESIÓN</w:t>
      </w:r>
    </w:p>
    <w:p w14:paraId="28CCC46A"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Uniformidad del color en las plastas.</w:t>
      </w:r>
    </w:p>
    <w:p w14:paraId="5297D539"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Tonalidad exacta en los colores solicitados.</w:t>
      </w:r>
    </w:p>
    <w:p w14:paraId="25DBC6D2" w14:textId="6B0C3938"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 xml:space="preserve">Tonalidad de los colores de los emblemas de los partidos políticos </w:t>
      </w:r>
      <w:r w:rsidR="00221C0E" w:rsidRPr="00520A91">
        <w:rPr>
          <w:rFonts w:ascii="Arial" w:hAnsi="Arial" w:cs="Arial"/>
        </w:rPr>
        <w:t>de acuerdo con</w:t>
      </w:r>
      <w:r w:rsidRPr="00520A91">
        <w:rPr>
          <w:rFonts w:ascii="Arial" w:hAnsi="Arial" w:cs="Arial"/>
        </w:rPr>
        <w:t xml:space="preserve"> la prueba de color revisada y autorizada por sus respectivos representantes.</w:t>
      </w:r>
    </w:p>
    <w:p w14:paraId="7B673B54"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Dimensiones.</w:t>
      </w:r>
    </w:p>
    <w:p w14:paraId="425C0BF0"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Registro de impresión.</w:t>
      </w:r>
    </w:p>
    <w:p w14:paraId="6042CAEE"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Presencia de manchas.</w:t>
      </w:r>
    </w:p>
    <w:p w14:paraId="7D6FF701"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Impresión consecutiva, clara y legible de los folios.</w:t>
      </w:r>
    </w:p>
    <w:p w14:paraId="4B63ECCE"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Revisión de los datos variables en cada cambio de placas.</w:t>
      </w:r>
    </w:p>
    <w:p w14:paraId="53807606"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Verificación de la aplicación de las sustituciones de los nombres de candidatos que fueron aprobadas por el Consejo.</w:t>
      </w:r>
    </w:p>
    <w:p w14:paraId="023CA032"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 xml:space="preserve">Compaginación del papel </w:t>
      </w:r>
      <w:proofErr w:type="spellStart"/>
      <w:r w:rsidRPr="00520A91">
        <w:rPr>
          <w:rFonts w:ascii="Arial" w:hAnsi="Arial" w:cs="Arial"/>
        </w:rPr>
        <w:t>autocopiante</w:t>
      </w:r>
      <w:proofErr w:type="spellEnd"/>
      <w:r w:rsidRPr="00520A91">
        <w:rPr>
          <w:rFonts w:ascii="Arial" w:hAnsi="Arial" w:cs="Arial"/>
        </w:rPr>
        <w:t>.</w:t>
      </w:r>
    </w:p>
    <w:p w14:paraId="6ADA53BC"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Verificación de la coincidencia de las marcas de registro entre original y copias.</w:t>
      </w:r>
    </w:p>
    <w:p w14:paraId="54CB4EA1" w14:textId="77777777"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Identificación, registro y retiro de pliegos con unión en las bobinas de papel.</w:t>
      </w:r>
    </w:p>
    <w:p w14:paraId="169466A9" w14:textId="1F3A3BD0" w:rsidR="00C46719" w:rsidRPr="00520A91" w:rsidRDefault="00C46719" w:rsidP="00677497">
      <w:pPr>
        <w:pStyle w:val="Prrafodelista"/>
        <w:numPr>
          <w:ilvl w:val="0"/>
          <w:numId w:val="5"/>
        </w:numPr>
        <w:spacing w:line="300" w:lineRule="auto"/>
        <w:ind w:left="1429" w:hanging="357"/>
        <w:rPr>
          <w:rFonts w:ascii="Arial" w:hAnsi="Arial" w:cs="Arial"/>
        </w:rPr>
      </w:pPr>
      <w:r w:rsidRPr="00520A91">
        <w:rPr>
          <w:rFonts w:ascii="Arial" w:hAnsi="Arial" w:cs="Arial"/>
        </w:rPr>
        <w:t xml:space="preserve">Medidas de seguridad </w:t>
      </w:r>
      <w:r w:rsidR="00221C0E" w:rsidRPr="00520A91">
        <w:rPr>
          <w:rFonts w:ascii="Arial" w:hAnsi="Arial" w:cs="Arial"/>
        </w:rPr>
        <w:t>de acuerdo con</w:t>
      </w:r>
      <w:r w:rsidRPr="00520A91">
        <w:rPr>
          <w:rFonts w:ascii="Arial" w:hAnsi="Arial" w:cs="Arial"/>
        </w:rPr>
        <w:t xml:space="preserve"> las especificaciones técnicas.</w:t>
      </w:r>
    </w:p>
    <w:p w14:paraId="563311A6" w14:textId="1DE74FDD" w:rsidR="00C46719" w:rsidRDefault="00C46719" w:rsidP="00677497">
      <w:pPr>
        <w:pStyle w:val="Prrafodelista"/>
        <w:numPr>
          <w:ilvl w:val="0"/>
          <w:numId w:val="5"/>
        </w:numPr>
        <w:spacing w:line="300" w:lineRule="auto"/>
        <w:ind w:left="1429" w:hanging="357"/>
        <w:rPr>
          <w:rFonts w:ascii="Arial" w:hAnsi="Arial" w:cs="Arial"/>
        </w:rPr>
      </w:pPr>
      <w:proofErr w:type="spellStart"/>
      <w:r w:rsidRPr="00520A91">
        <w:rPr>
          <w:rFonts w:ascii="Arial" w:hAnsi="Arial" w:cs="Arial"/>
        </w:rPr>
        <w:t>Suaje</w:t>
      </w:r>
      <w:proofErr w:type="spellEnd"/>
      <w:r w:rsidRPr="00520A91">
        <w:rPr>
          <w:rFonts w:ascii="Arial" w:hAnsi="Arial" w:cs="Arial"/>
        </w:rPr>
        <w:t xml:space="preserve"> del talón foliado.</w:t>
      </w:r>
    </w:p>
    <w:p w14:paraId="4DEF8B82" w14:textId="79C7C9DF" w:rsidR="00CA04C7" w:rsidRDefault="00CA04C7" w:rsidP="00CA04C7">
      <w:pPr>
        <w:pStyle w:val="Prrafodelista"/>
        <w:spacing w:line="300" w:lineRule="auto"/>
        <w:ind w:left="1429"/>
        <w:rPr>
          <w:rFonts w:ascii="Arial" w:hAnsi="Arial" w:cs="Arial"/>
        </w:rPr>
      </w:pPr>
    </w:p>
    <w:p w14:paraId="00987371" w14:textId="73915A3D" w:rsidR="00CA04C7" w:rsidRDefault="00CA04C7" w:rsidP="00CA04C7">
      <w:pPr>
        <w:pStyle w:val="Prrafodelista"/>
        <w:spacing w:line="300" w:lineRule="auto"/>
        <w:ind w:left="1429"/>
        <w:rPr>
          <w:rFonts w:ascii="Arial" w:hAnsi="Arial" w:cs="Arial"/>
        </w:rPr>
      </w:pPr>
    </w:p>
    <w:p w14:paraId="2A3FCC1A" w14:textId="77777777" w:rsidR="00CA04C7" w:rsidRPr="00520A91" w:rsidRDefault="00CA04C7" w:rsidP="00CA04C7">
      <w:pPr>
        <w:pStyle w:val="Prrafodelista"/>
        <w:spacing w:line="300" w:lineRule="auto"/>
        <w:ind w:left="1429"/>
        <w:rPr>
          <w:rFonts w:ascii="Arial" w:hAnsi="Arial" w:cs="Arial"/>
        </w:rPr>
      </w:pPr>
    </w:p>
    <w:p w14:paraId="0038E640" w14:textId="77777777" w:rsidR="00C46719" w:rsidRPr="00520A91" w:rsidRDefault="00C46719" w:rsidP="00C46719">
      <w:pPr>
        <w:spacing w:line="300" w:lineRule="auto"/>
        <w:ind w:left="714"/>
        <w:rPr>
          <w:rFonts w:ascii="Arial" w:hAnsi="Arial" w:cs="Arial"/>
          <w:b/>
        </w:rPr>
      </w:pPr>
      <w:r w:rsidRPr="00520A91">
        <w:rPr>
          <w:rFonts w:ascii="Arial" w:hAnsi="Arial" w:cs="Arial"/>
          <w:b/>
        </w:rPr>
        <w:lastRenderedPageBreak/>
        <w:t>ALZADO</w:t>
      </w:r>
    </w:p>
    <w:p w14:paraId="21E5C9AB" w14:textId="77777777" w:rsidR="00C46719" w:rsidRPr="00520A91" w:rsidRDefault="00C46719" w:rsidP="00677497">
      <w:pPr>
        <w:pStyle w:val="Prrafodelista"/>
        <w:numPr>
          <w:ilvl w:val="0"/>
          <w:numId w:val="6"/>
        </w:numPr>
        <w:spacing w:line="300" w:lineRule="auto"/>
        <w:ind w:left="1429" w:hanging="357"/>
        <w:rPr>
          <w:rFonts w:ascii="Arial" w:hAnsi="Arial" w:cs="Arial"/>
        </w:rPr>
      </w:pPr>
      <w:r w:rsidRPr="00520A91">
        <w:rPr>
          <w:rFonts w:ascii="Arial" w:hAnsi="Arial" w:cs="Arial"/>
        </w:rPr>
        <w:t>Correcta integración de original, copias y, en su caso, respaldo.</w:t>
      </w:r>
    </w:p>
    <w:p w14:paraId="0776633E" w14:textId="77777777" w:rsidR="00C46719" w:rsidRPr="00520A91" w:rsidRDefault="00C46719" w:rsidP="00677497">
      <w:pPr>
        <w:pStyle w:val="Prrafodelista"/>
        <w:numPr>
          <w:ilvl w:val="0"/>
          <w:numId w:val="6"/>
        </w:numPr>
        <w:spacing w:line="300" w:lineRule="auto"/>
        <w:ind w:left="1429" w:hanging="357"/>
        <w:rPr>
          <w:rFonts w:ascii="Arial" w:hAnsi="Arial" w:cs="Arial"/>
        </w:rPr>
      </w:pPr>
      <w:r w:rsidRPr="00520A91">
        <w:rPr>
          <w:rFonts w:ascii="Arial" w:hAnsi="Arial" w:cs="Arial"/>
        </w:rPr>
        <w:t xml:space="preserve">Pruebas de verificación de la transmisión de datos del papel </w:t>
      </w:r>
      <w:proofErr w:type="spellStart"/>
      <w:r w:rsidRPr="00520A91">
        <w:rPr>
          <w:rFonts w:ascii="Arial" w:hAnsi="Arial" w:cs="Arial"/>
        </w:rPr>
        <w:t>autocopiante</w:t>
      </w:r>
      <w:proofErr w:type="spellEnd"/>
      <w:r w:rsidRPr="00520A91">
        <w:rPr>
          <w:rFonts w:ascii="Arial" w:hAnsi="Arial" w:cs="Arial"/>
        </w:rPr>
        <w:t>.</w:t>
      </w:r>
    </w:p>
    <w:p w14:paraId="63C9F346" w14:textId="77777777" w:rsidR="00C46719" w:rsidRPr="00520A91" w:rsidRDefault="00C46719" w:rsidP="00677497">
      <w:pPr>
        <w:pStyle w:val="Prrafodelista"/>
        <w:numPr>
          <w:ilvl w:val="0"/>
          <w:numId w:val="6"/>
        </w:numPr>
        <w:spacing w:line="300" w:lineRule="auto"/>
        <w:ind w:left="1429" w:hanging="357"/>
        <w:rPr>
          <w:rFonts w:ascii="Arial" w:hAnsi="Arial" w:cs="Arial"/>
        </w:rPr>
      </w:pPr>
      <w:r w:rsidRPr="00520A91">
        <w:rPr>
          <w:rFonts w:ascii="Arial" w:hAnsi="Arial" w:cs="Arial"/>
        </w:rPr>
        <w:t>Que no haya pliegos arrugados o manchados.</w:t>
      </w:r>
    </w:p>
    <w:p w14:paraId="5586B5A5" w14:textId="77777777" w:rsidR="00C46719" w:rsidRPr="00520A91" w:rsidRDefault="00C46719" w:rsidP="00C46719">
      <w:pPr>
        <w:spacing w:line="300" w:lineRule="auto"/>
        <w:ind w:left="714"/>
        <w:rPr>
          <w:rFonts w:ascii="Arial" w:hAnsi="Arial" w:cs="Arial"/>
          <w:b/>
        </w:rPr>
      </w:pPr>
      <w:r w:rsidRPr="00520A91">
        <w:rPr>
          <w:rFonts w:ascii="Arial" w:hAnsi="Arial" w:cs="Arial"/>
          <w:b/>
        </w:rPr>
        <w:t>CORTE</w:t>
      </w:r>
    </w:p>
    <w:p w14:paraId="2BF36664" w14:textId="69DA6C7D" w:rsidR="00C46719" w:rsidRPr="00520A91" w:rsidRDefault="00C46719" w:rsidP="00677497">
      <w:pPr>
        <w:pStyle w:val="Prrafodelista"/>
        <w:numPr>
          <w:ilvl w:val="0"/>
          <w:numId w:val="7"/>
        </w:numPr>
        <w:spacing w:line="300" w:lineRule="auto"/>
        <w:ind w:left="1429" w:hanging="357"/>
        <w:rPr>
          <w:rFonts w:ascii="Arial" w:hAnsi="Arial" w:cs="Arial"/>
        </w:rPr>
      </w:pPr>
      <w:r w:rsidRPr="00520A91">
        <w:rPr>
          <w:rFonts w:ascii="Arial" w:hAnsi="Arial" w:cs="Arial"/>
        </w:rPr>
        <w:t xml:space="preserve">Refine </w:t>
      </w:r>
      <w:r w:rsidR="00221C0E" w:rsidRPr="00520A91">
        <w:rPr>
          <w:rFonts w:ascii="Arial" w:hAnsi="Arial" w:cs="Arial"/>
        </w:rPr>
        <w:t>de acuerdo con</w:t>
      </w:r>
      <w:r w:rsidRPr="00520A91">
        <w:rPr>
          <w:rFonts w:ascii="Arial" w:hAnsi="Arial" w:cs="Arial"/>
        </w:rPr>
        <w:t xml:space="preserve"> los registros de corte.</w:t>
      </w:r>
    </w:p>
    <w:p w14:paraId="33ABCFF0" w14:textId="77777777" w:rsidR="00C46719" w:rsidRPr="00520A91" w:rsidRDefault="00C46719" w:rsidP="00677497">
      <w:pPr>
        <w:pStyle w:val="Prrafodelista"/>
        <w:numPr>
          <w:ilvl w:val="0"/>
          <w:numId w:val="7"/>
        </w:numPr>
        <w:spacing w:line="300" w:lineRule="auto"/>
        <w:ind w:left="1429" w:hanging="357"/>
        <w:rPr>
          <w:rFonts w:ascii="Arial" w:hAnsi="Arial" w:cs="Arial"/>
        </w:rPr>
      </w:pPr>
      <w:r w:rsidRPr="00520A91">
        <w:rPr>
          <w:rFonts w:ascii="Arial" w:hAnsi="Arial" w:cs="Arial"/>
        </w:rPr>
        <w:t xml:space="preserve">Separación de juegos de actas o documentos en papel </w:t>
      </w:r>
      <w:proofErr w:type="spellStart"/>
      <w:r w:rsidRPr="00520A91">
        <w:rPr>
          <w:rFonts w:ascii="Arial" w:hAnsi="Arial" w:cs="Arial"/>
        </w:rPr>
        <w:t>autocopiante</w:t>
      </w:r>
      <w:proofErr w:type="spellEnd"/>
      <w:r w:rsidRPr="00520A91">
        <w:rPr>
          <w:rFonts w:ascii="Arial" w:hAnsi="Arial" w:cs="Arial"/>
        </w:rPr>
        <w:t>.</w:t>
      </w:r>
    </w:p>
    <w:p w14:paraId="6154FA36" w14:textId="77777777" w:rsidR="00C46719" w:rsidRPr="00520A91" w:rsidRDefault="00C46719" w:rsidP="00677497">
      <w:pPr>
        <w:pStyle w:val="Prrafodelista"/>
        <w:numPr>
          <w:ilvl w:val="0"/>
          <w:numId w:val="7"/>
        </w:numPr>
        <w:spacing w:line="300" w:lineRule="auto"/>
        <w:ind w:left="1429" w:hanging="357"/>
        <w:rPr>
          <w:rFonts w:ascii="Arial" w:hAnsi="Arial" w:cs="Arial"/>
        </w:rPr>
      </w:pPr>
      <w:r w:rsidRPr="00520A91">
        <w:rPr>
          <w:rFonts w:ascii="Arial" w:hAnsi="Arial" w:cs="Arial"/>
        </w:rPr>
        <w:t>Clasificación regional (distrito, municipio) de los documentos cortados.</w:t>
      </w:r>
    </w:p>
    <w:p w14:paraId="140FC329" w14:textId="77777777" w:rsidR="00C46719" w:rsidRPr="00520A91" w:rsidRDefault="00C46719" w:rsidP="00C46719">
      <w:pPr>
        <w:spacing w:line="300" w:lineRule="auto"/>
        <w:ind w:left="714"/>
        <w:rPr>
          <w:rFonts w:ascii="Arial" w:hAnsi="Arial" w:cs="Arial"/>
          <w:b/>
        </w:rPr>
      </w:pPr>
      <w:r w:rsidRPr="00520A91">
        <w:rPr>
          <w:rFonts w:ascii="Arial" w:hAnsi="Arial" w:cs="Arial"/>
          <w:b/>
        </w:rPr>
        <w:t>ENCUADERNACIÓN</w:t>
      </w:r>
    </w:p>
    <w:p w14:paraId="3BBEB1B2" w14:textId="77777777" w:rsidR="00C46719" w:rsidRPr="00520A91" w:rsidRDefault="00C46719" w:rsidP="00677497">
      <w:pPr>
        <w:pStyle w:val="Prrafodelista"/>
        <w:numPr>
          <w:ilvl w:val="0"/>
          <w:numId w:val="8"/>
        </w:numPr>
        <w:spacing w:line="300" w:lineRule="auto"/>
        <w:ind w:left="1429" w:hanging="357"/>
        <w:rPr>
          <w:rFonts w:ascii="Arial" w:hAnsi="Arial" w:cs="Arial"/>
        </w:rPr>
      </w:pPr>
      <w:r w:rsidRPr="00520A91">
        <w:rPr>
          <w:rFonts w:ascii="Arial" w:hAnsi="Arial" w:cs="Arial"/>
        </w:rPr>
        <w:t>Aplicación del pegamento.</w:t>
      </w:r>
    </w:p>
    <w:p w14:paraId="1DB3BD2D" w14:textId="77777777" w:rsidR="00C46719" w:rsidRPr="00520A91" w:rsidRDefault="00C46719" w:rsidP="00677497">
      <w:pPr>
        <w:pStyle w:val="Prrafodelista"/>
        <w:numPr>
          <w:ilvl w:val="0"/>
          <w:numId w:val="8"/>
        </w:numPr>
        <w:spacing w:line="300" w:lineRule="auto"/>
        <w:ind w:left="1429" w:hanging="357"/>
        <w:rPr>
          <w:rFonts w:ascii="Arial" w:hAnsi="Arial" w:cs="Arial"/>
        </w:rPr>
      </w:pPr>
      <w:r w:rsidRPr="00520A91">
        <w:rPr>
          <w:rFonts w:ascii="Arial" w:hAnsi="Arial" w:cs="Arial"/>
        </w:rPr>
        <w:t>Calidad del pegamento.</w:t>
      </w:r>
    </w:p>
    <w:p w14:paraId="136D3414" w14:textId="77777777" w:rsidR="00C46719" w:rsidRPr="00520A91" w:rsidRDefault="00C46719" w:rsidP="00677497">
      <w:pPr>
        <w:pStyle w:val="Prrafodelista"/>
        <w:numPr>
          <w:ilvl w:val="0"/>
          <w:numId w:val="8"/>
        </w:numPr>
        <w:spacing w:line="300" w:lineRule="auto"/>
        <w:ind w:left="1429" w:hanging="357"/>
        <w:rPr>
          <w:rFonts w:ascii="Arial" w:hAnsi="Arial" w:cs="Arial"/>
        </w:rPr>
      </w:pPr>
      <w:r w:rsidRPr="00520A91">
        <w:rPr>
          <w:rFonts w:ascii="Arial" w:hAnsi="Arial" w:cs="Arial"/>
        </w:rPr>
        <w:t>Revisión de folios en blocks.</w:t>
      </w:r>
    </w:p>
    <w:p w14:paraId="5F7396BD" w14:textId="77777777" w:rsidR="00C46719" w:rsidRPr="00520A91" w:rsidRDefault="00C46719" w:rsidP="00677497">
      <w:pPr>
        <w:pStyle w:val="Prrafodelista"/>
        <w:numPr>
          <w:ilvl w:val="0"/>
          <w:numId w:val="8"/>
        </w:numPr>
        <w:spacing w:line="300" w:lineRule="auto"/>
        <w:ind w:left="1429" w:hanging="357"/>
        <w:rPr>
          <w:rFonts w:ascii="Arial" w:hAnsi="Arial" w:cs="Arial"/>
        </w:rPr>
      </w:pPr>
      <w:r w:rsidRPr="00520A91">
        <w:rPr>
          <w:rFonts w:ascii="Arial" w:hAnsi="Arial" w:cs="Arial"/>
        </w:rPr>
        <w:t>Sustitución de boletas reportadas con algún error.</w:t>
      </w:r>
    </w:p>
    <w:p w14:paraId="706AC8B1" w14:textId="77777777" w:rsidR="00C46719" w:rsidRPr="00520A91" w:rsidRDefault="00C46719" w:rsidP="00677497">
      <w:pPr>
        <w:pStyle w:val="Prrafodelista"/>
        <w:numPr>
          <w:ilvl w:val="0"/>
          <w:numId w:val="8"/>
        </w:numPr>
        <w:spacing w:line="300" w:lineRule="auto"/>
        <w:ind w:left="1429" w:hanging="357"/>
        <w:rPr>
          <w:rFonts w:ascii="Arial" w:hAnsi="Arial" w:cs="Arial"/>
        </w:rPr>
      </w:pPr>
      <w:r w:rsidRPr="00520A91">
        <w:rPr>
          <w:rFonts w:ascii="Arial" w:hAnsi="Arial" w:cs="Arial"/>
        </w:rPr>
        <w:t>Clasificación regional (distrito, municipio) de los blocks.</w:t>
      </w:r>
    </w:p>
    <w:p w14:paraId="4BA22E0E" w14:textId="77777777" w:rsidR="00C46719" w:rsidRPr="00520A91" w:rsidRDefault="00C46719" w:rsidP="00C46719">
      <w:pPr>
        <w:spacing w:line="300" w:lineRule="auto"/>
        <w:ind w:left="714"/>
        <w:rPr>
          <w:rFonts w:ascii="Arial" w:hAnsi="Arial" w:cs="Arial"/>
          <w:b/>
        </w:rPr>
      </w:pPr>
      <w:r w:rsidRPr="00520A91">
        <w:rPr>
          <w:rFonts w:ascii="Arial" w:hAnsi="Arial" w:cs="Arial"/>
          <w:b/>
        </w:rPr>
        <w:t>ACABADOS ADICIONALES</w:t>
      </w:r>
    </w:p>
    <w:p w14:paraId="27CD9D63" w14:textId="77777777" w:rsidR="00C46719" w:rsidRPr="00520A91" w:rsidRDefault="00C46719" w:rsidP="00677497">
      <w:pPr>
        <w:pStyle w:val="Prrafodelista"/>
        <w:numPr>
          <w:ilvl w:val="0"/>
          <w:numId w:val="9"/>
        </w:numPr>
        <w:spacing w:line="300" w:lineRule="auto"/>
        <w:ind w:left="1429" w:hanging="357"/>
        <w:rPr>
          <w:rFonts w:ascii="Arial" w:hAnsi="Arial" w:cs="Arial"/>
        </w:rPr>
      </w:pPr>
      <w:r w:rsidRPr="00520A91">
        <w:rPr>
          <w:rFonts w:ascii="Arial" w:hAnsi="Arial" w:cs="Arial"/>
        </w:rPr>
        <w:t>Resistencia en las costuras.</w:t>
      </w:r>
    </w:p>
    <w:p w14:paraId="161BB1B0" w14:textId="77777777" w:rsidR="00C46719" w:rsidRPr="00520A91" w:rsidRDefault="00C46719" w:rsidP="00677497">
      <w:pPr>
        <w:pStyle w:val="Prrafodelista"/>
        <w:numPr>
          <w:ilvl w:val="0"/>
          <w:numId w:val="9"/>
        </w:numPr>
        <w:spacing w:line="300" w:lineRule="auto"/>
        <w:ind w:left="1429" w:hanging="357"/>
        <w:rPr>
          <w:rFonts w:ascii="Arial" w:hAnsi="Arial" w:cs="Arial"/>
        </w:rPr>
      </w:pPr>
      <w:r w:rsidRPr="00520A91">
        <w:rPr>
          <w:rFonts w:ascii="Arial" w:hAnsi="Arial" w:cs="Arial"/>
        </w:rPr>
        <w:t>Impresión Braille.</w:t>
      </w:r>
    </w:p>
    <w:p w14:paraId="3F7C74CB" w14:textId="77777777" w:rsidR="00C46719" w:rsidRPr="00520A91" w:rsidRDefault="00C46719" w:rsidP="00677497">
      <w:pPr>
        <w:pStyle w:val="Prrafodelista"/>
        <w:numPr>
          <w:ilvl w:val="0"/>
          <w:numId w:val="9"/>
        </w:numPr>
        <w:spacing w:line="300" w:lineRule="auto"/>
        <w:ind w:left="1429" w:hanging="357"/>
        <w:rPr>
          <w:rFonts w:ascii="Arial" w:hAnsi="Arial" w:cs="Arial"/>
        </w:rPr>
      </w:pPr>
      <w:r w:rsidRPr="00520A91">
        <w:rPr>
          <w:rFonts w:ascii="Arial" w:hAnsi="Arial" w:cs="Arial"/>
        </w:rPr>
        <w:t>Engrapado.</w:t>
      </w:r>
    </w:p>
    <w:p w14:paraId="24997101" w14:textId="77777777" w:rsidR="00C46719" w:rsidRPr="00520A91" w:rsidRDefault="00C46719" w:rsidP="00C46719">
      <w:pPr>
        <w:spacing w:line="300" w:lineRule="auto"/>
        <w:ind w:left="714"/>
        <w:rPr>
          <w:rFonts w:ascii="Arial" w:hAnsi="Arial" w:cs="Arial"/>
          <w:b/>
        </w:rPr>
      </w:pPr>
      <w:r w:rsidRPr="00520A91">
        <w:rPr>
          <w:rFonts w:ascii="Arial" w:hAnsi="Arial" w:cs="Arial"/>
          <w:b/>
        </w:rPr>
        <w:t>EMPAQUE</w:t>
      </w:r>
    </w:p>
    <w:p w14:paraId="2D91045D"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Cantidades requeridas.</w:t>
      </w:r>
    </w:p>
    <w:p w14:paraId="2F6124D3"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Resistencia de las cajas de empaque.</w:t>
      </w:r>
    </w:p>
    <w:p w14:paraId="3CCE7F9B" w14:textId="7630B9E8"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 xml:space="preserve">Clasificación </w:t>
      </w:r>
      <w:r w:rsidR="00221C0E" w:rsidRPr="00520A91">
        <w:rPr>
          <w:rFonts w:ascii="Arial" w:hAnsi="Arial" w:cs="Arial"/>
        </w:rPr>
        <w:t>de acuerdo con</w:t>
      </w:r>
      <w:r w:rsidRPr="00520A91">
        <w:rPr>
          <w:rFonts w:ascii="Arial" w:hAnsi="Arial" w:cs="Arial"/>
        </w:rPr>
        <w:t xml:space="preserve"> las listas entregadas por el INE o el organismo electoral, en su caso.</w:t>
      </w:r>
    </w:p>
    <w:p w14:paraId="590225B0"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Contenido de los datos de identificación en las etiquetas: nombre del documento, entidad, distrito y municipio.</w:t>
      </w:r>
    </w:p>
    <w:p w14:paraId="426CBC9C"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Correspondencia de la caja y su contenido.</w:t>
      </w:r>
    </w:p>
    <w:p w14:paraId="608C872F"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t>Clasificación y registro del número de cajas y paquetes.</w:t>
      </w:r>
    </w:p>
    <w:p w14:paraId="0A2B001A" w14:textId="77777777" w:rsidR="00C46719" w:rsidRPr="00520A91" w:rsidRDefault="00C46719" w:rsidP="00677497">
      <w:pPr>
        <w:pStyle w:val="Prrafodelista"/>
        <w:numPr>
          <w:ilvl w:val="0"/>
          <w:numId w:val="10"/>
        </w:numPr>
        <w:spacing w:line="300" w:lineRule="auto"/>
        <w:ind w:left="1429" w:hanging="357"/>
        <w:rPr>
          <w:rFonts w:ascii="Arial" w:hAnsi="Arial" w:cs="Arial"/>
        </w:rPr>
      </w:pPr>
      <w:r w:rsidRPr="00520A91">
        <w:rPr>
          <w:rFonts w:ascii="Arial" w:hAnsi="Arial" w:cs="Arial"/>
        </w:rPr>
        <w:lastRenderedPageBreak/>
        <w:t>Sellado de las cajas.</w:t>
      </w:r>
    </w:p>
    <w:p w14:paraId="2EAF99BF" w14:textId="77777777" w:rsidR="00C46719" w:rsidRPr="00520A91" w:rsidRDefault="00C46719" w:rsidP="00677497">
      <w:pPr>
        <w:pStyle w:val="Prrafodelista"/>
        <w:numPr>
          <w:ilvl w:val="0"/>
          <w:numId w:val="10"/>
        </w:numPr>
        <w:spacing w:before="0" w:line="300" w:lineRule="auto"/>
        <w:ind w:left="1429" w:hanging="357"/>
        <w:contextualSpacing w:val="0"/>
        <w:rPr>
          <w:rFonts w:ascii="Arial" w:hAnsi="Arial" w:cs="Arial"/>
        </w:rPr>
      </w:pPr>
      <w:r w:rsidRPr="00520A91">
        <w:rPr>
          <w:rFonts w:ascii="Arial" w:hAnsi="Arial" w:cs="Arial"/>
        </w:rPr>
        <w:t>Resguardo de las cajas con documentación electoral.</w:t>
      </w:r>
    </w:p>
    <w:p w14:paraId="21AA05FC" w14:textId="77777777" w:rsidR="00C46719" w:rsidRPr="00520A91" w:rsidRDefault="00C46719" w:rsidP="00C46719">
      <w:pPr>
        <w:pStyle w:val="Prrafodelista"/>
        <w:numPr>
          <w:ilvl w:val="1"/>
          <w:numId w:val="3"/>
        </w:numPr>
        <w:spacing w:line="300" w:lineRule="auto"/>
        <w:ind w:left="714" w:hanging="357"/>
        <w:contextualSpacing w:val="0"/>
        <w:rPr>
          <w:rFonts w:ascii="Arial" w:hAnsi="Arial" w:cs="Arial"/>
        </w:rPr>
      </w:pPr>
      <w:r w:rsidRPr="00520A91">
        <w:rPr>
          <w:rFonts w:ascii="Arial" w:hAnsi="Arial" w:cs="Arial"/>
        </w:rPr>
        <w:t xml:space="preserve">Muestreos aleatorios al producto terminado de acuerdo con la norma </w:t>
      </w:r>
      <w:proofErr w:type="spellStart"/>
      <w:r w:rsidRPr="00520A91">
        <w:rPr>
          <w:rFonts w:ascii="Arial" w:hAnsi="Arial" w:cs="Arial"/>
        </w:rPr>
        <w:t>Military</w:t>
      </w:r>
      <w:proofErr w:type="spellEnd"/>
      <w:r w:rsidRPr="00520A91">
        <w:rPr>
          <w:rFonts w:ascii="Arial" w:hAnsi="Arial" w:cs="Arial"/>
        </w:rPr>
        <w:t xml:space="preserve"> Standard (MIL-STD-105E) para aceptar o rechazar los lotes de producción. En caso de rechazo el proveedor deberá hacer los ajustes o correcciones necesarios.</w:t>
      </w:r>
    </w:p>
    <w:p w14:paraId="12B466F9" w14:textId="77777777" w:rsidR="00C46719" w:rsidRPr="00520A91" w:rsidRDefault="00C46719" w:rsidP="00C46719">
      <w:pPr>
        <w:pStyle w:val="Ttulo2"/>
        <w:rPr>
          <w:rFonts w:ascii="Arial" w:hAnsi="Arial"/>
          <w:sz w:val="23"/>
          <w:szCs w:val="23"/>
        </w:rPr>
      </w:pPr>
      <w:r w:rsidRPr="00520A91">
        <w:rPr>
          <w:rFonts w:ascii="Arial" w:hAnsi="Arial"/>
          <w:sz w:val="23"/>
          <w:szCs w:val="23"/>
        </w:rPr>
        <w:t>Manual de Control del Instituto</w:t>
      </w:r>
    </w:p>
    <w:p w14:paraId="2DDF0A71" w14:textId="25B02D04" w:rsidR="00C46719" w:rsidRPr="00520A91" w:rsidRDefault="00C46719" w:rsidP="00C46719">
      <w:pPr>
        <w:spacing w:line="300" w:lineRule="auto"/>
        <w:rPr>
          <w:rFonts w:ascii="Arial" w:hAnsi="Arial" w:cs="Arial"/>
        </w:rPr>
      </w:pPr>
      <w:r w:rsidRPr="00520A91">
        <w:rPr>
          <w:rFonts w:ascii="Arial" w:hAnsi="Arial" w:cs="Arial"/>
        </w:rPr>
        <w:t xml:space="preserve">Que, conforme a las consideraciones anteriores, y en cumplimiento al acuerdo CE/2023/070, la Dirección de Organización Electoral y Educación Cívica formuló el Manual, el cual fue presentado a la Comisión para su estudio y análisis previo. En ese tenor, la Comisión llevó a cabo reuniones de trabajo previas, a las que asistieron las representaciones de los partidos políticos. En </w:t>
      </w:r>
      <w:r w:rsidR="00677497" w:rsidRPr="00520A91">
        <w:rPr>
          <w:rFonts w:ascii="Arial" w:hAnsi="Arial" w:cs="Arial"/>
        </w:rPr>
        <w:t>estas</w:t>
      </w:r>
      <w:r w:rsidRPr="00520A91">
        <w:rPr>
          <w:rFonts w:ascii="Arial" w:hAnsi="Arial" w:cs="Arial"/>
        </w:rPr>
        <w:t xml:space="preserve"> reuniones se presentó el Manual y las personas que integran la Comisión, tuvieron la oportunidad de realizar sus observaciones, las cuales fueron oportunamente atendidas y solventadas.</w:t>
      </w:r>
    </w:p>
    <w:p w14:paraId="60A05C6D" w14:textId="77777777" w:rsidR="00C46719" w:rsidRPr="00520A91" w:rsidRDefault="00C46719" w:rsidP="00C46719">
      <w:pPr>
        <w:spacing w:line="300" w:lineRule="auto"/>
        <w:rPr>
          <w:rFonts w:ascii="Arial" w:hAnsi="Arial" w:cs="Arial"/>
        </w:rPr>
      </w:pPr>
      <w:r w:rsidRPr="00520A91">
        <w:rPr>
          <w:rFonts w:ascii="Arial" w:hAnsi="Arial" w:cs="Arial"/>
        </w:rPr>
        <w:t xml:space="preserve">En ese contexto, el Manual constituye una valiosa herramienta que fortalece el proceso de producción de la documentación electoral, pues además de que cumple con las reglas y criterios determinados por el INE, define las responsabilidades y obligaciones a cargo de las unidades del Instituto responsables del proceso de supervisión de la documentación. </w:t>
      </w:r>
    </w:p>
    <w:p w14:paraId="0306B777" w14:textId="77777777" w:rsidR="00C46719" w:rsidRPr="00520A91" w:rsidRDefault="00C46719" w:rsidP="00C46719">
      <w:pPr>
        <w:spacing w:line="300" w:lineRule="auto"/>
        <w:rPr>
          <w:rFonts w:ascii="Arial" w:hAnsi="Arial" w:cs="Arial"/>
        </w:rPr>
      </w:pPr>
      <w:r w:rsidRPr="00520A91">
        <w:rPr>
          <w:rFonts w:ascii="Arial" w:hAnsi="Arial" w:cs="Arial"/>
        </w:rPr>
        <w:t>Si bien, la responsabilidad y la supervisión de todo el proceso corresponde en inicio a la Dirección de Organización Electoral y Educación Cívica, el Manual establece la intervención y participación de las Coordinaciones de Organización Electoral y de Prerrogativas a Partidos Políticos, atendiendo por supuesto a las atribuciones que les otorgan las disposiciones legales, así como los criterios, acciones, normas y procedimientos mediante los cuales, de manera general, el funcionariado del Instituto, llevará a cabo la producción e impresión de la documentación y material electoral directamente en las instalaciones del fabricante designado.</w:t>
      </w:r>
    </w:p>
    <w:p w14:paraId="6A2862D3" w14:textId="77777777" w:rsidR="00460528" w:rsidRPr="00520A91" w:rsidRDefault="00C46719" w:rsidP="00C46719">
      <w:pPr>
        <w:spacing w:line="300" w:lineRule="auto"/>
        <w:rPr>
          <w:rFonts w:ascii="Arial" w:hAnsi="Arial" w:cs="Arial"/>
        </w:rPr>
      </w:pPr>
      <w:r w:rsidRPr="00520A91">
        <w:rPr>
          <w:rFonts w:ascii="Arial" w:hAnsi="Arial" w:cs="Arial"/>
        </w:rPr>
        <w:t xml:space="preserve">En síntesis, la finalidad del Manual es establecer un proceso de supervisión, que evite en la medida de lo posible, errores en la producción de la documentación electoral; esto </w:t>
      </w:r>
      <w:r w:rsidRPr="00520A91">
        <w:rPr>
          <w:rFonts w:ascii="Arial" w:hAnsi="Arial" w:cs="Arial"/>
        </w:rPr>
        <w:lastRenderedPageBreak/>
        <w:t>además de certeza, contribuye con el desarrollo de una jornada electoral transparente y eficaz.</w:t>
      </w:r>
      <w:r w:rsidR="00460528" w:rsidRPr="00520A91">
        <w:rPr>
          <w:rFonts w:ascii="Arial" w:hAnsi="Arial" w:cs="Arial"/>
        </w:rPr>
        <w:t xml:space="preserve"> </w:t>
      </w:r>
    </w:p>
    <w:p w14:paraId="33B8F8FE" w14:textId="0B8DFE48" w:rsidR="00C46719" w:rsidRPr="00520A91" w:rsidRDefault="00460528" w:rsidP="00C46719">
      <w:pPr>
        <w:spacing w:line="300" w:lineRule="auto"/>
        <w:rPr>
          <w:rFonts w:ascii="Arial" w:hAnsi="Arial" w:cs="Arial"/>
          <w:b/>
        </w:rPr>
      </w:pPr>
      <w:r w:rsidRPr="00520A91">
        <w:rPr>
          <w:rFonts w:ascii="Arial" w:hAnsi="Arial" w:cs="Arial"/>
        </w:rPr>
        <w:t xml:space="preserve">Por lo anterior, se les hace saber a las y los servidores públicos que intervengan en la supervisión del proceso de producción de la documentación y material electoral que deben </w:t>
      </w:r>
      <w:r w:rsidR="00395BBF" w:rsidRPr="00520A91">
        <w:rPr>
          <w:rFonts w:ascii="Arial" w:hAnsi="Arial" w:cs="Arial"/>
        </w:rPr>
        <w:t xml:space="preserve">de </w:t>
      </w:r>
      <w:r w:rsidRPr="00520A91">
        <w:rPr>
          <w:rFonts w:ascii="Arial" w:hAnsi="Arial" w:cs="Arial"/>
        </w:rPr>
        <w:t xml:space="preserve">regir su actuar en los principios constitucionales y legales que rigen al servicio público en la administración pública, de conformidad con los lineamientos emitidos para el Código de Ética, de conformidad con el artículo 16 de Ley General de Responsabilidades Administrativas, los cuales son: </w:t>
      </w:r>
      <w:r w:rsidRPr="00520A91">
        <w:rPr>
          <w:rFonts w:ascii="Arial" w:hAnsi="Arial" w:cs="Arial"/>
          <w:b/>
        </w:rPr>
        <w:t>eficiencia, profesionalismo y eficacia.</w:t>
      </w:r>
    </w:p>
    <w:p w14:paraId="5A34FAEC" w14:textId="77777777" w:rsidR="00C46719" w:rsidRPr="00520A91" w:rsidRDefault="00C46719" w:rsidP="00C46719">
      <w:pPr>
        <w:spacing w:line="300" w:lineRule="auto"/>
        <w:rPr>
          <w:rFonts w:ascii="Arial" w:hAnsi="Arial" w:cs="Arial"/>
        </w:rPr>
      </w:pPr>
      <w:r w:rsidRPr="00520A91">
        <w:rPr>
          <w:rFonts w:ascii="Arial" w:hAnsi="Arial" w:cs="Arial"/>
        </w:rPr>
        <w:t>Sobre la base de las consideraciones señaladas, este Consejo Estatal emite el siguiente:</w:t>
      </w:r>
    </w:p>
    <w:p w14:paraId="3D8B07A0" w14:textId="77777777" w:rsidR="00C46719" w:rsidRPr="00520A91" w:rsidRDefault="00C46719" w:rsidP="00C46719">
      <w:pPr>
        <w:pStyle w:val="Ttulo1"/>
        <w:rPr>
          <w:rFonts w:ascii="Arial" w:hAnsi="Arial"/>
          <w:sz w:val="24"/>
          <w:szCs w:val="24"/>
        </w:rPr>
      </w:pPr>
      <w:r w:rsidRPr="00520A91">
        <w:rPr>
          <w:rFonts w:ascii="Arial" w:hAnsi="Arial"/>
          <w:sz w:val="24"/>
          <w:szCs w:val="24"/>
        </w:rPr>
        <w:t>Acuerdo</w:t>
      </w:r>
    </w:p>
    <w:p w14:paraId="19B06170" w14:textId="77777777" w:rsidR="00C46719" w:rsidRPr="00520A91" w:rsidRDefault="00C46719" w:rsidP="00C46719">
      <w:pPr>
        <w:spacing w:line="300" w:lineRule="auto"/>
        <w:rPr>
          <w:rFonts w:ascii="Arial" w:hAnsi="Arial" w:cs="Arial"/>
        </w:rPr>
      </w:pPr>
      <w:r w:rsidRPr="00520A91">
        <w:rPr>
          <w:rFonts w:ascii="Arial" w:hAnsi="Arial" w:cs="Arial"/>
          <w:b/>
          <w:bCs/>
        </w:rPr>
        <w:t>Primero.</w:t>
      </w:r>
      <w:r w:rsidRPr="00520A91">
        <w:rPr>
          <w:rFonts w:ascii="Arial" w:hAnsi="Arial" w:cs="Arial"/>
        </w:rPr>
        <w:t xml:space="preserve"> Se aprueba el Manual de supervisión del proceso de producción de la documentación y material electoral, así como del control de calidad del producto terminado para el Proceso Electoral Local Ordinario 2023-2024 anexo al presente acuerdo.</w:t>
      </w:r>
    </w:p>
    <w:p w14:paraId="1E96D723" w14:textId="77777777" w:rsidR="00C46719" w:rsidRPr="00520A91" w:rsidRDefault="00C46719" w:rsidP="00C46719">
      <w:pPr>
        <w:spacing w:line="300" w:lineRule="auto"/>
        <w:rPr>
          <w:rFonts w:ascii="Arial" w:hAnsi="Arial" w:cs="Arial"/>
          <w:bCs/>
        </w:rPr>
      </w:pPr>
      <w:r w:rsidRPr="00520A91">
        <w:rPr>
          <w:rFonts w:ascii="Arial" w:hAnsi="Arial" w:cs="Arial"/>
          <w:b/>
          <w:bCs/>
        </w:rPr>
        <w:t xml:space="preserve">Segundo. </w:t>
      </w:r>
      <w:r w:rsidRPr="00520A91">
        <w:rPr>
          <w:rFonts w:ascii="Arial" w:hAnsi="Arial" w:cs="Arial"/>
          <w:bCs/>
        </w:rPr>
        <w:t>Se instruye a la Dirección de Organización Electoral y Educación Cívica de este Instituto, para que, en la producción de la documentación y material electoral, aplique el Manual de supervisión del proceso de producción de la documentación y material electoral, así como del control de calidad del producto terminado a utilizarse en el Proceso Electoral Local Ordinario 2023-2024</w:t>
      </w:r>
    </w:p>
    <w:p w14:paraId="1BC81E34" w14:textId="77777777" w:rsidR="00C46719" w:rsidRPr="00520A91" w:rsidRDefault="00C46719" w:rsidP="00C46719">
      <w:pPr>
        <w:spacing w:line="300" w:lineRule="auto"/>
        <w:rPr>
          <w:rFonts w:ascii="Arial" w:hAnsi="Arial" w:cs="Arial"/>
          <w:bCs/>
        </w:rPr>
      </w:pPr>
      <w:r w:rsidRPr="00520A91">
        <w:rPr>
          <w:rFonts w:ascii="Arial" w:hAnsi="Arial" w:cs="Arial"/>
          <w:b/>
          <w:bCs/>
        </w:rPr>
        <w:t xml:space="preserve">Tercero. </w:t>
      </w:r>
      <w:r w:rsidRPr="00520A91">
        <w:rPr>
          <w:rFonts w:ascii="Arial" w:hAnsi="Arial" w:cs="Arial"/>
          <w:bCs/>
        </w:rPr>
        <w:t>Asimismo, se instruye a la Dirección de Organización Electoral y Educación Cívica de este Instituto para que, en su caso, elabore el programa de contenido y cronograma de las capacitaciones correspondientes a las áreas que guarden relación con la aprobación del presente proyecto de acuerdo, para su cabal cumplimiento.</w:t>
      </w:r>
    </w:p>
    <w:p w14:paraId="673B651D" w14:textId="77777777" w:rsidR="00C46719" w:rsidRPr="00520A91" w:rsidRDefault="00C46719" w:rsidP="00C46719">
      <w:pPr>
        <w:spacing w:line="300" w:lineRule="auto"/>
        <w:rPr>
          <w:rFonts w:ascii="Arial" w:hAnsi="Arial" w:cs="Arial"/>
        </w:rPr>
      </w:pPr>
      <w:r w:rsidRPr="00520A91">
        <w:rPr>
          <w:rFonts w:ascii="Arial" w:hAnsi="Arial" w:cs="Arial"/>
          <w:b/>
          <w:bCs/>
        </w:rPr>
        <w:t xml:space="preserve">Cuarto. </w:t>
      </w:r>
      <w:r w:rsidRPr="00520A91">
        <w:rPr>
          <w:rFonts w:ascii="Arial" w:hAnsi="Arial" w:cs="Arial"/>
          <w:bCs/>
        </w:rPr>
        <w:t>S</w:t>
      </w:r>
      <w:r w:rsidRPr="00520A91">
        <w:rPr>
          <w:rFonts w:ascii="Arial" w:hAnsi="Arial" w:cs="Arial"/>
        </w:rPr>
        <w:t xml:space="preserve">e instruye a la Secretaría Ejecutiva de este Instituto para que, por conducto de la Coordinación de Vinculación con el Instituto Nacional Electoral, notifique el </w:t>
      </w:r>
      <w:r w:rsidRPr="00520A91">
        <w:rPr>
          <w:rFonts w:ascii="Arial" w:hAnsi="Arial" w:cs="Arial"/>
        </w:rPr>
        <w:lastRenderedPageBreak/>
        <w:t>presente acuerdo al citado organismo nacional, a través de su Unidad Técnica de Vinculación con los Organismos Públicos Locales, para los efectos correspondientes.</w:t>
      </w:r>
    </w:p>
    <w:p w14:paraId="6CA2FA86" w14:textId="77777777" w:rsidR="00C46719" w:rsidRPr="00520A91" w:rsidRDefault="00C46719" w:rsidP="00C46719">
      <w:pPr>
        <w:spacing w:line="300" w:lineRule="auto"/>
        <w:rPr>
          <w:rFonts w:ascii="Arial" w:hAnsi="Arial" w:cs="Arial"/>
          <w:b/>
        </w:rPr>
      </w:pPr>
      <w:r w:rsidRPr="00520A91">
        <w:rPr>
          <w:rFonts w:ascii="Arial" w:hAnsi="Arial" w:cs="Arial"/>
          <w:b/>
        </w:rPr>
        <w:t>Quinto.</w:t>
      </w:r>
      <w:r w:rsidRPr="00520A91">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371E396" w14:textId="01F48D8F" w:rsidR="00C46719" w:rsidRPr="00520A91" w:rsidRDefault="00C46719" w:rsidP="00C46719">
      <w:pPr>
        <w:spacing w:line="300" w:lineRule="auto"/>
        <w:rPr>
          <w:rFonts w:ascii="Arial" w:hAnsi="Arial" w:cs="Arial"/>
        </w:rPr>
      </w:pPr>
      <w:r w:rsidRPr="00520A91">
        <w:rPr>
          <w:rFonts w:ascii="Arial" w:hAnsi="Arial" w:cs="Arial"/>
        </w:rPr>
        <w:t xml:space="preserve">El presente acuerdo fue </w:t>
      </w:r>
      <w:r w:rsidR="00520A91">
        <w:rPr>
          <w:rFonts w:ascii="Arial" w:hAnsi="Arial" w:cs="Arial"/>
        </w:rPr>
        <w:t>aprobado</w:t>
      </w:r>
      <w:r w:rsidRPr="00520A91">
        <w:rPr>
          <w:rFonts w:ascii="Arial" w:hAnsi="Arial" w:cs="Arial"/>
        </w:rPr>
        <w:t xml:space="preserve"> en sesión </w:t>
      </w:r>
      <w:r w:rsidR="00520A91">
        <w:rPr>
          <w:rFonts w:ascii="Arial" w:hAnsi="Arial" w:cs="Arial"/>
        </w:rPr>
        <w:t>extraordinaria urgente</w:t>
      </w:r>
      <w:r w:rsidRPr="00520A91">
        <w:rPr>
          <w:rFonts w:ascii="Arial" w:hAnsi="Arial" w:cs="Arial"/>
        </w:rPr>
        <w:t xml:space="preserve"> efectuada el </w:t>
      </w:r>
      <w:r w:rsidR="00520A91">
        <w:rPr>
          <w:rFonts w:ascii="Arial" w:hAnsi="Arial" w:cs="Arial"/>
        </w:rPr>
        <w:t>día dos</w:t>
      </w:r>
      <w:r w:rsidRPr="00520A91">
        <w:rPr>
          <w:rFonts w:ascii="Arial" w:hAnsi="Arial" w:cs="Arial"/>
        </w:rPr>
        <w:t xml:space="preserve"> de </w:t>
      </w:r>
      <w:r w:rsidR="00520A91">
        <w:rPr>
          <w:rFonts w:ascii="Arial" w:hAnsi="Arial" w:cs="Arial"/>
        </w:rPr>
        <w:t>mayo</w:t>
      </w:r>
      <w:r w:rsidRPr="00520A91">
        <w:rPr>
          <w:rFonts w:ascii="Arial" w:hAnsi="Arial" w:cs="Arial"/>
        </w:rPr>
        <w:t xml:space="preserve"> del año dos mil veinticuatro, por </w:t>
      </w:r>
      <w:r w:rsidR="00520A91">
        <w:rPr>
          <w:rFonts w:ascii="Arial" w:hAnsi="Arial" w:cs="Arial"/>
        </w:rPr>
        <w:t>mayoría de votos</w:t>
      </w:r>
      <w:r w:rsidRPr="00520A91">
        <w:rPr>
          <w:rFonts w:ascii="Arial" w:hAnsi="Arial" w:cs="Arial"/>
        </w:rPr>
        <w:t xml:space="preserve"> de las y los Consejeros Electorales del Consejo Estatal del Instituto Electoral y de Participación Ciudadana de Tabasco: Dra. </w:t>
      </w:r>
      <w:proofErr w:type="spellStart"/>
      <w:r w:rsidRPr="00520A91">
        <w:rPr>
          <w:rFonts w:ascii="Arial" w:hAnsi="Arial" w:cs="Arial"/>
        </w:rPr>
        <w:t>Rosselvy</w:t>
      </w:r>
      <w:proofErr w:type="spellEnd"/>
      <w:r w:rsidRPr="00520A91">
        <w:rPr>
          <w:rFonts w:ascii="Arial" w:hAnsi="Arial" w:cs="Arial"/>
        </w:rPr>
        <w:t xml:space="preserve"> del Carmen Domínguez Arévalo, Licda. María Elvia Magaña Sandoval, M.D. Víctor Humberto Mejía Naranjo, Lic. Hernán González Sala, la Consejera Presidenta, Mtra. Elizabeth Nava Gutiérrez</w:t>
      </w:r>
      <w:r w:rsidR="00520A91">
        <w:rPr>
          <w:rFonts w:ascii="Arial" w:hAnsi="Arial" w:cs="Arial"/>
        </w:rPr>
        <w:t xml:space="preserve">, con </w:t>
      </w:r>
      <w:r w:rsidR="00CA04C7">
        <w:rPr>
          <w:rFonts w:ascii="Arial" w:hAnsi="Arial" w:cs="Arial"/>
        </w:rPr>
        <w:t xml:space="preserve">el voto en contra del Consejero Electoral </w:t>
      </w:r>
      <w:r w:rsidR="00CA04C7" w:rsidRPr="00520A91">
        <w:rPr>
          <w:rFonts w:ascii="Arial" w:hAnsi="Arial" w:cs="Arial"/>
        </w:rPr>
        <w:t>Mtro. Juan Correa López</w:t>
      </w:r>
      <w:r w:rsidR="00CA04C7">
        <w:rPr>
          <w:rFonts w:ascii="Arial" w:hAnsi="Arial" w:cs="Arial"/>
        </w:rPr>
        <w:t xml:space="preserve">, y </w:t>
      </w:r>
      <w:r w:rsidR="00520A91">
        <w:rPr>
          <w:rFonts w:ascii="Arial" w:hAnsi="Arial" w:cs="Arial"/>
        </w:rPr>
        <w:t xml:space="preserve">el voto en contra </w:t>
      </w:r>
      <w:r w:rsidR="00CA04C7">
        <w:rPr>
          <w:rFonts w:ascii="Arial" w:hAnsi="Arial" w:cs="Arial"/>
        </w:rPr>
        <w:t xml:space="preserve">y particular </w:t>
      </w:r>
      <w:r w:rsidR="00520A91">
        <w:rPr>
          <w:rFonts w:ascii="Arial" w:hAnsi="Arial" w:cs="Arial"/>
        </w:rPr>
        <w:t xml:space="preserve">del Consejero Electoral </w:t>
      </w:r>
      <w:r w:rsidR="00520A91" w:rsidRPr="00520A91">
        <w:rPr>
          <w:rFonts w:ascii="Arial" w:hAnsi="Arial" w:cs="Arial"/>
        </w:rPr>
        <w:t>Lic. Vladimir Hernández Venegas</w:t>
      </w:r>
      <w:r w:rsidR="00CA04C7">
        <w:rPr>
          <w:rFonts w:ascii="Arial" w:hAnsi="Arial" w:cs="Arial"/>
        </w:rPr>
        <w:t>.</w:t>
      </w:r>
      <w:r w:rsidR="00520A91">
        <w:rPr>
          <w:rFonts w:ascii="Arial" w:hAnsi="Arial" w:cs="Arial"/>
        </w:rPr>
        <w:t xml:space="preserve"> </w:t>
      </w:r>
    </w:p>
    <w:p w14:paraId="0334C38B" w14:textId="77777777" w:rsidR="00C46719" w:rsidRPr="00520A91" w:rsidRDefault="00C46719" w:rsidP="00C46719">
      <w:pPr>
        <w:spacing w:line="300" w:lineRule="auto"/>
        <w:rPr>
          <w:rFonts w:ascii="Arial" w:hAnsi="Arial" w:cs="Arial"/>
        </w:rPr>
      </w:pPr>
    </w:p>
    <w:p w14:paraId="1A3E5B01" w14:textId="77777777" w:rsidR="00C46719" w:rsidRPr="00520A91" w:rsidRDefault="00C46719" w:rsidP="00C46719">
      <w:pPr>
        <w:spacing w:line="300" w:lineRule="auto"/>
        <w:rPr>
          <w:rFonts w:ascii="Arial" w:hAnsi="Arial" w:cs="Arial"/>
        </w:rPr>
      </w:pPr>
    </w:p>
    <w:p w14:paraId="6535EEFC" w14:textId="77777777" w:rsidR="00C46719" w:rsidRPr="00520A91" w:rsidRDefault="00C46719" w:rsidP="00C46719">
      <w:pPr>
        <w:spacing w:line="300" w:lineRule="auto"/>
        <w:rPr>
          <w:rFonts w:ascii="Arial" w:hAnsi="Arial" w:cs="Arial"/>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297"/>
        <w:gridCol w:w="4523"/>
      </w:tblGrid>
      <w:tr w:rsidR="00C46719" w:rsidRPr="00520A91" w14:paraId="66403E2F" w14:textId="77777777" w:rsidTr="00520A91">
        <w:trPr>
          <w:trHeight w:val="1050"/>
        </w:trPr>
        <w:tc>
          <w:tcPr>
            <w:tcW w:w="4471" w:type="dxa"/>
          </w:tcPr>
          <w:p w14:paraId="611E1E2D" w14:textId="77777777" w:rsidR="00C46719" w:rsidRPr="00520A91" w:rsidRDefault="00C46719" w:rsidP="00F2101B">
            <w:pPr>
              <w:spacing w:before="0" w:after="0" w:line="300" w:lineRule="auto"/>
              <w:jc w:val="center"/>
              <w:rPr>
                <w:rFonts w:ascii="Arial" w:hAnsi="Arial" w:cs="Arial"/>
                <w:b/>
              </w:rPr>
            </w:pPr>
            <w:r w:rsidRPr="00520A91">
              <w:rPr>
                <w:rFonts w:ascii="Arial" w:hAnsi="Arial" w:cs="Arial"/>
                <w:b/>
              </w:rPr>
              <w:t>MTRA. ELIZABETH NAVA GUTIÉRREZ</w:t>
            </w:r>
          </w:p>
          <w:p w14:paraId="5B787C03" w14:textId="77777777" w:rsidR="00C46719" w:rsidRPr="00520A91" w:rsidRDefault="00C46719" w:rsidP="00F2101B">
            <w:pPr>
              <w:spacing w:before="0" w:after="0" w:line="300" w:lineRule="auto"/>
              <w:jc w:val="center"/>
              <w:rPr>
                <w:rFonts w:ascii="Arial" w:hAnsi="Arial" w:cs="Arial"/>
                <w:b/>
              </w:rPr>
            </w:pPr>
            <w:r w:rsidRPr="00520A91">
              <w:rPr>
                <w:rFonts w:ascii="Arial" w:hAnsi="Arial" w:cs="Arial"/>
                <w:b/>
              </w:rPr>
              <w:t>CONSEJERA PRESIDENTA</w:t>
            </w:r>
          </w:p>
        </w:tc>
        <w:tc>
          <w:tcPr>
            <w:tcW w:w="297" w:type="dxa"/>
          </w:tcPr>
          <w:p w14:paraId="383A6CDC" w14:textId="77777777" w:rsidR="00C46719" w:rsidRPr="00520A91" w:rsidRDefault="00C46719" w:rsidP="00F2101B">
            <w:pPr>
              <w:spacing w:before="0" w:after="0" w:line="300" w:lineRule="auto"/>
              <w:rPr>
                <w:rFonts w:ascii="Arial" w:hAnsi="Arial" w:cs="Arial"/>
                <w:b/>
              </w:rPr>
            </w:pPr>
          </w:p>
        </w:tc>
        <w:tc>
          <w:tcPr>
            <w:tcW w:w="4523" w:type="dxa"/>
          </w:tcPr>
          <w:p w14:paraId="346F11BC" w14:textId="77777777" w:rsidR="00C46719" w:rsidRPr="00520A91" w:rsidRDefault="00C46719" w:rsidP="00F2101B">
            <w:pPr>
              <w:spacing w:before="0" w:after="0" w:line="300" w:lineRule="auto"/>
              <w:jc w:val="center"/>
              <w:rPr>
                <w:rFonts w:ascii="Arial" w:hAnsi="Arial" w:cs="Arial"/>
                <w:b/>
              </w:rPr>
            </w:pPr>
            <w:r w:rsidRPr="00520A91">
              <w:rPr>
                <w:rFonts w:ascii="Arial" w:hAnsi="Arial" w:cs="Arial"/>
                <w:b/>
              </w:rPr>
              <w:t>LIC. JORGE ALBERTO ZAVALA FRÍAS</w:t>
            </w:r>
          </w:p>
          <w:p w14:paraId="24081CA9" w14:textId="77777777" w:rsidR="00C46719" w:rsidRPr="00520A91" w:rsidRDefault="00C46719" w:rsidP="00F2101B">
            <w:pPr>
              <w:spacing w:before="0" w:after="0" w:line="300" w:lineRule="auto"/>
              <w:jc w:val="center"/>
              <w:rPr>
                <w:rFonts w:ascii="Arial" w:hAnsi="Arial" w:cs="Arial"/>
                <w:b/>
              </w:rPr>
            </w:pPr>
            <w:r w:rsidRPr="00520A91">
              <w:rPr>
                <w:rFonts w:ascii="Arial" w:hAnsi="Arial" w:cs="Arial"/>
                <w:b/>
              </w:rPr>
              <w:t>SECRETARIO DEL CONSEJO</w:t>
            </w:r>
          </w:p>
        </w:tc>
      </w:tr>
    </w:tbl>
    <w:p w14:paraId="499E7328" w14:textId="77777777" w:rsidR="00C46719" w:rsidRPr="00520A91" w:rsidRDefault="00C46719" w:rsidP="00C46719">
      <w:pPr>
        <w:spacing w:line="300" w:lineRule="auto"/>
        <w:rPr>
          <w:rFonts w:ascii="Arial" w:hAnsi="Arial" w:cs="Arial"/>
        </w:rPr>
      </w:pPr>
    </w:p>
    <w:p w14:paraId="79FC2A83" w14:textId="77777777" w:rsidR="00C46719" w:rsidRPr="00520A91" w:rsidRDefault="00C46719" w:rsidP="00C46719">
      <w:pPr>
        <w:spacing w:line="300" w:lineRule="auto"/>
        <w:rPr>
          <w:rFonts w:ascii="Arial" w:hAnsi="Arial" w:cs="Arial"/>
        </w:rPr>
      </w:pPr>
    </w:p>
    <w:sectPr w:rsidR="00C46719" w:rsidRPr="00520A91" w:rsidSect="00C22325">
      <w:headerReference w:type="default" r:id="rId7"/>
      <w:footerReference w:type="default" r:id="rId8"/>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C6B15" w14:textId="77777777" w:rsidR="002E5CD6" w:rsidRDefault="002E5CD6">
      <w:pPr>
        <w:spacing w:before="0" w:after="0" w:line="240" w:lineRule="auto"/>
      </w:pPr>
      <w:r>
        <w:separator/>
      </w:r>
    </w:p>
  </w:endnote>
  <w:endnote w:type="continuationSeparator" w:id="0">
    <w:p w14:paraId="013E5747" w14:textId="77777777" w:rsidR="002E5CD6" w:rsidRDefault="002E5CD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Exo">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72827"/>
      <w:docPartObj>
        <w:docPartGallery w:val="Page Numbers (Bottom of Page)"/>
        <w:docPartUnique/>
      </w:docPartObj>
    </w:sdtPr>
    <w:sdtEndPr>
      <w:rPr>
        <w:rFonts w:ascii="Arial" w:hAnsi="Arial" w:cs="Arial"/>
        <w:b/>
        <w:color w:val="993366"/>
        <w:sz w:val="20"/>
        <w:szCs w:val="20"/>
      </w:rPr>
    </w:sdtEndPr>
    <w:sdtContent>
      <w:sdt>
        <w:sdtPr>
          <w:id w:val="-1769616900"/>
          <w:docPartObj>
            <w:docPartGallery w:val="Page Numbers (Top of Page)"/>
            <w:docPartUnique/>
          </w:docPartObj>
        </w:sdtPr>
        <w:sdtEndPr>
          <w:rPr>
            <w:rFonts w:ascii="Arial" w:hAnsi="Arial" w:cs="Arial"/>
            <w:b/>
            <w:color w:val="993366"/>
            <w:sz w:val="20"/>
            <w:szCs w:val="20"/>
          </w:rPr>
        </w:sdtEndPr>
        <w:sdtContent>
          <w:p w14:paraId="749BC2D0" w14:textId="6E5C5860" w:rsidR="006422B6" w:rsidRPr="006422B6" w:rsidRDefault="006422B6">
            <w:pPr>
              <w:pStyle w:val="Piedepgina"/>
              <w:jc w:val="right"/>
              <w:rPr>
                <w:rFonts w:ascii="Arial" w:hAnsi="Arial" w:cs="Arial"/>
                <w:b/>
                <w:color w:val="993366"/>
                <w:sz w:val="20"/>
                <w:szCs w:val="20"/>
              </w:rPr>
            </w:pPr>
            <w:r w:rsidRPr="006422B6">
              <w:rPr>
                <w:rFonts w:ascii="Arial" w:hAnsi="Arial" w:cs="Arial"/>
                <w:b/>
                <w:color w:val="993366"/>
                <w:sz w:val="20"/>
                <w:szCs w:val="20"/>
              </w:rPr>
              <w:t xml:space="preserve">Página </w:t>
            </w:r>
            <w:r w:rsidRPr="006422B6">
              <w:rPr>
                <w:rFonts w:ascii="Arial" w:hAnsi="Arial" w:cs="Arial"/>
                <w:b/>
                <w:bCs/>
                <w:color w:val="993366"/>
                <w:sz w:val="20"/>
                <w:szCs w:val="20"/>
              </w:rPr>
              <w:fldChar w:fldCharType="begin"/>
            </w:r>
            <w:r w:rsidRPr="006422B6">
              <w:rPr>
                <w:rFonts w:ascii="Arial" w:hAnsi="Arial" w:cs="Arial"/>
                <w:b/>
                <w:bCs/>
                <w:color w:val="993366"/>
                <w:sz w:val="20"/>
                <w:szCs w:val="20"/>
              </w:rPr>
              <w:instrText>PAGE</w:instrText>
            </w:r>
            <w:r w:rsidRPr="006422B6">
              <w:rPr>
                <w:rFonts w:ascii="Arial" w:hAnsi="Arial" w:cs="Arial"/>
                <w:b/>
                <w:bCs/>
                <w:color w:val="993366"/>
                <w:sz w:val="20"/>
                <w:szCs w:val="20"/>
              </w:rPr>
              <w:fldChar w:fldCharType="separate"/>
            </w:r>
            <w:r>
              <w:rPr>
                <w:rFonts w:ascii="Arial" w:hAnsi="Arial" w:cs="Arial"/>
                <w:b/>
                <w:bCs/>
                <w:noProof/>
                <w:color w:val="993366"/>
                <w:sz w:val="20"/>
                <w:szCs w:val="20"/>
              </w:rPr>
              <w:t>2</w:t>
            </w:r>
            <w:r w:rsidRPr="006422B6">
              <w:rPr>
                <w:rFonts w:ascii="Arial" w:hAnsi="Arial" w:cs="Arial"/>
                <w:b/>
                <w:bCs/>
                <w:color w:val="993366"/>
                <w:sz w:val="20"/>
                <w:szCs w:val="20"/>
              </w:rPr>
              <w:fldChar w:fldCharType="end"/>
            </w:r>
            <w:r w:rsidRPr="006422B6">
              <w:rPr>
                <w:rFonts w:ascii="Arial" w:hAnsi="Arial" w:cs="Arial"/>
                <w:b/>
                <w:color w:val="993366"/>
                <w:sz w:val="20"/>
                <w:szCs w:val="20"/>
              </w:rPr>
              <w:t xml:space="preserve"> </w:t>
            </w:r>
            <w:r>
              <w:rPr>
                <w:rFonts w:ascii="Arial" w:hAnsi="Arial" w:cs="Arial"/>
                <w:b/>
                <w:color w:val="993366"/>
                <w:sz w:val="20"/>
                <w:szCs w:val="20"/>
              </w:rPr>
              <w:t>|</w:t>
            </w:r>
            <w:r w:rsidRPr="006422B6">
              <w:rPr>
                <w:rFonts w:ascii="Arial" w:hAnsi="Arial" w:cs="Arial"/>
                <w:b/>
                <w:color w:val="993366"/>
                <w:sz w:val="20"/>
                <w:szCs w:val="20"/>
              </w:rPr>
              <w:t xml:space="preserve"> </w:t>
            </w:r>
            <w:r w:rsidRPr="006422B6">
              <w:rPr>
                <w:rFonts w:ascii="Arial" w:hAnsi="Arial" w:cs="Arial"/>
                <w:b/>
                <w:bCs/>
                <w:color w:val="993366"/>
                <w:sz w:val="20"/>
                <w:szCs w:val="20"/>
              </w:rPr>
              <w:fldChar w:fldCharType="begin"/>
            </w:r>
            <w:r w:rsidRPr="006422B6">
              <w:rPr>
                <w:rFonts w:ascii="Arial" w:hAnsi="Arial" w:cs="Arial"/>
                <w:b/>
                <w:bCs/>
                <w:color w:val="993366"/>
                <w:sz w:val="20"/>
                <w:szCs w:val="20"/>
              </w:rPr>
              <w:instrText>NUMPAGES</w:instrText>
            </w:r>
            <w:r w:rsidRPr="006422B6">
              <w:rPr>
                <w:rFonts w:ascii="Arial" w:hAnsi="Arial" w:cs="Arial"/>
                <w:b/>
                <w:bCs/>
                <w:color w:val="993366"/>
                <w:sz w:val="20"/>
                <w:szCs w:val="20"/>
              </w:rPr>
              <w:fldChar w:fldCharType="separate"/>
            </w:r>
            <w:r>
              <w:rPr>
                <w:rFonts w:ascii="Arial" w:hAnsi="Arial" w:cs="Arial"/>
                <w:b/>
                <w:bCs/>
                <w:noProof/>
                <w:color w:val="993366"/>
                <w:sz w:val="20"/>
                <w:szCs w:val="20"/>
              </w:rPr>
              <w:t>16</w:t>
            </w:r>
            <w:r w:rsidRPr="006422B6">
              <w:rPr>
                <w:rFonts w:ascii="Arial" w:hAnsi="Arial" w:cs="Arial"/>
                <w:b/>
                <w:bCs/>
                <w:color w:val="993366"/>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C702E" w14:textId="77777777" w:rsidR="002E5CD6" w:rsidRDefault="002E5CD6">
      <w:pPr>
        <w:spacing w:before="0" w:after="0" w:line="240" w:lineRule="auto"/>
      </w:pPr>
      <w:r>
        <w:separator/>
      </w:r>
    </w:p>
  </w:footnote>
  <w:footnote w:type="continuationSeparator" w:id="0">
    <w:p w14:paraId="44EB6852" w14:textId="77777777" w:rsidR="002E5CD6" w:rsidRDefault="002E5CD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C90FE6" w:rsidRPr="00063338" w14:paraId="79F9150B" w14:textId="77777777" w:rsidTr="00AD3633">
      <w:tc>
        <w:tcPr>
          <w:tcW w:w="1418" w:type="dxa"/>
        </w:tcPr>
        <w:p w14:paraId="0C858759" w14:textId="77777777" w:rsidR="00057C4D" w:rsidRPr="00063338" w:rsidRDefault="005F4ADB" w:rsidP="00C90FE6">
          <w:pPr>
            <w:pStyle w:val="Encabezado"/>
            <w:ind w:left="-170"/>
          </w:pPr>
          <w:r>
            <w:rPr>
              <w:b/>
              <w:noProof/>
              <w:sz w:val="32"/>
              <w:lang w:val="es-MX" w:eastAsia="es-MX"/>
            </w:rPr>
            <w:drawing>
              <wp:inline distT="0" distB="0" distL="0" distR="0" wp14:anchorId="2A40948E" wp14:editId="0A8FD94A">
                <wp:extent cx="1014331" cy="1199403"/>
                <wp:effectExtent l="0" t="0" r="0" b="1270"/>
                <wp:docPr id="33" name="Imagen 3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9A62A16" w14:textId="77777777" w:rsidR="00057C4D" w:rsidRPr="00FA6047" w:rsidRDefault="005F4ADB" w:rsidP="00C90FE6">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76A97624" w14:textId="77777777" w:rsidR="00057C4D" w:rsidRPr="00063338" w:rsidRDefault="005F4ADB" w:rsidP="00C90FE6">
          <w:pPr>
            <w:pStyle w:val="Encabezado"/>
            <w:jc w:val="center"/>
          </w:pPr>
          <w:r w:rsidRPr="00FA6047">
            <w:rPr>
              <w:rFonts w:ascii="Arial" w:hAnsi="Arial" w:cs="Arial"/>
              <w:sz w:val="26"/>
              <w:szCs w:val="26"/>
            </w:rPr>
            <w:t>CONSEJO ESTATAL</w:t>
          </w:r>
        </w:p>
      </w:tc>
      <w:tc>
        <w:tcPr>
          <w:tcW w:w="1701" w:type="dxa"/>
        </w:tcPr>
        <w:p w14:paraId="5E262F7F" w14:textId="77777777" w:rsidR="00057C4D" w:rsidRPr="00063338" w:rsidRDefault="005F4ADB" w:rsidP="00C90FE6">
          <w:pPr>
            <w:pStyle w:val="Encabezado"/>
            <w:spacing w:before="480"/>
          </w:pPr>
          <w:r>
            <w:rPr>
              <w:noProof/>
              <w:lang w:val="es-MX" w:eastAsia="es-MX"/>
            </w:rPr>
            <w:drawing>
              <wp:inline distT="0" distB="0" distL="0" distR="0" wp14:anchorId="4B8FAD38" wp14:editId="61F5262B">
                <wp:extent cx="921600" cy="756000"/>
                <wp:effectExtent l="0" t="0" r="0" b="6350"/>
                <wp:docPr id="34" name="Imagen 3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3A93524" w14:textId="46281834" w:rsidR="00057C4D" w:rsidRPr="00520A91" w:rsidRDefault="00520A91" w:rsidP="00520A91">
    <w:pPr>
      <w:pStyle w:val="Encabezado"/>
      <w:jc w:val="right"/>
      <w:rPr>
        <w:rFonts w:ascii="Arial" w:hAnsi="Arial" w:cs="Arial"/>
        <w:b/>
        <w:sz w:val="24"/>
        <w:szCs w:val="24"/>
      </w:rPr>
    </w:pPr>
    <w:r w:rsidRPr="00520A91">
      <w:rPr>
        <w:rFonts w:ascii="Arial" w:hAnsi="Arial" w:cs="Arial"/>
        <w:b/>
        <w:sz w:val="24"/>
        <w:szCs w:val="24"/>
      </w:rPr>
      <w:t>CE/2024/062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B10"/>
    <w:multiLevelType w:val="hybridMultilevel"/>
    <w:tmpl w:val="0C043F26"/>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 w15:restartNumberingAfterBreak="0">
    <w:nsid w:val="0C316283"/>
    <w:multiLevelType w:val="hybridMultilevel"/>
    <w:tmpl w:val="19D0B920"/>
    <w:lvl w:ilvl="0" w:tplc="080A0017">
      <w:start w:val="1"/>
      <w:numFmt w:val="lowerLetter"/>
      <w:lvlText w:val="%1)"/>
      <w:lvlJc w:val="left"/>
      <w:pPr>
        <w:ind w:left="720" w:hanging="360"/>
      </w:pPr>
      <w:rPr>
        <w:rFonts w:hint="default"/>
      </w:rPr>
    </w:lvl>
    <w:lvl w:ilvl="1" w:tplc="080A000F">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1F158F"/>
    <w:multiLevelType w:val="hybridMultilevel"/>
    <w:tmpl w:val="A0765C1E"/>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 w15:restartNumberingAfterBreak="0">
    <w:nsid w:val="3D69271C"/>
    <w:multiLevelType w:val="hybridMultilevel"/>
    <w:tmpl w:val="ED5470B2"/>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7B3EFF"/>
    <w:multiLevelType w:val="hybridMultilevel"/>
    <w:tmpl w:val="EC18E992"/>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5" w15:restartNumberingAfterBreak="0">
    <w:nsid w:val="538D7F37"/>
    <w:multiLevelType w:val="hybridMultilevel"/>
    <w:tmpl w:val="6476993A"/>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6" w15:restartNumberingAfterBreak="0">
    <w:nsid w:val="574F3C0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696338C7"/>
    <w:multiLevelType w:val="hybridMultilevel"/>
    <w:tmpl w:val="D696D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AF7950"/>
    <w:multiLevelType w:val="hybridMultilevel"/>
    <w:tmpl w:val="79E0FC2A"/>
    <w:lvl w:ilvl="0" w:tplc="080A0005">
      <w:start w:val="1"/>
      <w:numFmt w:val="bullet"/>
      <w:lvlText w:val=""/>
      <w:lvlJc w:val="left"/>
      <w:pPr>
        <w:ind w:left="1434" w:hanging="360"/>
      </w:pPr>
      <w:rPr>
        <w:rFonts w:ascii="Wingdings" w:hAnsi="Wingding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9" w15:restartNumberingAfterBreak="0">
    <w:nsid w:val="77B81A89"/>
    <w:multiLevelType w:val="hybridMultilevel"/>
    <w:tmpl w:val="6D829802"/>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781B0287"/>
    <w:multiLevelType w:val="hybridMultilevel"/>
    <w:tmpl w:val="58922FF8"/>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10"/>
  </w:num>
  <w:num w:numId="6">
    <w:abstractNumId w:val="2"/>
  </w:num>
  <w:num w:numId="7">
    <w:abstractNumId w:val="9"/>
  </w:num>
  <w:num w:numId="8">
    <w:abstractNumId w:val="0"/>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19"/>
    <w:rsid w:val="00057C4D"/>
    <w:rsid w:val="000F21F5"/>
    <w:rsid w:val="00221C0E"/>
    <w:rsid w:val="002E5CD6"/>
    <w:rsid w:val="00395BBF"/>
    <w:rsid w:val="00460528"/>
    <w:rsid w:val="00520A91"/>
    <w:rsid w:val="00595BE4"/>
    <w:rsid w:val="005F4ADB"/>
    <w:rsid w:val="006422B6"/>
    <w:rsid w:val="00677497"/>
    <w:rsid w:val="006C62B4"/>
    <w:rsid w:val="00837556"/>
    <w:rsid w:val="00883057"/>
    <w:rsid w:val="00AB5A8C"/>
    <w:rsid w:val="00BA4A47"/>
    <w:rsid w:val="00C22325"/>
    <w:rsid w:val="00C46719"/>
    <w:rsid w:val="00C91D48"/>
    <w:rsid w:val="00CA04C7"/>
    <w:rsid w:val="00CB41A2"/>
    <w:rsid w:val="00E4224F"/>
    <w:rsid w:val="00F210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A3D2"/>
  <w15:chartTrackingRefBased/>
  <w15:docId w15:val="{D6EF1E82-267E-4A94-8F1B-6ADD23E0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719"/>
    <w:pPr>
      <w:spacing w:before="240" w:after="240" w:line="276" w:lineRule="auto"/>
      <w:jc w:val="both"/>
    </w:pPr>
    <w:rPr>
      <w:rFonts w:ascii="Exo" w:hAnsi="Exo"/>
      <w:kern w:val="0"/>
      <w:sz w:val="23"/>
      <w:szCs w:val="23"/>
      <w:lang w:val="es-ES"/>
      <w14:ligatures w14:val="none"/>
    </w:rPr>
  </w:style>
  <w:style w:type="paragraph" w:styleId="Ttulo1">
    <w:name w:val="heading 1"/>
    <w:basedOn w:val="Normal"/>
    <w:next w:val="Normal"/>
    <w:link w:val="Ttulo1Car"/>
    <w:uiPriority w:val="9"/>
    <w:qFormat/>
    <w:rsid w:val="00C46719"/>
    <w:pPr>
      <w:keepNext/>
      <w:keepLines/>
      <w:numPr>
        <w:numId w:val="11"/>
      </w:numPr>
      <w:spacing w:before="600" w:line="300" w:lineRule="auto"/>
      <w:jc w:val="center"/>
      <w:outlineLvl w:val="0"/>
    </w:pPr>
    <w:rPr>
      <w:rFonts w:eastAsiaTheme="majorEastAsia" w:cs="Arial"/>
      <w:b/>
      <w:bCs/>
      <w:sz w:val="28"/>
      <w:szCs w:val="28"/>
    </w:rPr>
  </w:style>
  <w:style w:type="paragraph" w:styleId="Ttulo2">
    <w:name w:val="heading 2"/>
    <w:basedOn w:val="Normal"/>
    <w:next w:val="Normal"/>
    <w:link w:val="Ttulo2Car"/>
    <w:uiPriority w:val="9"/>
    <w:unhideWhenUsed/>
    <w:qFormat/>
    <w:rsid w:val="00C46719"/>
    <w:pPr>
      <w:keepNext/>
      <w:keepLines/>
      <w:numPr>
        <w:ilvl w:val="1"/>
        <w:numId w:val="11"/>
      </w:numPr>
      <w:spacing w:before="480" w:line="300" w:lineRule="auto"/>
      <w:outlineLvl w:val="1"/>
    </w:pPr>
    <w:rPr>
      <w:rFonts w:eastAsiaTheme="majorEastAsia" w:cs="Arial"/>
      <w:b/>
      <w:bCs/>
      <w:sz w:val="24"/>
      <w:szCs w:val="24"/>
    </w:rPr>
  </w:style>
  <w:style w:type="paragraph" w:styleId="Ttulo3">
    <w:name w:val="heading 3"/>
    <w:basedOn w:val="Normal"/>
    <w:next w:val="Normal"/>
    <w:link w:val="Ttulo3Car"/>
    <w:uiPriority w:val="9"/>
    <w:semiHidden/>
    <w:unhideWhenUsed/>
    <w:qFormat/>
    <w:rsid w:val="00C46719"/>
    <w:pPr>
      <w:keepNext/>
      <w:keepLines/>
      <w:numPr>
        <w:ilvl w:val="2"/>
        <w:numId w:val="1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46719"/>
    <w:pPr>
      <w:keepNext/>
      <w:keepLines/>
      <w:numPr>
        <w:ilvl w:val="3"/>
        <w:numId w:val="1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46719"/>
    <w:pPr>
      <w:keepNext/>
      <w:keepLines/>
      <w:numPr>
        <w:ilvl w:val="4"/>
        <w:numId w:val="1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46719"/>
    <w:pPr>
      <w:keepNext/>
      <w:keepLines/>
      <w:numPr>
        <w:ilvl w:val="5"/>
        <w:numId w:val="1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46719"/>
    <w:pPr>
      <w:keepNext/>
      <w:keepLines/>
      <w:numPr>
        <w:ilvl w:val="6"/>
        <w:numId w:val="1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46719"/>
    <w:pPr>
      <w:keepNext/>
      <w:keepLines/>
      <w:numPr>
        <w:ilvl w:val="7"/>
        <w:numId w:val="1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46719"/>
    <w:pPr>
      <w:keepNext/>
      <w:keepLines/>
      <w:numPr>
        <w:ilvl w:val="8"/>
        <w:numId w:val="1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6719"/>
    <w:rPr>
      <w:rFonts w:ascii="Exo" w:eastAsiaTheme="majorEastAsia" w:hAnsi="Exo" w:cs="Arial"/>
      <w:b/>
      <w:bCs/>
      <w:kern w:val="0"/>
      <w:sz w:val="28"/>
      <w:szCs w:val="28"/>
      <w:lang w:val="es-ES"/>
      <w14:ligatures w14:val="none"/>
    </w:rPr>
  </w:style>
  <w:style w:type="character" w:customStyle="1" w:styleId="Ttulo2Car">
    <w:name w:val="Título 2 Car"/>
    <w:basedOn w:val="Fuentedeprrafopredeter"/>
    <w:link w:val="Ttulo2"/>
    <w:uiPriority w:val="9"/>
    <w:rsid w:val="00C46719"/>
    <w:rPr>
      <w:rFonts w:ascii="Exo" w:eastAsiaTheme="majorEastAsia" w:hAnsi="Exo" w:cs="Arial"/>
      <w:b/>
      <w:bCs/>
      <w:kern w:val="0"/>
      <w:lang w:val="es-ES"/>
      <w14:ligatures w14:val="none"/>
    </w:rPr>
  </w:style>
  <w:style w:type="character" w:customStyle="1" w:styleId="Ttulo3Car">
    <w:name w:val="Título 3 Car"/>
    <w:basedOn w:val="Fuentedeprrafopredeter"/>
    <w:link w:val="Ttulo3"/>
    <w:uiPriority w:val="9"/>
    <w:semiHidden/>
    <w:rsid w:val="00C467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67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67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67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67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67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6719"/>
    <w:rPr>
      <w:rFonts w:eastAsiaTheme="majorEastAsia" w:cstheme="majorBidi"/>
      <w:color w:val="272727" w:themeColor="text1" w:themeTint="D8"/>
    </w:rPr>
  </w:style>
  <w:style w:type="paragraph" w:styleId="Ttulo">
    <w:name w:val="Title"/>
    <w:basedOn w:val="Normal"/>
    <w:next w:val="Normal"/>
    <w:link w:val="TtuloCar"/>
    <w:uiPriority w:val="10"/>
    <w:qFormat/>
    <w:rsid w:val="00C46719"/>
    <w:pPr>
      <w:spacing w:line="300" w:lineRule="auto"/>
    </w:pPr>
    <w:rPr>
      <w:rFonts w:cs="Arial"/>
      <w:b/>
      <w:sz w:val="24"/>
      <w:szCs w:val="24"/>
    </w:rPr>
  </w:style>
  <w:style w:type="character" w:customStyle="1" w:styleId="TtuloCar">
    <w:name w:val="Título Car"/>
    <w:basedOn w:val="Fuentedeprrafopredeter"/>
    <w:link w:val="Ttulo"/>
    <w:uiPriority w:val="10"/>
    <w:rsid w:val="00C46719"/>
    <w:rPr>
      <w:rFonts w:ascii="Exo" w:hAnsi="Exo" w:cs="Arial"/>
      <w:b/>
      <w:kern w:val="0"/>
      <w:lang w:val="es-ES"/>
      <w14:ligatures w14:val="none"/>
    </w:rPr>
  </w:style>
  <w:style w:type="paragraph" w:styleId="Subttulo">
    <w:name w:val="Subtitle"/>
    <w:basedOn w:val="Normal"/>
    <w:next w:val="Normal"/>
    <w:link w:val="SubttuloCar"/>
    <w:uiPriority w:val="11"/>
    <w:qFormat/>
    <w:rsid w:val="00C467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467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6719"/>
    <w:pPr>
      <w:spacing w:before="160"/>
      <w:jc w:val="center"/>
    </w:pPr>
    <w:rPr>
      <w:i/>
      <w:iCs/>
      <w:color w:val="404040" w:themeColor="text1" w:themeTint="BF"/>
    </w:rPr>
  </w:style>
  <w:style w:type="character" w:customStyle="1" w:styleId="CitaCar">
    <w:name w:val="Cita Car"/>
    <w:basedOn w:val="Fuentedeprrafopredeter"/>
    <w:link w:val="Cita"/>
    <w:uiPriority w:val="29"/>
    <w:rsid w:val="00C46719"/>
    <w:rPr>
      <w:i/>
      <w:iCs/>
      <w:color w:val="404040" w:themeColor="text1" w:themeTint="BF"/>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C46719"/>
    <w:pPr>
      <w:ind w:left="720"/>
      <w:contextualSpacing/>
    </w:pPr>
  </w:style>
  <w:style w:type="character" w:styleId="nfasisintenso">
    <w:name w:val="Intense Emphasis"/>
    <w:basedOn w:val="Fuentedeprrafopredeter"/>
    <w:uiPriority w:val="21"/>
    <w:qFormat/>
    <w:rsid w:val="00C46719"/>
    <w:rPr>
      <w:i/>
      <w:iCs/>
      <w:color w:val="0F4761" w:themeColor="accent1" w:themeShade="BF"/>
    </w:rPr>
  </w:style>
  <w:style w:type="paragraph" w:styleId="Citadestacada">
    <w:name w:val="Intense Quote"/>
    <w:basedOn w:val="Normal"/>
    <w:next w:val="Normal"/>
    <w:link w:val="CitadestacadaCar"/>
    <w:uiPriority w:val="30"/>
    <w:qFormat/>
    <w:rsid w:val="00C46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46719"/>
    <w:rPr>
      <w:i/>
      <w:iCs/>
      <w:color w:val="0F4761" w:themeColor="accent1" w:themeShade="BF"/>
    </w:rPr>
  </w:style>
  <w:style w:type="character" w:styleId="Referenciaintensa">
    <w:name w:val="Intense Reference"/>
    <w:basedOn w:val="Fuentedeprrafopredeter"/>
    <w:uiPriority w:val="32"/>
    <w:qFormat/>
    <w:rsid w:val="00C46719"/>
    <w:rPr>
      <w:b/>
      <w:bCs/>
      <w:smallCaps/>
      <w:color w:val="0F4761" w:themeColor="accent1" w:themeShade="BF"/>
      <w:spacing w:val="5"/>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C46719"/>
  </w:style>
  <w:style w:type="table" w:styleId="Tablaconcuadrcula">
    <w:name w:val="Table Grid"/>
    <w:basedOn w:val="Tablanormal"/>
    <w:uiPriority w:val="39"/>
    <w:rsid w:val="00C4671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4671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46719"/>
    <w:rPr>
      <w:rFonts w:ascii="Exo" w:hAnsi="Exo"/>
      <w:kern w:val="0"/>
      <w:sz w:val="23"/>
      <w:szCs w:val="23"/>
      <w:lang w:val="es-ES"/>
      <w14:ligatures w14:val="none"/>
    </w:rPr>
  </w:style>
  <w:style w:type="paragraph" w:styleId="Piedepgina">
    <w:name w:val="footer"/>
    <w:basedOn w:val="Normal"/>
    <w:link w:val="PiedepginaCar"/>
    <w:uiPriority w:val="99"/>
    <w:unhideWhenUsed/>
    <w:rsid w:val="00C4671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46719"/>
    <w:rPr>
      <w:rFonts w:ascii="Exo" w:hAnsi="Exo"/>
      <w:kern w:val="0"/>
      <w:sz w:val="23"/>
      <w:szCs w:val="23"/>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4209</Words>
  <Characters>23154</Characters>
  <Application>Microsoft Office Word</Application>
  <DocSecurity>0</DocSecurity>
  <Lines>192</Lines>
  <Paragraphs>54</Paragraphs>
  <ScaleCrop>false</ScaleCrop>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19</cp:revision>
  <dcterms:created xsi:type="dcterms:W3CDTF">2024-04-29T04:32:00Z</dcterms:created>
  <dcterms:modified xsi:type="dcterms:W3CDTF">2024-05-03T23:16:00Z</dcterms:modified>
</cp:coreProperties>
</file>