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5E4F" w14:textId="6FC6FD3F" w:rsidR="002348B0" w:rsidRPr="0090267E" w:rsidRDefault="0090267E" w:rsidP="008261F6">
      <w:pPr>
        <w:pStyle w:val="Ttulo"/>
        <w:rPr>
          <w:rFonts w:ascii="Arial" w:hAnsi="Arial" w:cs="Arial"/>
        </w:rPr>
      </w:pPr>
      <w:r w:rsidRPr="0090267E">
        <w:rPr>
          <w:rFonts w:ascii="Arial" w:hAnsi="Arial" w:cs="Arial"/>
        </w:rPr>
        <w:t xml:space="preserve">ACUERDO QUE EMITE EL CONSEJO ESTATAL DEL INSTITUTO ELECTORAL Y DE PARTICIPACIÓN CIUDADANA DE TABASCO, MEDIANTE EL CUAL DA RESPUESTA A LOS ESCRITOS PRESENTADOS POR LOS CIUDADANOS LENIN DE LA ROSA SÁNCHEZ, EVELSAÍN SELVÁN </w:t>
      </w:r>
      <w:proofErr w:type="spellStart"/>
      <w:r w:rsidRPr="0090267E">
        <w:rPr>
          <w:rFonts w:ascii="Arial" w:hAnsi="Arial" w:cs="Arial"/>
        </w:rPr>
        <w:t>SELVÁN</w:t>
      </w:r>
      <w:proofErr w:type="spellEnd"/>
      <w:r w:rsidRPr="0090267E">
        <w:rPr>
          <w:rFonts w:ascii="Arial" w:hAnsi="Arial" w:cs="Arial"/>
        </w:rPr>
        <w:t xml:space="preserve"> Y ADELINA DE LA ROSA FALCÓN, POR EL QUE DAN AVISO DE SU PARTICIPACIÓN COMO CANDIDATOS CIUDADANOS CON MOTIVO DEL PROCESO ELECTORAL LOCAL ORDINARIO 2023 – 2024</w:t>
      </w:r>
    </w:p>
    <w:p w14:paraId="711F7E1F" w14:textId="77777777" w:rsidR="002348B0" w:rsidRPr="0090267E" w:rsidRDefault="002348B0" w:rsidP="002348B0">
      <w:pPr>
        <w:spacing w:before="240" w:after="240" w:line="300" w:lineRule="auto"/>
        <w:jc w:val="both"/>
        <w:rPr>
          <w:rFonts w:ascii="Arial" w:hAnsi="Arial" w:cs="Arial"/>
          <w:b/>
          <w:bCs/>
        </w:rPr>
      </w:pPr>
    </w:p>
    <w:p w14:paraId="0A1E1EB7"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2348B0" w:rsidRPr="0090267E" w14:paraId="36673BB0" w14:textId="77777777" w:rsidTr="006E39ED">
        <w:trPr>
          <w:trHeight w:val="624"/>
          <w:jc w:val="center"/>
        </w:trPr>
        <w:tc>
          <w:tcPr>
            <w:tcW w:w="2042" w:type="pct"/>
            <w:shd w:val="clear" w:color="auto" w:fill="auto"/>
            <w:vAlign w:val="center"/>
          </w:tcPr>
          <w:p w14:paraId="6271812E"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Consejo Estatal:</w:t>
            </w:r>
          </w:p>
        </w:tc>
        <w:tc>
          <w:tcPr>
            <w:tcW w:w="2958" w:type="pct"/>
            <w:shd w:val="clear" w:color="auto" w:fill="auto"/>
            <w:vAlign w:val="center"/>
          </w:tcPr>
          <w:p w14:paraId="37759F26"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Consejo Estatal del Instituto Electoral y de Participación Ciudadana de Tabasco.</w:t>
            </w:r>
          </w:p>
        </w:tc>
      </w:tr>
      <w:tr w:rsidR="002348B0" w:rsidRPr="0090267E" w14:paraId="67366985" w14:textId="77777777" w:rsidTr="006E39ED">
        <w:trPr>
          <w:trHeight w:val="624"/>
          <w:jc w:val="center"/>
        </w:trPr>
        <w:tc>
          <w:tcPr>
            <w:tcW w:w="2042" w:type="pct"/>
            <w:shd w:val="clear" w:color="auto" w:fill="auto"/>
            <w:vAlign w:val="center"/>
          </w:tcPr>
          <w:p w14:paraId="3169A255"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Constitución Federal:</w:t>
            </w:r>
          </w:p>
        </w:tc>
        <w:tc>
          <w:tcPr>
            <w:tcW w:w="2958" w:type="pct"/>
            <w:shd w:val="clear" w:color="auto" w:fill="auto"/>
            <w:vAlign w:val="center"/>
          </w:tcPr>
          <w:p w14:paraId="3C857716"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Constitución Política de los Estados Unidos Mexicanos.</w:t>
            </w:r>
          </w:p>
        </w:tc>
      </w:tr>
      <w:tr w:rsidR="002348B0" w:rsidRPr="0090267E" w14:paraId="2006DF49" w14:textId="77777777" w:rsidTr="006E39ED">
        <w:trPr>
          <w:trHeight w:val="624"/>
          <w:jc w:val="center"/>
        </w:trPr>
        <w:tc>
          <w:tcPr>
            <w:tcW w:w="2042" w:type="pct"/>
            <w:shd w:val="clear" w:color="auto" w:fill="auto"/>
            <w:vAlign w:val="center"/>
          </w:tcPr>
          <w:p w14:paraId="2D7B0E0D"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Constitución Local:</w:t>
            </w:r>
          </w:p>
        </w:tc>
        <w:tc>
          <w:tcPr>
            <w:tcW w:w="2958" w:type="pct"/>
            <w:shd w:val="clear" w:color="auto" w:fill="auto"/>
            <w:vAlign w:val="center"/>
          </w:tcPr>
          <w:p w14:paraId="64D6D06D"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Constitución Política del Estado Libre y Soberano de Tabasco.</w:t>
            </w:r>
          </w:p>
        </w:tc>
      </w:tr>
      <w:tr w:rsidR="002348B0" w:rsidRPr="0090267E" w14:paraId="3EDF9EF7" w14:textId="77777777" w:rsidTr="006E39ED">
        <w:trPr>
          <w:trHeight w:val="624"/>
          <w:jc w:val="center"/>
        </w:trPr>
        <w:tc>
          <w:tcPr>
            <w:tcW w:w="2042" w:type="pct"/>
            <w:shd w:val="clear" w:color="auto" w:fill="auto"/>
            <w:vAlign w:val="center"/>
          </w:tcPr>
          <w:p w14:paraId="42B0A665"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INE:</w:t>
            </w:r>
          </w:p>
        </w:tc>
        <w:tc>
          <w:tcPr>
            <w:tcW w:w="2958" w:type="pct"/>
            <w:shd w:val="clear" w:color="auto" w:fill="auto"/>
            <w:vAlign w:val="center"/>
          </w:tcPr>
          <w:p w14:paraId="0DEC5759"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Instituto Nacional Electoral.</w:t>
            </w:r>
          </w:p>
        </w:tc>
      </w:tr>
      <w:tr w:rsidR="002348B0" w:rsidRPr="0090267E" w14:paraId="52A9BBD4" w14:textId="77777777" w:rsidTr="006E39ED">
        <w:trPr>
          <w:trHeight w:val="624"/>
          <w:jc w:val="center"/>
        </w:trPr>
        <w:tc>
          <w:tcPr>
            <w:tcW w:w="2042" w:type="pct"/>
            <w:shd w:val="clear" w:color="auto" w:fill="auto"/>
            <w:vAlign w:val="center"/>
          </w:tcPr>
          <w:p w14:paraId="23E234F6"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Instituto:</w:t>
            </w:r>
          </w:p>
        </w:tc>
        <w:tc>
          <w:tcPr>
            <w:tcW w:w="2958" w:type="pct"/>
            <w:shd w:val="clear" w:color="auto" w:fill="auto"/>
          </w:tcPr>
          <w:p w14:paraId="381682EE"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Instituto Electoral y de Participación Ciudadana de Tabasco.</w:t>
            </w:r>
          </w:p>
        </w:tc>
      </w:tr>
      <w:tr w:rsidR="002348B0" w:rsidRPr="0090267E" w14:paraId="18CAC46A" w14:textId="77777777" w:rsidTr="006E39ED">
        <w:trPr>
          <w:trHeight w:val="624"/>
          <w:jc w:val="center"/>
        </w:trPr>
        <w:tc>
          <w:tcPr>
            <w:tcW w:w="2042" w:type="pct"/>
            <w:shd w:val="clear" w:color="auto" w:fill="auto"/>
            <w:vAlign w:val="center"/>
          </w:tcPr>
          <w:p w14:paraId="549785E9"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Ley de Partidos:</w:t>
            </w:r>
          </w:p>
        </w:tc>
        <w:tc>
          <w:tcPr>
            <w:tcW w:w="2958" w:type="pct"/>
            <w:shd w:val="clear" w:color="auto" w:fill="auto"/>
            <w:vAlign w:val="center"/>
          </w:tcPr>
          <w:p w14:paraId="53F929F0"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Ley General de Partidos Políticos.</w:t>
            </w:r>
          </w:p>
        </w:tc>
      </w:tr>
      <w:tr w:rsidR="002348B0" w:rsidRPr="0090267E" w14:paraId="055968AC" w14:textId="77777777" w:rsidTr="006E39ED">
        <w:trPr>
          <w:trHeight w:val="624"/>
          <w:jc w:val="center"/>
        </w:trPr>
        <w:tc>
          <w:tcPr>
            <w:tcW w:w="2042" w:type="pct"/>
            <w:shd w:val="clear" w:color="auto" w:fill="auto"/>
            <w:vAlign w:val="center"/>
          </w:tcPr>
          <w:p w14:paraId="35DDE363"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Ley Electoral:</w:t>
            </w:r>
          </w:p>
        </w:tc>
        <w:tc>
          <w:tcPr>
            <w:tcW w:w="2958" w:type="pct"/>
            <w:shd w:val="clear" w:color="auto" w:fill="auto"/>
            <w:vAlign w:val="center"/>
          </w:tcPr>
          <w:p w14:paraId="1C690E61"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Ley Electoral y de Partidos Políticos del Estado de Tabasco.</w:t>
            </w:r>
          </w:p>
        </w:tc>
      </w:tr>
      <w:tr w:rsidR="002348B0" w:rsidRPr="0090267E" w14:paraId="40B79C96" w14:textId="77777777" w:rsidTr="006E39ED">
        <w:trPr>
          <w:trHeight w:val="624"/>
          <w:jc w:val="center"/>
        </w:trPr>
        <w:tc>
          <w:tcPr>
            <w:tcW w:w="2042" w:type="pct"/>
            <w:shd w:val="clear" w:color="auto" w:fill="auto"/>
            <w:vAlign w:val="center"/>
          </w:tcPr>
          <w:p w14:paraId="52114242"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Ley General:</w:t>
            </w:r>
          </w:p>
        </w:tc>
        <w:tc>
          <w:tcPr>
            <w:tcW w:w="2958" w:type="pct"/>
            <w:shd w:val="clear" w:color="auto" w:fill="auto"/>
            <w:vAlign w:val="center"/>
          </w:tcPr>
          <w:p w14:paraId="7B27CB85"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Ley General de Instituciones y Procedimientos Electorales.</w:t>
            </w:r>
          </w:p>
        </w:tc>
      </w:tr>
      <w:tr w:rsidR="002348B0" w:rsidRPr="0090267E" w14:paraId="5EDA2343" w14:textId="77777777" w:rsidTr="006E39ED">
        <w:trPr>
          <w:trHeight w:val="624"/>
          <w:jc w:val="center"/>
        </w:trPr>
        <w:tc>
          <w:tcPr>
            <w:tcW w:w="2042" w:type="pct"/>
            <w:shd w:val="clear" w:color="auto" w:fill="auto"/>
            <w:vAlign w:val="center"/>
          </w:tcPr>
          <w:p w14:paraId="5EFEF64A"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Organismo electoral:</w:t>
            </w:r>
          </w:p>
        </w:tc>
        <w:tc>
          <w:tcPr>
            <w:tcW w:w="2958" w:type="pct"/>
            <w:shd w:val="clear" w:color="auto" w:fill="auto"/>
            <w:vAlign w:val="center"/>
          </w:tcPr>
          <w:p w14:paraId="763B5FE1"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 xml:space="preserve">Organismo(s) público(s) local(es) electoral(es). </w:t>
            </w:r>
          </w:p>
        </w:tc>
      </w:tr>
      <w:tr w:rsidR="002348B0" w:rsidRPr="0090267E" w14:paraId="6B331445" w14:textId="77777777" w:rsidTr="006E39ED">
        <w:trPr>
          <w:trHeight w:val="624"/>
          <w:jc w:val="center"/>
        </w:trPr>
        <w:tc>
          <w:tcPr>
            <w:tcW w:w="2042" w:type="pct"/>
            <w:shd w:val="clear" w:color="auto" w:fill="auto"/>
            <w:vAlign w:val="center"/>
          </w:tcPr>
          <w:p w14:paraId="7187AA29"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Proceso Electoral:</w:t>
            </w:r>
          </w:p>
        </w:tc>
        <w:tc>
          <w:tcPr>
            <w:tcW w:w="2958" w:type="pct"/>
            <w:shd w:val="clear" w:color="auto" w:fill="auto"/>
            <w:vAlign w:val="center"/>
          </w:tcPr>
          <w:p w14:paraId="7C97EB84"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Proceso Electoral Local Ordinario 2023-2024.</w:t>
            </w:r>
          </w:p>
        </w:tc>
      </w:tr>
      <w:tr w:rsidR="002348B0" w:rsidRPr="0090267E" w14:paraId="39E6960C" w14:textId="77777777" w:rsidTr="006E39ED">
        <w:trPr>
          <w:trHeight w:val="624"/>
          <w:jc w:val="center"/>
        </w:trPr>
        <w:tc>
          <w:tcPr>
            <w:tcW w:w="2042" w:type="pct"/>
            <w:shd w:val="clear" w:color="auto" w:fill="auto"/>
            <w:vAlign w:val="center"/>
          </w:tcPr>
          <w:p w14:paraId="219D9BDF" w14:textId="77777777" w:rsidR="002348B0" w:rsidRPr="0090267E" w:rsidRDefault="002348B0" w:rsidP="006E39ED">
            <w:pPr>
              <w:widowControl w:val="0"/>
              <w:spacing w:before="60" w:after="60"/>
              <w:ind w:left="57"/>
              <w:jc w:val="right"/>
              <w:rPr>
                <w:rFonts w:ascii="Arial" w:hAnsi="Arial" w:cs="Arial"/>
                <w:b/>
                <w:sz w:val="20"/>
                <w:szCs w:val="20"/>
              </w:rPr>
            </w:pPr>
            <w:r w:rsidRPr="0090267E">
              <w:rPr>
                <w:rFonts w:ascii="Arial" w:hAnsi="Arial" w:cs="Arial"/>
                <w:b/>
                <w:sz w:val="20"/>
                <w:szCs w:val="20"/>
              </w:rPr>
              <w:t>Secretaría Ejecutiva:</w:t>
            </w:r>
          </w:p>
        </w:tc>
        <w:tc>
          <w:tcPr>
            <w:tcW w:w="2958" w:type="pct"/>
            <w:shd w:val="clear" w:color="auto" w:fill="auto"/>
            <w:vAlign w:val="center"/>
          </w:tcPr>
          <w:p w14:paraId="367176C8" w14:textId="77777777" w:rsidR="002348B0" w:rsidRPr="0090267E" w:rsidRDefault="002348B0" w:rsidP="006E39ED">
            <w:pPr>
              <w:widowControl w:val="0"/>
              <w:spacing w:before="60" w:after="60"/>
              <w:ind w:left="57"/>
              <w:rPr>
                <w:rFonts w:ascii="Arial" w:hAnsi="Arial" w:cs="Arial"/>
                <w:sz w:val="20"/>
                <w:szCs w:val="20"/>
              </w:rPr>
            </w:pPr>
            <w:r w:rsidRPr="0090267E">
              <w:rPr>
                <w:rFonts w:ascii="Arial" w:hAnsi="Arial" w:cs="Arial"/>
                <w:sz w:val="20"/>
                <w:szCs w:val="20"/>
              </w:rPr>
              <w:t>Secretaría Ejecutiva del Instituto Electoral y de Participación Ciudadana de Tabasco.</w:t>
            </w:r>
          </w:p>
        </w:tc>
      </w:tr>
    </w:tbl>
    <w:p w14:paraId="181E227B" w14:textId="76C64A31" w:rsidR="002348B0" w:rsidRPr="0090267E" w:rsidRDefault="0090267E" w:rsidP="002348B0">
      <w:pPr>
        <w:pStyle w:val="Ttulo1"/>
        <w:rPr>
          <w:rFonts w:ascii="Arial" w:hAnsi="Arial" w:cs="Arial"/>
          <w:sz w:val="24"/>
          <w:szCs w:val="24"/>
        </w:rPr>
      </w:pPr>
      <w:r w:rsidRPr="0090267E">
        <w:rPr>
          <w:rFonts w:ascii="Arial" w:hAnsi="Arial" w:cs="Arial"/>
          <w:sz w:val="24"/>
          <w:szCs w:val="24"/>
        </w:rPr>
        <w:lastRenderedPageBreak/>
        <w:t xml:space="preserve">1 </w:t>
      </w:r>
      <w:r w:rsidR="002348B0" w:rsidRPr="0090267E">
        <w:rPr>
          <w:rFonts w:ascii="Arial" w:hAnsi="Arial" w:cs="Arial"/>
          <w:sz w:val="24"/>
          <w:szCs w:val="24"/>
        </w:rPr>
        <w:t>Antecedentes</w:t>
      </w:r>
    </w:p>
    <w:p w14:paraId="571D8526" w14:textId="08E32D61" w:rsidR="002348B0" w:rsidRPr="0090267E" w:rsidRDefault="0090267E" w:rsidP="002348B0">
      <w:pPr>
        <w:pStyle w:val="Ttulo2"/>
        <w:rPr>
          <w:rFonts w:ascii="Arial" w:hAnsi="Arial" w:cs="Arial"/>
          <w:sz w:val="23"/>
          <w:szCs w:val="23"/>
        </w:rPr>
      </w:pPr>
      <w:r>
        <w:rPr>
          <w:rFonts w:ascii="Arial" w:hAnsi="Arial" w:cs="Arial"/>
          <w:sz w:val="23"/>
          <w:szCs w:val="23"/>
        </w:rPr>
        <w:t xml:space="preserve">1.1 </w:t>
      </w:r>
      <w:r w:rsidR="002348B0" w:rsidRPr="0090267E">
        <w:rPr>
          <w:rFonts w:ascii="Arial" w:hAnsi="Arial" w:cs="Arial"/>
          <w:sz w:val="23"/>
          <w:szCs w:val="23"/>
        </w:rPr>
        <w:t>Homologación de plazos y fechas en los procesos electorales locales concurrentes</w:t>
      </w:r>
    </w:p>
    <w:p w14:paraId="2289F30D"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13DF0F2" w14:textId="5BF1542B" w:rsidR="002348B0" w:rsidRPr="0090267E" w:rsidRDefault="0090267E" w:rsidP="002348B0">
      <w:pPr>
        <w:pStyle w:val="Ttulo2"/>
        <w:rPr>
          <w:rFonts w:ascii="Arial" w:hAnsi="Arial" w:cs="Arial"/>
          <w:sz w:val="23"/>
          <w:szCs w:val="23"/>
        </w:rPr>
      </w:pPr>
      <w:r>
        <w:rPr>
          <w:rFonts w:ascii="Arial" w:hAnsi="Arial" w:cs="Arial"/>
          <w:sz w:val="23"/>
          <w:szCs w:val="23"/>
        </w:rPr>
        <w:t xml:space="preserve">1.2 </w:t>
      </w:r>
      <w:r w:rsidR="002348B0" w:rsidRPr="0090267E">
        <w:rPr>
          <w:rFonts w:ascii="Arial" w:hAnsi="Arial" w:cs="Arial"/>
          <w:sz w:val="23"/>
          <w:szCs w:val="23"/>
        </w:rPr>
        <w:t xml:space="preserve">Plan integral y calendario de coordinación </w:t>
      </w:r>
    </w:p>
    <w:p w14:paraId="605148BB"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9601F74" w14:textId="6E93F7D4" w:rsidR="002348B0" w:rsidRPr="0090267E" w:rsidRDefault="0090267E" w:rsidP="002348B0">
      <w:pPr>
        <w:pStyle w:val="Ttulo2"/>
        <w:rPr>
          <w:rFonts w:ascii="Arial" w:hAnsi="Arial" w:cs="Arial"/>
          <w:sz w:val="23"/>
          <w:szCs w:val="23"/>
        </w:rPr>
      </w:pPr>
      <w:r>
        <w:rPr>
          <w:rFonts w:ascii="Arial" w:hAnsi="Arial" w:cs="Arial"/>
          <w:sz w:val="23"/>
          <w:szCs w:val="23"/>
        </w:rPr>
        <w:t xml:space="preserve">1.3 </w:t>
      </w:r>
      <w:r w:rsidR="002348B0" w:rsidRPr="0090267E">
        <w:rPr>
          <w:rFonts w:ascii="Arial" w:hAnsi="Arial" w:cs="Arial"/>
          <w:sz w:val="23"/>
          <w:szCs w:val="23"/>
        </w:rPr>
        <w:t>Calendario electoral</w:t>
      </w:r>
    </w:p>
    <w:p w14:paraId="67A35FBC"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El 29 de septiembre de 2023, el Consejo Estatal aprobó el acuerdo CE/2023/021 relativo al calendario electoral para el Proceso Electoral.</w:t>
      </w:r>
    </w:p>
    <w:p w14:paraId="019C8ACA" w14:textId="338A3A6D" w:rsidR="002348B0" w:rsidRPr="0090267E" w:rsidRDefault="0090267E" w:rsidP="002348B0">
      <w:pPr>
        <w:pStyle w:val="Ttulo2"/>
        <w:rPr>
          <w:rFonts w:ascii="Arial" w:hAnsi="Arial" w:cs="Arial"/>
          <w:sz w:val="23"/>
          <w:szCs w:val="23"/>
        </w:rPr>
      </w:pPr>
      <w:r>
        <w:rPr>
          <w:rFonts w:ascii="Arial" w:hAnsi="Arial" w:cs="Arial"/>
          <w:sz w:val="23"/>
          <w:szCs w:val="23"/>
        </w:rPr>
        <w:t xml:space="preserve">1.4 </w:t>
      </w:r>
      <w:r w:rsidR="002348B0" w:rsidRPr="0090267E">
        <w:rPr>
          <w:rFonts w:ascii="Arial" w:hAnsi="Arial" w:cs="Arial"/>
          <w:sz w:val="23"/>
          <w:szCs w:val="23"/>
        </w:rPr>
        <w:t>Inicio del Proceso Electoral</w:t>
      </w:r>
    </w:p>
    <w:p w14:paraId="6D85128A" w14:textId="73AED679" w:rsidR="002348B0"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1566E27C" w14:textId="77777777" w:rsidR="0090267E" w:rsidRPr="0090267E" w:rsidRDefault="0090267E" w:rsidP="002348B0">
      <w:pPr>
        <w:spacing w:before="240" w:after="240" w:line="300" w:lineRule="auto"/>
        <w:jc w:val="both"/>
        <w:rPr>
          <w:rFonts w:ascii="Arial" w:hAnsi="Arial" w:cs="Arial"/>
          <w:sz w:val="23"/>
          <w:szCs w:val="23"/>
        </w:rPr>
      </w:pPr>
    </w:p>
    <w:p w14:paraId="252529F4" w14:textId="5589737C" w:rsidR="002348B0" w:rsidRPr="0090267E" w:rsidRDefault="00C25A66" w:rsidP="002348B0">
      <w:pPr>
        <w:pStyle w:val="Ttulo2"/>
        <w:rPr>
          <w:rFonts w:ascii="Arial" w:hAnsi="Arial" w:cs="Arial"/>
          <w:sz w:val="23"/>
          <w:szCs w:val="23"/>
        </w:rPr>
      </w:pPr>
      <w:r>
        <w:rPr>
          <w:rFonts w:ascii="Arial" w:hAnsi="Arial" w:cs="Arial"/>
          <w:sz w:val="23"/>
          <w:szCs w:val="23"/>
        </w:rPr>
        <w:lastRenderedPageBreak/>
        <w:t>1</w:t>
      </w:r>
      <w:r w:rsidR="0090267E">
        <w:rPr>
          <w:rFonts w:ascii="Arial" w:hAnsi="Arial" w:cs="Arial"/>
          <w:sz w:val="23"/>
          <w:szCs w:val="23"/>
        </w:rPr>
        <w:t xml:space="preserve">.5 </w:t>
      </w:r>
      <w:r w:rsidR="002348B0" w:rsidRPr="0090267E">
        <w:rPr>
          <w:rFonts w:ascii="Arial" w:hAnsi="Arial" w:cs="Arial"/>
          <w:sz w:val="23"/>
          <w:szCs w:val="23"/>
        </w:rPr>
        <w:t>Convocatoria para la renovación del Poder Ejecutivo, Legislativo y los Ayuntamientos</w:t>
      </w:r>
    </w:p>
    <w:p w14:paraId="1DC7315C"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El 20 de octubre de 2023, mediante acuerdo CE/2023/035, el Consejo Estatal expidió la convocatoria para renovar a las y los integrantes de los Poderes Ejecutivo, Legislativo y los Ayuntamientos del Estado con motivo del Proceso Electoral.</w:t>
      </w:r>
    </w:p>
    <w:p w14:paraId="7DBD6757" w14:textId="20177106" w:rsidR="002348B0" w:rsidRPr="0090267E" w:rsidRDefault="0090267E" w:rsidP="002348B0">
      <w:pPr>
        <w:pStyle w:val="Ttulo2"/>
        <w:rPr>
          <w:rFonts w:ascii="Arial" w:hAnsi="Arial" w:cs="Arial"/>
          <w:sz w:val="23"/>
          <w:szCs w:val="23"/>
        </w:rPr>
      </w:pPr>
      <w:r>
        <w:rPr>
          <w:rFonts w:ascii="Arial" w:hAnsi="Arial" w:cs="Arial"/>
          <w:sz w:val="23"/>
          <w:szCs w:val="23"/>
        </w:rPr>
        <w:t xml:space="preserve">1.6 </w:t>
      </w:r>
      <w:r w:rsidR="002348B0" w:rsidRPr="0090267E">
        <w:rPr>
          <w:rFonts w:ascii="Arial" w:hAnsi="Arial" w:cs="Arial"/>
          <w:sz w:val="23"/>
          <w:szCs w:val="23"/>
        </w:rPr>
        <w:t>Periodo para la obtención del apoyo de la ciudadanía</w:t>
      </w:r>
    </w:p>
    <w:p w14:paraId="66327B66"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Por su parte, el artículo 286, numeral 1 de la Ley Electoral prevé que, en la Convocatoria para la renovación del Poder Ejecutivo, Legislativo y los Ayuntamientos se señalará el inicio del plazo para recabar el apoyo ciudadano correspondiente. En ese tenor, de acuerdo con el Plan Integral y los calendarios de coordinación de los Procesos Electorales Locales concurrentes con el Federal 2023 – 2024, los períodos para la obtención del apoyo de la ciudadanía fueron los siguientes: del 15 de noviembre de 2023 al 3 de enero de 2024, tratándose de la candidatura independiente a la Gubernatura; y, del 5 de diciembre de 2023 al 3 de enero de 2024, para las candidaturas independientes a Diputaciones locales y Presidencias Municipales.</w:t>
      </w:r>
    </w:p>
    <w:p w14:paraId="39B4EF91" w14:textId="677A40ED" w:rsidR="002348B0" w:rsidRPr="0090267E" w:rsidRDefault="0090267E" w:rsidP="002348B0">
      <w:pPr>
        <w:pStyle w:val="Ttulo2"/>
        <w:rPr>
          <w:rFonts w:ascii="Arial" w:hAnsi="Arial" w:cs="Arial"/>
          <w:sz w:val="23"/>
          <w:szCs w:val="23"/>
        </w:rPr>
      </w:pPr>
      <w:r>
        <w:rPr>
          <w:rFonts w:ascii="Arial" w:hAnsi="Arial" w:cs="Arial"/>
          <w:sz w:val="23"/>
          <w:szCs w:val="23"/>
        </w:rPr>
        <w:t xml:space="preserve">1.7 </w:t>
      </w:r>
      <w:r w:rsidR="002348B0" w:rsidRPr="0090267E">
        <w:rPr>
          <w:rFonts w:ascii="Arial" w:hAnsi="Arial" w:cs="Arial"/>
          <w:sz w:val="23"/>
          <w:szCs w:val="23"/>
        </w:rPr>
        <w:t>Jornada electoral</w:t>
      </w:r>
      <w:bookmarkStart w:id="0" w:name="_GoBack"/>
      <w:bookmarkEnd w:id="0"/>
    </w:p>
    <w:p w14:paraId="6D575CA6"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4B8A3760" w14:textId="5A4B19AA" w:rsidR="002348B0" w:rsidRPr="0090267E" w:rsidRDefault="0090267E" w:rsidP="002348B0">
      <w:pPr>
        <w:pStyle w:val="Ttulo1"/>
        <w:rPr>
          <w:rFonts w:ascii="Arial" w:hAnsi="Arial" w:cs="Arial"/>
          <w:sz w:val="24"/>
          <w:szCs w:val="24"/>
        </w:rPr>
      </w:pPr>
      <w:r>
        <w:rPr>
          <w:rFonts w:ascii="Arial" w:hAnsi="Arial" w:cs="Arial"/>
          <w:sz w:val="24"/>
          <w:szCs w:val="24"/>
        </w:rPr>
        <w:t xml:space="preserve">2 </w:t>
      </w:r>
      <w:r w:rsidR="002348B0" w:rsidRPr="0090267E">
        <w:rPr>
          <w:rFonts w:ascii="Arial" w:hAnsi="Arial" w:cs="Arial"/>
          <w:sz w:val="24"/>
          <w:szCs w:val="24"/>
        </w:rPr>
        <w:t>Considerando</w:t>
      </w:r>
    </w:p>
    <w:p w14:paraId="107B4D72" w14:textId="17D7133E" w:rsidR="002348B0" w:rsidRPr="0090267E" w:rsidRDefault="0090267E" w:rsidP="002348B0">
      <w:pPr>
        <w:pStyle w:val="Ttulo2"/>
        <w:rPr>
          <w:rFonts w:ascii="Arial" w:hAnsi="Arial" w:cs="Arial"/>
          <w:sz w:val="23"/>
          <w:szCs w:val="23"/>
        </w:rPr>
      </w:pPr>
      <w:r>
        <w:rPr>
          <w:rFonts w:ascii="Arial" w:hAnsi="Arial" w:cs="Arial"/>
        </w:rPr>
        <w:t>2.</w:t>
      </w:r>
      <w:r w:rsidRPr="0090267E">
        <w:rPr>
          <w:rFonts w:ascii="Arial" w:hAnsi="Arial" w:cs="Arial"/>
          <w:sz w:val="23"/>
          <w:szCs w:val="23"/>
        </w:rPr>
        <w:t xml:space="preserve">1 </w:t>
      </w:r>
      <w:r w:rsidR="002348B0" w:rsidRPr="0090267E">
        <w:rPr>
          <w:rFonts w:ascii="Arial" w:hAnsi="Arial" w:cs="Arial"/>
          <w:sz w:val="23"/>
          <w:szCs w:val="23"/>
        </w:rPr>
        <w:t xml:space="preserve">Fines del Instituto </w:t>
      </w:r>
    </w:p>
    <w:p w14:paraId="6556D3A5"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w:t>
      </w:r>
      <w:r w:rsidRPr="0090267E">
        <w:rPr>
          <w:rFonts w:ascii="Arial" w:hAnsi="Arial" w:cs="Arial"/>
          <w:sz w:val="23"/>
          <w:szCs w:val="23"/>
        </w:rPr>
        <w:lastRenderedPageBreak/>
        <w:t>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F025AD9"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86424FA" w14:textId="50B8A370" w:rsidR="002348B0" w:rsidRPr="0090267E" w:rsidRDefault="0090267E" w:rsidP="002348B0">
      <w:pPr>
        <w:pStyle w:val="Ttulo2"/>
        <w:rPr>
          <w:rFonts w:ascii="Arial" w:hAnsi="Arial" w:cs="Arial"/>
          <w:sz w:val="23"/>
          <w:szCs w:val="23"/>
        </w:rPr>
      </w:pPr>
      <w:r w:rsidRPr="0090267E">
        <w:rPr>
          <w:rFonts w:ascii="Arial" w:hAnsi="Arial" w:cs="Arial"/>
          <w:sz w:val="23"/>
          <w:szCs w:val="23"/>
        </w:rPr>
        <w:t xml:space="preserve">2.2 </w:t>
      </w:r>
      <w:r w:rsidR="002348B0" w:rsidRPr="0090267E">
        <w:rPr>
          <w:rFonts w:ascii="Arial" w:hAnsi="Arial" w:cs="Arial"/>
          <w:sz w:val="23"/>
          <w:szCs w:val="23"/>
        </w:rPr>
        <w:t xml:space="preserve">Órgano Superior de Dirección del Instituto </w:t>
      </w:r>
    </w:p>
    <w:p w14:paraId="24EB651C"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7592B84A" w14:textId="2024436B" w:rsidR="002348B0" w:rsidRPr="0090267E" w:rsidRDefault="0090267E" w:rsidP="002348B0">
      <w:pPr>
        <w:pStyle w:val="Ttulo2"/>
        <w:rPr>
          <w:rFonts w:ascii="Arial" w:hAnsi="Arial" w:cs="Arial"/>
          <w:sz w:val="23"/>
          <w:szCs w:val="23"/>
        </w:rPr>
      </w:pPr>
      <w:r w:rsidRPr="0090267E">
        <w:rPr>
          <w:rFonts w:ascii="Arial" w:hAnsi="Arial" w:cs="Arial"/>
          <w:sz w:val="23"/>
          <w:szCs w:val="23"/>
        </w:rPr>
        <w:t xml:space="preserve">2.3 </w:t>
      </w:r>
      <w:r w:rsidR="002348B0" w:rsidRPr="0090267E">
        <w:rPr>
          <w:rFonts w:ascii="Arial" w:hAnsi="Arial" w:cs="Arial"/>
          <w:sz w:val="23"/>
          <w:szCs w:val="23"/>
        </w:rPr>
        <w:t>Integración del Órgano de Dirección Superior</w:t>
      </w:r>
    </w:p>
    <w:p w14:paraId="18B4D5E9"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C7F1C31" w14:textId="534EB3AD" w:rsidR="002348B0" w:rsidRPr="0090267E" w:rsidRDefault="0090267E" w:rsidP="002348B0">
      <w:pPr>
        <w:pStyle w:val="Ttulo2"/>
        <w:rPr>
          <w:rFonts w:ascii="Arial" w:hAnsi="Arial" w:cs="Arial"/>
          <w:sz w:val="23"/>
          <w:szCs w:val="23"/>
        </w:rPr>
      </w:pPr>
      <w:r w:rsidRPr="0090267E">
        <w:rPr>
          <w:rFonts w:ascii="Arial" w:hAnsi="Arial" w:cs="Arial"/>
          <w:sz w:val="23"/>
          <w:szCs w:val="23"/>
        </w:rPr>
        <w:lastRenderedPageBreak/>
        <w:t xml:space="preserve">2.4 </w:t>
      </w:r>
      <w:r w:rsidR="002348B0" w:rsidRPr="0090267E">
        <w:rPr>
          <w:rFonts w:ascii="Arial" w:hAnsi="Arial" w:cs="Arial"/>
          <w:sz w:val="23"/>
          <w:szCs w:val="23"/>
        </w:rPr>
        <w:t>Competencia del Consejo Estatal</w:t>
      </w:r>
    </w:p>
    <w:p w14:paraId="636967C1"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Que, de conformidad con el artículo 115 numeral 1, fracción XX de la Ley Electoral, corresponde al Consejo Estatal, registrar las candidaturas a Gobernadora o Gobernador del Estado.</w:t>
      </w:r>
    </w:p>
    <w:p w14:paraId="5DBE3CF0"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634BD9E" w14:textId="08C3D20E" w:rsidR="002348B0" w:rsidRPr="0090267E" w:rsidRDefault="0090267E" w:rsidP="002348B0">
      <w:pPr>
        <w:pStyle w:val="Ttulo2"/>
        <w:rPr>
          <w:rFonts w:ascii="Arial" w:hAnsi="Arial" w:cs="Arial"/>
          <w:sz w:val="23"/>
          <w:szCs w:val="23"/>
        </w:rPr>
      </w:pPr>
      <w:r w:rsidRPr="0090267E">
        <w:rPr>
          <w:rFonts w:ascii="Arial" w:hAnsi="Arial" w:cs="Arial"/>
          <w:sz w:val="23"/>
          <w:szCs w:val="23"/>
        </w:rPr>
        <w:t xml:space="preserve">2.5 </w:t>
      </w:r>
      <w:r w:rsidR="002348B0" w:rsidRPr="0090267E">
        <w:rPr>
          <w:rFonts w:ascii="Arial" w:hAnsi="Arial" w:cs="Arial"/>
          <w:sz w:val="23"/>
          <w:szCs w:val="23"/>
        </w:rPr>
        <w:t>Derecho de la ciudadanía a votar y ser votada</w:t>
      </w:r>
    </w:p>
    <w:p w14:paraId="105B4EF6"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19F0F0D0" w14:textId="25218E1E" w:rsidR="002348B0" w:rsidRPr="0090267E" w:rsidRDefault="0090267E" w:rsidP="002348B0">
      <w:pPr>
        <w:pStyle w:val="Ttulo2"/>
        <w:rPr>
          <w:rFonts w:ascii="Arial" w:hAnsi="Arial" w:cs="Arial"/>
          <w:sz w:val="23"/>
          <w:szCs w:val="23"/>
        </w:rPr>
      </w:pPr>
      <w:r w:rsidRPr="0090267E">
        <w:rPr>
          <w:rFonts w:ascii="Arial" w:hAnsi="Arial" w:cs="Arial"/>
          <w:sz w:val="23"/>
          <w:szCs w:val="23"/>
        </w:rPr>
        <w:t xml:space="preserve">2.6 </w:t>
      </w:r>
      <w:r w:rsidR="002348B0" w:rsidRPr="0090267E">
        <w:rPr>
          <w:rFonts w:ascii="Arial" w:hAnsi="Arial" w:cs="Arial"/>
          <w:sz w:val="23"/>
          <w:szCs w:val="23"/>
        </w:rPr>
        <w:t>Fines de los partidos políticos</w:t>
      </w:r>
    </w:p>
    <w:p w14:paraId="4B530CF1"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 xml:space="preserve">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w:t>
      </w:r>
      <w:r w:rsidRPr="0090267E">
        <w:rPr>
          <w:rFonts w:ascii="Arial" w:hAnsi="Arial" w:cs="Arial"/>
          <w:sz w:val="23"/>
          <w:szCs w:val="23"/>
        </w:rPr>
        <w:lastRenderedPageBreak/>
        <w:t>sufragio universal, libre, secreto, directo, personal e intransferible, incluso a través de distintas formas de participación o asociación, con el fin de postular candidaturas.</w:t>
      </w:r>
    </w:p>
    <w:p w14:paraId="4C2447ED" w14:textId="32863FD6" w:rsidR="002348B0" w:rsidRPr="0090267E" w:rsidRDefault="0090267E" w:rsidP="002348B0">
      <w:pPr>
        <w:pStyle w:val="Ttulo2"/>
        <w:rPr>
          <w:rFonts w:ascii="Arial" w:hAnsi="Arial" w:cs="Arial"/>
          <w:sz w:val="23"/>
          <w:szCs w:val="23"/>
        </w:rPr>
      </w:pPr>
      <w:r w:rsidRPr="0090267E">
        <w:rPr>
          <w:rFonts w:ascii="Arial" w:hAnsi="Arial" w:cs="Arial"/>
          <w:sz w:val="23"/>
          <w:szCs w:val="23"/>
        </w:rPr>
        <w:t xml:space="preserve">2.7 </w:t>
      </w:r>
      <w:r w:rsidR="002348B0" w:rsidRPr="0090267E">
        <w:rPr>
          <w:rFonts w:ascii="Arial" w:hAnsi="Arial" w:cs="Arial"/>
          <w:sz w:val="23"/>
          <w:szCs w:val="23"/>
        </w:rPr>
        <w:t>Participación de partidos políticos nacionales en elecciones locales</w:t>
      </w:r>
    </w:p>
    <w:p w14:paraId="26E828CA"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3371911E" w14:textId="0FA9312A" w:rsidR="002348B0" w:rsidRPr="0090267E" w:rsidRDefault="0090267E" w:rsidP="002348B0">
      <w:pPr>
        <w:pStyle w:val="Ttulo2"/>
        <w:rPr>
          <w:rFonts w:ascii="Arial" w:hAnsi="Arial" w:cs="Arial"/>
          <w:sz w:val="23"/>
          <w:szCs w:val="23"/>
        </w:rPr>
      </w:pPr>
      <w:r w:rsidRPr="0090267E">
        <w:rPr>
          <w:rFonts w:ascii="Arial" w:hAnsi="Arial" w:cs="Arial"/>
          <w:sz w:val="23"/>
          <w:szCs w:val="23"/>
        </w:rPr>
        <w:t xml:space="preserve">2.8 </w:t>
      </w:r>
      <w:r w:rsidR="002348B0" w:rsidRPr="0090267E">
        <w:rPr>
          <w:rFonts w:ascii="Arial" w:hAnsi="Arial" w:cs="Arial"/>
          <w:sz w:val="23"/>
          <w:szCs w:val="23"/>
        </w:rPr>
        <w:t>Facultad de los partidos políticos de postular candidaturas</w:t>
      </w:r>
    </w:p>
    <w:p w14:paraId="26D90D88"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Que el artículo 9 apartado A, fracción I de la Constitución Local dispone que los partidos políticos son entidades de interés público, cuya participación en el proceso electoral, con el fin de postular candidatos, se encuentra determinada en la Ley Electoral, conforme lo señalado en el artículo 85, numeral 5 de la Ley de Partidos.</w:t>
      </w:r>
    </w:p>
    <w:p w14:paraId="6FE8E7E1"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55149BE5" w14:textId="5A1ADBDC" w:rsidR="002348B0" w:rsidRPr="0090267E" w:rsidRDefault="0090267E" w:rsidP="002348B0">
      <w:pPr>
        <w:pStyle w:val="Ttulo2"/>
        <w:rPr>
          <w:rFonts w:ascii="Arial" w:hAnsi="Arial" w:cs="Arial"/>
          <w:sz w:val="23"/>
          <w:szCs w:val="23"/>
        </w:rPr>
      </w:pPr>
      <w:r w:rsidRPr="0090267E">
        <w:rPr>
          <w:rFonts w:ascii="Arial" w:hAnsi="Arial" w:cs="Arial"/>
          <w:sz w:val="23"/>
          <w:szCs w:val="23"/>
        </w:rPr>
        <w:t xml:space="preserve">2.9 </w:t>
      </w:r>
      <w:r w:rsidR="002348B0" w:rsidRPr="0090267E">
        <w:rPr>
          <w:rFonts w:ascii="Arial" w:hAnsi="Arial" w:cs="Arial"/>
          <w:sz w:val="23"/>
          <w:szCs w:val="23"/>
        </w:rPr>
        <w:t>Regulación de las candidaturas independientes</w:t>
      </w:r>
    </w:p>
    <w:p w14:paraId="12AD9575"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mencionada Ley.</w:t>
      </w:r>
    </w:p>
    <w:p w14:paraId="284B673F" w14:textId="78B57EC3" w:rsidR="002348B0" w:rsidRPr="0090267E" w:rsidRDefault="0090267E" w:rsidP="002348B0">
      <w:pPr>
        <w:pStyle w:val="Ttulo2"/>
        <w:rPr>
          <w:rFonts w:ascii="Arial" w:hAnsi="Arial" w:cs="Arial"/>
          <w:sz w:val="23"/>
          <w:szCs w:val="23"/>
        </w:rPr>
      </w:pPr>
      <w:r w:rsidRPr="0090267E">
        <w:rPr>
          <w:rFonts w:ascii="Arial" w:hAnsi="Arial" w:cs="Arial"/>
          <w:sz w:val="23"/>
          <w:szCs w:val="23"/>
        </w:rPr>
        <w:lastRenderedPageBreak/>
        <w:t xml:space="preserve">2.10 </w:t>
      </w:r>
      <w:r w:rsidR="002348B0" w:rsidRPr="0090267E">
        <w:rPr>
          <w:rFonts w:ascii="Arial" w:hAnsi="Arial" w:cs="Arial"/>
          <w:sz w:val="23"/>
          <w:szCs w:val="23"/>
        </w:rPr>
        <w:t>Derecho a registrar candidaturas</w:t>
      </w:r>
    </w:p>
    <w:p w14:paraId="6FC4A923"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Que, de conformidad con el artículo 281 numerales 1 y 2 de la Ley Electoral sólo se registrará una candidatura independiente para cada cargo de elección popular por el principio de mayoría relativa. El registro será individual, por fórmula o planilla, según corresponda. Asimismo, en caso de existir más de una persona aspirante, fórmula o planilla a un mismo cargo de elección popular, será registrada la que obtenga el mayor número de respaldos de la ciudadanía, en cantidad superior al porcentaje señalado para cada cargo.</w:t>
      </w:r>
    </w:p>
    <w:p w14:paraId="669987F8"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 xml:space="preserve">Asimismo, como lo establece el numeral 3 del artículo 281 de la Ley Electoral, las candidaturas independientes tendrán los mismos derechos y obligaciones que las postuladas por partidos políticos, con las particularidades y salvedades que la Ley Electoral establece. </w:t>
      </w:r>
    </w:p>
    <w:p w14:paraId="2B02106F" w14:textId="0F31E916" w:rsidR="002348B0" w:rsidRPr="0090267E" w:rsidRDefault="0090267E" w:rsidP="002348B0">
      <w:pPr>
        <w:pStyle w:val="Ttulo2"/>
        <w:rPr>
          <w:rFonts w:ascii="Arial" w:hAnsi="Arial" w:cs="Arial"/>
          <w:sz w:val="23"/>
          <w:szCs w:val="23"/>
        </w:rPr>
      </w:pPr>
      <w:r w:rsidRPr="0090267E">
        <w:rPr>
          <w:rFonts w:ascii="Arial" w:hAnsi="Arial" w:cs="Arial"/>
          <w:sz w:val="23"/>
          <w:szCs w:val="23"/>
        </w:rPr>
        <w:t xml:space="preserve">2.11 </w:t>
      </w:r>
      <w:r w:rsidR="002348B0" w:rsidRPr="0090267E">
        <w:rPr>
          <w:rFonts w:ascii="Arial" w:hAnsi="Arial" w:cs="Arial"/>
          <w:sz w:val="23"/>
          <w:szCs w:val="23"/>
        </w:rPr>
        <w:t>Escritos ciudadanos</w:t>
      </w:r>
    </w:p>
    <w:p w14:paraId="093D35EA" w14:textId="2ADD5737" w:rsidR="002348B0" w:rsidRPr="0090267E" w:rsidRDefault="002348B0" w:rsidP="00BB7ACC">
      <w:pPr>
        <w:spacing w:before="240" w:after="240" w:line="300" w:lineRule="auto"/>
        <w:jc w:val="both"/>
        <w:rPr>
          <w:rFonts w:ascii="Arial" w:hAnsi="Arial" w:cs="Arial"/>
          <w:sz w:val="23"/>
          <w:szCs w:val="23"/>
        </w:rPr>
      </w:pPr>
      <w:r w:rsidRPr="0090267E">
        <w:rPr>
          <w:rFonts w:ascii="Arial" w:hAnsi="Arial" w:cs="Arial"/>
          <w:sz w:val="23"/>
          <w:szCs w:val="23"/>
        </w:rPr>
        <w:t xml:space="preserve">Que, el </w:t>
      </w:r>
      <w:r w:rsidR="00BB7ACC" w:rsidRPr="0090267E">
        <w:rPr>
          <w:rFonts w:ascii="Arial" w:hAnsi="Arial" w:cs="Arial"/>
          <w:sz w:val="23"/>
          <w:szCs w:val="23"/>
        </w:rPr>
        <w:t>23</w:t>
      </w:r>
      <w:r w:rsidRPr="0090267E">
        <w:rPr>
          <w:rFonts w:ascii="Arial" w:hAnsi="Arial" w:cs="Arial"/>
          <w:sz w:val="23"/>
          <w:szCs w:val="23"/>
        </w:rPr>
        <w:t xml:space="preserve"> </w:t>
      </w:r>
      <w:r w:rsidR="00BB7ACC" w:rsidRPr="0090267E">
        <w:rPr>
          <w:rFonts w:ascii="Arial" w:hAnsi="Arial" w:cs="Arial"/>
          <w:sz w:val="23"/>
          <w:szCs w:val="23"/>
        </w:rPr>
        <w:t>y 24 de abril, respectivamente, los ciudadanos Lenin de la Rosa Sánchez</w:t>
      </w:r>
      <w:r w:rsidR="009D718A" w:rsidRPr="0090267E">
        <w:rPr>
          <w:rFonts w:ascii="Arial" w:hAnsi="Arial" w:cs="Arial"/>
          <w:sz w:val="23"/>
          <w:szCs w:val="23"/>
        </w:rPr>
        <w:t xml:space="preserve">, </w:t>
      </w:r>
      <w:proofErr w:type="spellStart"/>
      <w:r w:rsidR="009D718A" w:rsidRPr="0090267E">
        <w:rPr>
          <w:rFonts w:ascii="Arial" w:hAnsi="Arial" w:cs="Arial"/>
          <w:sz w:val="23"/>
          <w:szCs w:val="23"/>
        </w:rPr>
        <w:t>Evelsaín</w:t>
      </w:r>
      <w:proofErr w:type="spellEnd"/>
      <w:r w:rsidR="009D718A" w:rsidRPr="0090267E">
        <w:rPr>
          <w:rFonts w:ascii="Arial" w:hAnsi="Arial" w:cs="Arial"/>
          <w:sz w:val="23"/>
          <w:szCs w:val="23"/>
        </w:rPr>
        <w:t xml:space="preserve"> </w:t>
      </w:r>
      <w:proofErr w:type="spellStart"/>
      <w:r w:rsidR="009D718A" w:rsidRPr="0090267E">
        <w:rPr>
          <w:rFonts w:ascii="Arial" w:hAnsi="Arial" w:cs="Arial"/>
          <w:sz w:val="23"/>
          <w:szCs w:val="23"/>
        </w:rPr>
        <w:t>Selván</w:t>
      </w:r>
      <w:proofErr w:type="spellEnd"/>
      <w:r w:rsidR="009D718A" w:rsidRPr="0090267E">
        <w:rPr>
          <w:rFonts w:ascii="Arial" w:hAnsi="Arial" w:cs="Arial"/>
          <w:sz w:val="23"/>
          <w:szCs w:val="23"/>
        </w:rPr>
        <w:t xml:space="preserve"> </w:t>
      </w:r>
      <w:proofErr w:type="spellStart"/>
      <w:r w:rsidR="009D718A" w:rsidRPr="0090267E">
        <w:rPr>
          <w:rFonts w:ascii="Arial" w:hAnsi="Arial" w:cs="Arial"/>
          <w:sz w:val="23"/>
          <w:szCs w:val="23"/>
        </w:rPr>
        <w:t>Selván</w:t>
      </w:r>
      <w:proofErr w:type="spellEnd"/>
      <w:r w:rsidR="00BB7ACC" w:rsidRPr="0090267E">
        <w:rPr>
          <w:rFonts w:ascii="Arial" w:hAnsi="Arial" w:cs="Arial"/>
          <w:sz w:val="23"/>
          <w:szCs w:val="23"/>
        </w:rPr>
        <w:t xml:space="preserve"> y Adelina de la Rosa Falcón, manifestaron</w:t>
      </w:r>
      <w:r w:rsidRPr="0090267E">
        <w:rPr>
          <w:rFonts w:ascii="Arial" w:hAnsi="Arial" w:cs="Arial"/>
          <w:sz w:val="23"/>
          <w:szCs w:val="23"/>
        </w:rPr>
        <w:t xml:space="preserve"> a este Instituto su intención de participar </w:t>
      </w:r>
      <w:r w:rsidR="00BB7ACC" w:rsidRPr="0090267E">
        <w:rPr>
          <w:rFonts w:ascii="Arial" w:hAnsi="Arial" w:cs="Arial"/>
          <w:sz w:val="23"/>
          <w:szCs w:val="23"/>
        </w:rPr>
        <w:t>como candidato</w:t>
      </w:r>
      <w:r w:rsidR="009D718A" w:rsidRPr="0090267E">
        <w:rPr>
          <w:rFonts w:ascii="Arial" w:hAnsi="Arial" w:cs="Arial"/>
          <w:sz w:val="23"/>
          <w:szCs w:val="23"/>
        </w:rPr>
        <w:t>s</w:t>
      </w:r>
      <w:r w:rsidR="00BB7ACC" w:rsidRPr="0090267E">
        <w:rPr>
          <w:rFonts w:ascii="Arial" w:hAnsi="Arial" w:cs="Arial"/>
          <w:sz w:val="23"/>
          <w:szCs w:val="23"/>
        </w:rPr>
        <w:t xml:space="preserve"> y candidata ciudadana en </w:t>
      </w:r>
      <w:r w:rsidRPr="0090267E">
        <w:rPr>
          <w:rFonts w:ascii="Arial" w:hAnsi="Arial" w:cs="Arial"/>
          <w:sz w:val="23"/>
          <w:szCs w:val="23"/>
        </w:rPr>
        <w:t xml:space="preserve">el presente Proceso Electoral. </w:t>
      </w:r>
      <w:r w:rsidR="00BB7ACC" w:rsidRPr="0090267E">
        <w:rPr>
          <w:rFonts w:ascii="Arial" w:hAnsi="Arial" w:cs="Arial"/>
          <w:sz w:val="23"/>
          <w:szCs w:val="23"/>
        </w:rPr>
        <w:t>El primero de ellos señaló su intención de contender por la Presidencia Municipal, mientras que l</w:t>
      </w:r>
      <w:r w:rsidR="006978E1" w:rsidRPr="0090267E">
        <w:rPr>
          <w:rFonts w:ascii="Arial" w:hAnsi="Arial" w:cs="Arial"/>
          <w:sz w:val="23"/>
          <w:szCs w:val="23"/>
        </w:rPr>
        <w:t>as personas restantes, no señalaron</w:t>
      </w:r>
      <w:r w:rsidR="00BB7ACC" w:rsidRPr="0090267E">
        <w:rPr>
          <w:rFonts w:ascii="Arial" w:hAnsi="Arial" w:cs="Arial"/>
          <w:sz w:val="23"/>
          <w:szCs w:val="23"/>
        </w:rPr>
        <w:t xml:space="preserve"> cargo alguno</w:t>
      </w:r>
      <w:r w:rsidR="002E424F" w:rsidRPr="0090267E">
        <w:rPr>
          <w:rFonts w:ascii="Arial" w:hAnsi="Arial" w:cs="Arial"/>
          <w:sz w:val="23"/>
          <w:szCs w:val="23"/>
        </w:rPr>
        <w:t xml:space="preserve">, en </w:t>
      </w:r>
      <w:r w:rsidR="00D24765" w:rsidRPr="0090267E">
        <w:rPr>
          <w:rFonts w:ascii="Arial" w:hAnsi="Arial" w:cs="Arial"/>
          <w:sz w:val="23"/>
          <w:szCs w:val="23"/>
        </w:rPr>
        <w:t>todo caso, los interesados</w:t>
      </w:r>
      <w:r w:rsidR="002E424F" w:rsidRPr="0090267E">
        <w:rPr>
          <w:rFonts w:ascii="Arial" w:hAnsi="Arial" w:cs="Arial"/>
          <w:sz w:val="23"/>
          <w:szCs w:val="23"/>
        </w:rPr>
        <w:t xml:space="preserve"> señalaron </w:t>
      </w:r>
      <w:r w:rsidR="00D24765" w:rsidRPr="0090267E">
        <w:rPr>
          <w:rFonts w:ascii="Arial" w:hAnsi="Arial" w:cs="Arial"/>
          <w:sz w:val="23"/>
          <w:szCs w:val="23"/>
        </w:rPr>
        <w:t xml:space="preserve">su interés de participar </w:t>
      </w:r>
      <w:r w:rsidR="00CE5015" w:rsidRPr="0090267E">
        <w:rPr>
          <w:rFonts w:ascii="Arial" w:hAnsi="Arial" w:cs="Arial"/>
          <w:sz w:val="23"/>
          <w:szCs w:val="23"/>
        </w:rPr>
        <w:t xml:space="preserve">para </w:t>
      </w:r>
      <w:r w:rsidR="004F2E5E" w:rsidRPr="0090267E">
        <w:rPr>
          <w:rFonts w:ascii="Arial" w:hAnsi="Arial" w:cs="Arial"/>
          <w:sz w:val="23"/>
          <w:szCs w:val="23"/>
        </w:rPr>
        <w:t>el período de 2024 – 2027.</w:t>
      </w:r>
    </w:p>
    <w:p w14:paraId="0C49FF58" w14:textId="41CD18A9" w:rsidR="002348B0" w:rsidRPr="0090267E" w:rsidRDefault="0090267E" w:rsidP="00F47CDB">
      <w:pPr>
        <w:pStyle w:val="Ttulo2"/>
        <w:rPr>
          <w:rFonts w:ascii="Arial" w:hAnsi="Arial" w:cs="Arial"/>
          <w:sz w:val="23"/>
          <w:szCs w:val="23"/>
        </w:rPr>
      </w:pPr>
      <w:r w:rsidRPr="0090267E">
        <w:rPr>
          <w:rFonts w:ascii="Arial" w:hAnsi="Arial" w:cs="Arial"/>
          <w:sz w:val="23"/>
          <w:szCs w:val="23"/>
        </w:rPr>
        <w:t xml:space="preserve">2.12 </w:t>
      </w:r>
      <w:r w:rsidR="002348B0" w:rsidRPr="0090267E">
        <w:rPr>
          <w:rFonts w:ascii="Arial" w:hAnsi="Arial" w:cs="Arial"/>
          <w:sz w:val="23"/>
          <w:szCs w:val="23"/>
        </w:rPr>
        <w:t>Respuesta</w:t>
      </w:r>
    </w:p>
    <w:p w14:paraId="0DD58254" w14:textId="5CD996CE"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 xml:space="preserve">Que, </w:t>
      </w:r>
      <w:r w:rsidR="0031168E" w:rsidRPr="0090267E">
        <w:rPr>
          <w:rFonts w:ascii="Arial" w:hAnsi="Arial" w:cs="Arial"/>
          <w:sz w:val="23"/>
          <w:szCs w:val="23"/>
        </w:rPr>
        <w:t>de conformidad con e</w:t>
      </w:r>
      <w:r w:rsidRPr="0090267E">
        <w:rPr>
          <w:rFonts w:ascii="Arial" w:hAnsi="Arial" w:cs="Arial"/>
          <w:sz w:val="23"/>
          <w:szCs w:val="23"/>
        </w:rPr>
        <w:t>l artículo 8º de la Constitución Federal</w:t>
      </w:r>
      <w:r w:rsidR="0031168E" w:rsidRPr="0090267E">
        <w:rPr>
          <w:rFonts w:ascii="Arial" w:hAnsi="Arial" w:cs="Arial"/>
          <w:sz w:val="23"/>
          <w:szCs w:val="23"/>
        </w:rPr>
        <w:t xml:space="preserve"> y</w:t>
      </w:r>
      <w:r w:rsidRPr="0090267E">
        <w:rPr>
          <w:rFonts w:ascii="Arial" w:hAnsi="Arial" w:cs="Arial"/>
          <w:sz w:val="23"/>
          <w:szCs w:val="23"/>
        </w:rPr>
        <w:t xml:space="preserve"> </w:t>
      </w:r>
      <w:r w:rsidR="0031168E" w:rsidRPr="0090267E">
        <w:rPr>
          <w:rFonts w:ascii="Arial" w:hAnsi="Arial" w:cs="Arial"/>
          <w:sz w:val="23"/>
          <w:szCs w:val="23"/>
        </w:rPr>
        <w:t xml:space="preserve">considerando las solicitudes que anteceden, este Consejo Estatal con la finalidad de atender </w:t>
      </w:r>
      <w:r w:rsidRPr="0090267E">
        <w:rPr>
          <w:rFonts w:ascii="Arial" w:hAnsi="Arial" w:cs="Arial"/>
          <w:sz w:val="23"/>
          <w:szCs w:val="23"/>
        </w:rPr>
        <w:t xml:space="preserve">el derecho de petición </w:t>
      </w:r>
      <w:r w:rsidR="00C4353E" w:rsidRPr="0090267E">
        <w:rPr>
          <w:rFonts w:ascii="Arial" w:hAnsi="Arial" w:cs="Arial"/>
          <w:sz w:val="23"/>
          <w:szCs w:val="23"/>
        </w:rPr>
        <w:t xml:space="preserve">de la y el </w:t>
      </w:r>
      <w:r w:rsidR="0031168E" w:rsidRPr="0090267E">
        <w:rPr>
          <w:rFonts w:ascii="Arial" w:hAnsi="Arial" w:cs="Arial"/>
          <w:sz w:val="23"/>
          <w:szCs w:val="23"/>
        </w:rPr>
        <w:t>solicitante</w:t>
      </w:r>
      <w:r w:rsidR="00C4353E" w:rsidRPr="0090267E">
        <w:rPr>
          <w:rFonts w:ascii="Arial" w:hAnsi="Arial" w:cs="Arial"/>
          <w:sz w:val="23"/>
          <w:szCs w:val="23"/>
        </w:rPr>
        <w:t>,</w:t>
      </w:r>
      <w:r w:rsidRPr="0090267E">
        <w:rPr>
          <w:rFonts w:ascii="Arial" w:hAnsi="Arial" w:cs="Arial"/>
          <w:sz w:val="23"/>
          <w:szCs w:val="23"/>
        </w:rPr>
        <w:t xml:space="preserve"> procede a dar respuesta a </w:t>
      </w:r>
      <w:r w:rsidR="00C4353E" w:rsidRPr="0090267E">
        <w:rPr>
          <w:rFonts w:ascii="Arial" w:hAnsi="Arial" w:cs="Arial"/>
          <w:sz w:val="23"/>
          <w:szCs w:val="23"/>
        </w:rPr>
        <w:t xml:space="preserve">los escritos </w:t>
      </w:r>
      <w:r w:rsidRPr="0090267E">
        <w:rPr>
          <w:rFonts w:ascii="Arial" w:hAnsi="Arial" w:cs="Arial"/>
          <w:sz w:val="23"/>
          <w:szCs w:val="23"/>
        </w:rPr>
        <w:t>de reconocimiento de su</w:t>
      </w:r>
      <w:r w:rsidR="00B56110" w:rsidRPr="0090267E">
        <w:rPr>
          <w:rFonts w:ascii="Arial" w:hAnsi="Arial" w:cs="Arial"/>
          <w:sz w:val="23"/>
          <w:szCs w:val="23"/>
        </w:rPr>
        <w:t>s</w:t>
      </w:r>
      <w:r w:rsidRPr="0090267E">
        <w:rPr>
          <w:rFonts w:ascii="Arial" w:hAnsi="Arial" w:cs="Arial"/>
          <w:sz w:val="23"/>
          <w:szCs w:val="23"/>
        </w:rPr>
        <w:t xml:space="preserve"> candidatura</w:t>
      </w:r>
      <w:r w:rsidR="00B56110" w:rsidRPr="0090267E">
        <w:rPr>
          <w:rFonts w:ascii="Arial" w:hAnsi="Arial" w:cs="Arial"/>
          <w:sz w:val="23"/>
          <w:szCs w:val="23"/>
        </w:rPr>
        <w:t>s</w:t>
      </w:r>
      <w:r w:rsidR="00E4030B" w:rsidRPr="0090267E">
        <w:rPr>
          <w:rFonts w:ascii="Arial" w:hAnsi="Arial" w:cs="Arial"/>
          <w:sz w:val="23"/>
          <w:szCs w:val="23"/>
        </w:rPr>
        <w:t xml:space="preserve"> ciudadan</w:t>
      </w:r>
      <w:r w:rsidR="00B56110" w:rsidRPr="0090267E">
        <w:rPr>
          <w:rFonts w:ascii="Arial" w:hAnsi="Arial" w:cs="Arial"/>
          <w:sz w:val="23"/>
          <w:szCs w:val="23"/>
        </w:rPr>
        <w:t>a</w:t>
      </w:r>
      <w:r w:rsidR="00E4030B" w:rsidRPr="0090267E">
        <w:rPr>
          <w:rFonts w:ascii="Arial" w:hAnsi="Arial" w:cs="Arial"/>
          <w:sz w:val="23"/>
          <w:szCs w:val="23"/>
        </w:rPr>
        <w:t xml:space="preserve">s </w:t>
      </w:r>
      <w:r w:rsidR="00B56110" w:rsidRPr="0090267E">
        <w:rPr>
          <w:rFonts w:ascii="Arial" w:hAnsi="Arial" w:cs="Arial"/>
          <w:sz w:val="23"/>
          <w:szCs w:val="23"/>
        </w:rPr>
        <w:t>no registrada</w:t>
      </w:r>
      <w:r w:rsidRPr="0090267E">
        <w:rPr>
          <w:rFonts w:ascii="Arial" w:hAnsi="Arial" w:cs="Arial"/>
          <w:sz w:val="23"/>
          <w:szCs w:val="23"/>
        </w:rPr>
        <w:t xml:space="preserve">s para </w:t>
      </w:r>
      <w:r w:rsidR="004D5527" w:rsidRPr="0090267E">
        <w:rPr>
          <w:rFonts w:ascii="Arial" w:hAnsi="Arial" w:cs="Arial"/>
          <w:sz w:val="23"/>
          <w:szCs w:val="23"/>
        </w:rPr>
        <w:t>el Proceso Electoral</w:t>
      </w:r>
      <w:r w:rsidRPr="0090267E">
        <w:rPr>
          <w:rFonts w:ascii="Arial" w:hAnsi="Arial" w:cs="Arial"/>
          <w:sz w:val="23"/>
          <w:szCs w:val="23"/>
        </w:rPr>
        <w:t>, de acuerdo con lo siguiente:</w:t>
      </w:r>
    </w:p>
    <w:p w14:paraId="52F57C33"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 xml:space="preserve">El artículo 35, fracción II de la Constitución Federal, establece que, la ciudadanía tiene, entre otros derechos, el de ser votada en condiciones de paridad para todos los cargos de elección popular, teniendo las calidades que establezca la ley. Asimismo, refiere que, </w:t>
      </w:r>
      <w:r w:rsidRPr="0090267E">
        <w:rPr>
          <w:rFonts w:ascii="Arial" w:hAnsi="Arial" w:cs="Arial"/>
          <w:sz w:val="23"/>
          <w:szCs w:val="23"/>
        </w:rPr>
        <w:lastRenderedPageBreak/>
        <w:t>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2EAA8666"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 xml:space="preserve">En correspondencia a lo anterior, la Constitución Local establece en su artículo 7, el derecho de los partidos políticos a solicitar el registro de candidaturas ante las autoridades electorales y el de la ciudadanía que de manera independiente desee participar; en ambos casos, refiere que, para solicitar el registro se deberá cumplir con los requisitos, condiciones y términos que establezca la ley. </w:t>
      </w:r>
    </w:p>
    <w:p w14:paraId="5EF2B0AC"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Por su parte, la Ley Electoral en su artículo 5, numeral 3, segundo párrafo, señala el derecho de las ciudadanas y los ciudadanos de ser votados para todos los puestos de elección popular, teniendo las calidades que establece la ley de la materia y solicitar su registro de manera independiente, cuando cumplan los requisitos, condiciones y términos que determine la propia ley.</w:t>
      </w:r>
    </w:p>
    <w:p w14:paraId="1F70AA7A"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Asimismo, el artículo 185, numeral 1 de la Ley Electoral, determina que, corresponde exclusivamente a los partidos políticos el derecho de solicitar el registro de candidatas y candidatos a cargos de elección popular, sin perjuicio del registro de candidaturas independientes en los términos de la mencionada ley.</w:t>
      </w:r>
    </w:p>
    <w:p w14:paraId="4048C4B1"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Conforme a la regulación normativa mencionada, se desprende que, el régimen electoral en vigor sólo reconoce a aquellas candidaturas que son postuladas por los partidos políticos y a las independientes, éstas últimas conformadas por ciudadanas y ciudadanos, que reunieron los requisitos que establece el artículo 300 de la Ley Electoral.</w:t>
      </w:r>
    </w:p>
    <w:p w14:paraId="42AE80E2"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 xml:space="preserve">En el caso de las candidaturas independientes, el artículo 287 de la Ley Electoral dispone que las y los ciudadanos que pretendan postular su candidatura independiente a un cargo de elección popular del orden local deberán informarlo al Instituto por escrito en el formato que éste determine y ésta manifestación se realizará a partir del día siguiente al en que se emita la Convocatoria y hasta la fecha señalada como inicio del periodo para recabar el apoyo ciudadano, ante el Secretario Ejecutivo del propio Instituto. En ese tenor, el período para que las personas interesadas realizaran su manifestación transcurrió del 7 de octubre al 15 de noviembre del año 2023. </w:t>
      </w:r>
    </w:p>
    <w:p w14:paraId="4EE9C24D" w14:textId="5911DABE" w:rsidR="000931A9" w:rsidRPr="0090267E" w:rsidRDefault="002348B0" w:rsidP="000931A9">
      <w:pPr>
        <w:spacing w:before="240" w:after="240" w:line="300" w:lineRule="auto"/>
        <w:jc w:val="both"/>
        <w:rPr>
          <w:rFonts w:ascii="Arial" w:hAnsi="Arial" w:cs="Arial"/>
          <w:sz w:val="23"/>
          <w:szCs w:val="23"/>
        </w:rPr>
      </w:pPr>
      <w:r w:rsidRPr="0090267E">
        <w:rPr>
          <w:rFonts w:ascii="Arial" w:hAnsi="Arial" w:cs="Arial"/>
          <w:sz w:val="23"/>
          <w:szCs w:val="23"/>
        </w:rPr>
        <w:lastRenderedPageBreak/>
        <w:t xml:space="preserve">Adicionalmente al requisito anterior, las personas interesadas en contender en una candidatura </w:t>
      </w:r>
      <w:r w:rsidR="00A14876" w:rsidRPr="0090267E">
        <w:rPr>
          <w:rFonts w:ascii="Arial" w:hAnsi="Arial" w:cs="Arial"/>
          <w:sz w:val="23"/>
          <w:szCs w:val="23"/>
        </w:rPr>
        <w:t>independiente</w:t>
      </w:r>
      <w:r w:rsidRPr="0090267E">
        <w:rPr>
          <w:rFonts w:ascii="Arial" w:hAnsi="Arial" w:cs="Arial"/>
          <w:sz w:val="23"/>
          <w:szCs w:val="23"/>
        </w:rPr>
        <w:t xml:space="preserve"> deberán realizar los actos tendentes a recabar el apoyo de la ciudadanía de conformidad con el artículo 288 de la Ley Electoral</w:t>
      </w:r>
      <w:r w:rsidR="000931A9" w:rsidRPr="0090267E">
        <w:rPr>
          <w:rFonts w:ascii="Arial" w:hAnsi="Arial" w:cs="Arial"/>
          <w:sz w:val="23"/>
          <w:szCs w:val="23"/>
        </w:rPr>
        <w:t>. Asimismo, las candidaturas independientes o ciudadanas deberá</w:t>
      </w:r>
      <w:r w:rsidR="001C2814" w:rsidRPr="0090267E">
        <w:rPr>
          <w:rFonts w:ascii="Arial" w:hAnsi="Arial" w:cs="Arial"/>
          <w:sz w:val="23"/>
          <w:szCs w:val="23"/>
        </w:rPr>
        <w:t>n</w:t>
      </w:r>
      <w:r w:rsidR="000931A9" w:rsidRPr="0090267E">
        <w:rPr>
          <w:rFonts w:ascii="Arial" w:hAnsi="Arial" w:cs="Arial"/>
          <w:sz w:val="23"/>
          <w:szCs w:val="23"/>
        </w:rPr>
        <w:t xml:space="preserve"> cumplir con los plazos y requisitos de acuerdo con lo que disponen los artículos 299 y 300 de la Ley Electoral.</w:t>
      </w:r>
    </w:p>
    <w:p w14:paraId="1A71233E" w14:textId="15C01BC2"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 xml:space="preserve">En ese contexto, si de forma equivalente, la solicitud </w:t>
      </w:r>
      <w:r w:rsidR="00160C8F" w:rsidRPr="0090267E">
        <w:rPr>
          <w:rFonts w:ascii="Arial" w:hAnsi="Arial" w:cs="Arial"/>
          <w:sz w:val="23"/>
          <w:szCs w:val="23"/>
        </w:rPr>
        <w:t>de los</w:t>
      </w:r>
      <w:r w:rsidRPr="0090267E">
        <w:rPr>
          <w:rFonts w:ascii="Arial" w:hAnsi="Arial" w:cs="Arial"/>
          <w:sz w:val="23"/>
          <w:szCs w:val="23"/>
        </w:rPr>
        <w:t xml:space="preserve"> interesado</w:t>
      </w:r>
      <w:r w:rsidR="00160C8F" w:rsidRPr="0090267E">
        <w:rPr>
          <w:rFonts w:ascii="Arial" w:hAnsi="Arial" w:cs="Arial"/>
          <w:sz w:val="23"/>
          <w:szCs w:val="23"/>
        </w:rPr>
        <w:t>s</w:t>
      </w:r>
      <w:r w:rsidRPr="0090267E">
        <w:rPr>
          <w:rFonts w:ascii="Arial" w:hAnsi="Arial" w:cs="Arial"/>
          <w:sz w:val="23"/>
          <w:szCs w:val="23"/>
        </w:rPr>
        <w:t xml:space="preserve"> se considera como la manifestación de participar en la elección a </w:t>
      </w:r>
      <w:r w:rsidR="00920FC8" w:rsidRPr="0090267E">
        <w:rPr>
          <w:rFonts w:ascii="Arial" w:hAnsi="Arial" w:cs="Arial"/>
          <w:sz w:val="23"/>
          <w:szCs w:val="23"/>
        </w:rPr>
        <w:t xml:space="preserve">cualquiera de los cargos de elección popular </w:t>
      </w:r>
      <w:r w:rsidRPr="0090267E">
        <w:rPr>
          <w:rFonts w:ascii="Arial" w:hAnsi="Arial" w:cs="Arial"/>
          <w:sz w:val="23"/>
          <w:szCs w:val="23"/>
        </w:rPr>
        <w:t>a través de una candidatura independiente, esta fue presentada de forma extemporánea, por lo que, este Consejo Estatal considera improcedente la solicitud formulada por</w:t>
      </w:r>
      <w:r w:rsidR="00C510E5" w:rsidRPr="0090267E">
        <w:rPr>
          <w:rFonts w:ascii="Arial" w:hAnsi="Arial" w:cs="Arial"/>
          <w:sz w:val="23"/>
          <w:szCs w:val="23"/>
        </w:rPr>
        <w:t xml:space="preserve"> Lenin de la Rosa Sánchez, </w:t>
      </w:r>
      <w:proofErr w:type="spellStart"/>
      <w:r w:rsidR="00C510E5" w:rsidRPr="0090267E">
        <w:rPr>
          <w:rFonts w:ascii="Arial" w:hAnsi="Arial" w:cs="Arial"/>
          <w:sz w:val="23"/>
          <w:szCs w:val="23"/>
        </w:rPr>
        <w:t>Evelsaín</w:t>
      </w:r>
      <w:proofErr w:type="spellEnd"/>
      <w:r w:rsidR="00C510E5" w:rsidRPr="0090267E">
        <w:rPr>
          <w:rFonts w:ascii="Arial" w:hAnsi="Arial" w:cs="Arial"/>
          <w:sz w:val="23"/>
          <w:szCs w:val="23"/>
        </w:rPr>
        <w:t xml:space="preserve"> </w:t>
      </w:r>
      <w:proofErr w:type="spellStart"/>
      <w:r w:rsidR="00C510E5" w:rsidRPr="0090267E">
        <w:rPr>
          <w:rFonts w:ascii="Arial" w:hAnsi="Arial" w:cs="Arial"/>
          <w:sz w:val="23"/>
          <w:szCs w:val="23"/>
        </w:rPr>
        <w:t>Selván</w:t>
      </w:r>
      <w:proofErr w:type="spellEnd"/>
      <w:r w:rsidR="00C510E5" w:rsidRPr="0090267E">
        <w:rPr>
          <w:rFonts w:ascii="Arial" w:hAnsi="Arial" w:cs="Arial"/>
          <w:sz w:val="23"/>
          <w:szCs w:val="23"/>
        </w:rPr>
        <w:t xml:space="preserve"> </w:t>
      </w:r>
      <w:proofErr w:type="spellStart"/>
      <w:r w:rsidR="00C510E5" w:rsidRPr="0090267E">
        <w:rPr>
          <w:rFonts w:ascii="Arial" w:hAnsi="Arial" w:cs="Arial"/>
          <w:sz w:val="23"/>
          <w:szCs w:val="23"/>
        </w:rPr>
        <w:t>Selván</w:t>
      </w:r>
      <w:proofErr w:type="spellEnd"/>
      <w:r w:rsidR="00C510E5" w:rsidRPr="0090267E">
        <w:rPr>
          <w:rFonts w:ascii="Arial" w:hAnsi="Arial" w:cs="Arial"/>
          <w:sz w:val="23"/>
          <w:szCs w:val="23"/>
        </w:rPr>
        <w:t xml:space="preserve"> y Adelina de la Rosa Falcón</w:t>
      </w:r>
      <w:r w:rsidRPr="0090267E">
        <w:rPr>
          <w:rFonts w:ascii="Arial" w:hAnsi="Arial" w:cs="Arial"/>
          <w:sz w:val="23"/>
          <w:szCs w:val="23"/>
        </w:rPr>
        <w:t>.</w:t>
      </w:r>
    </w:p>
    <w:p w14:paraId="0161BC32"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Además, el registro de personas candidatas por una vía distinta a las que establece la Ley, afectaría los derechos de aquellas personas que, se postularon por la vía de los partidos políticos o de forma independiente, pues éstas se sujetaron a los requisitos y reglas para contender válidamente en una elección, como las formas de realización de los procesos de selección y postulación de cada candidatura, la atribución de las autoridades electorales para revisar, verificar, y fiscalizar el origen y monto de los recursos utilizados en la promoción y obtención del voto, las reglas y plazos para realizar las precampañas y las campañas electorales.</w:t>
      </w:r>
    </w:p>
    <w:p w14:paraId="129F1680" w14:textId="151FFF14" w:rsidR="00F50A1E" w:rsidRPr="0090267E" w:rsidRDefault="00F50A1E" w:rsidP="00F50A1E">
      <w:pPr>
        <w:spacing w:before="240" w:after="240" w:line="300" w:lineRule="auto"/>
        <w:jc w:val="both"/>
        <w:rPr>
          <w:rFonts w:ascii="Arial" w:hAnsi="Arial" w:cs="Arial"/>
          <w:sz w:val="23"/>
          <w:szCs w:val="23"/>
        </w:rPr>
      </w:pPr>
      <w:r w:rsidRPr="0090267E">
        <w:rPr>
          <w:rFonts w:ascii="Arial" w:hAnsi="Arial" w:cs="Arial"/>
          <w:sz w:val="23"/>
          <w:szCs w:val="23"/>
        </w:rPr>
        <w:t xml:space="preserve">No pasa inadvertido que, de conformidad con el artículo 188 numeral 1, fracción I de la Ley Electoral, en el año en que se renueven el titular del Poder Ejecutivo Estatal, el Congreso del Estado y los ayuntamientos, el período de registro para todos los cargos comenzará noventa y un días antes de la jornada electoral y durará diez días. En ese tenor, el período para </w:t>
      </w:r>
      <w:r w:rsidR="00ED7B84" w:rsidRPr="0090267E">
        <w:rPr>
          <w:rFonts w:ascii="Arial" w:hAnsi="Arial" w:cs="Arial"/>
          <w:sz w:val="23"/>
          <w:szCs w:val="23"/>
        </w:rPr>
        <w:t xml:space="preserve">tal efecto </w:t>
      </w:r>
      <w:r w:rsidRPr="0090267E">
        <w:rPr>
          <w:rFonts w:ascii="Arial" w:hAnsi="Arial" w:cs="Arial"/>
          <w:sz w:val="23"/>
          <w:szCs w:val="23"/>
        </w:rPr>
        <w:t>inició el 3 y concluyó el 12 de marzo del año en curso</w:t>
      </w:r>
      <w:r w:rsidR="00ED7B84" w:rsidRPr="0090267E">
        <w:rPr>
          <w:rFonts w:ascii="Arial" w:hAnsi="Arial" w:cs="Arial"/>
          <w:sz w:val="23"/>
          <w:szCs w:val="23"/>
        </w:rPr>
        <w:t>.</w:t>
      </w:r>
    </w:p>
    <w:p w14:paraId="380A24C9" w14:textId="79BD5617" w:rsidR="00F50A1E" w:rsidRPr="0090267E" w:rsidRDefault="00F50A1E" w:rsidP="00F50A1E">
      <w:pPr>
        <w:spacing w:before="240" w:after="240" w:line="300" w:lineRule="auto"/>
        <w:jc w:val="both"/>
        <w:rPr>
          <w:rFonts w:ascii="Arial" w:hAnsi="Arial" w:cs="Arial"/>
          <w:sz w:val="23"/>
          <w:szCs w:val="23"/>
        </w:rPr>
      </w:pPr>
      <w:r w:rsidRPr="0090267E">
        <w:rPr>
          <w:rFonts w:ascii="Arial" w:hAnsi="Arial" w:cs="Arial"/>
          <w:sz w:val="23"/>
          <w:szCs w:val="23"/>
        </w:rPr>
        <w:t xml:space="preserve">Sobre esa base, resulta improcedente </w:t>
      </w:r>
      <w:r w:rsidR="002E424F" w:rsidRPr="0090267E">
        <w:rPr>
          <w:rFonts w:ascii="Arial" w:hAnsi="Arial" w:cs="Arial"/>
          <w:sz w:val="23"/>
          <w:szCs w:val="23"/>
        </w:rPr>
        <w:t>la</w:t>
      </w:r>
      <w:r w:rsidRPr="0090267E">
        <w:rPr>
          <w:rFonts w:ascii="Arial" w:hAnsi="Arial" w:cs="Arial"/>
          <w:sz w:val="23"/>
          <w:szCs w:val="23"/>
        </w:rPr>
        <w:t xml:space="preserve"> participación </w:t>
      </w:r>
      <w:r w:rsidR="002E424F" w:rsidRPr="0090267E">
        <w:rPr>
          <w:rFonts w:ascii="Arial" w:hAnsi="Arial" w:cs="Arial"/>
          <w:sz w:val="23"/>
          <w:szCs w:val="23"/>
        </w:rPr>
        <w:t xml:space="preserve">de Lenin de la Rosa Sánchez y Adelina de la Rosa Falcón </w:t>
      </w:r>
      <w:r w:rsidRPr="0090267E">
        <w:rPr>
          <w:rFonts w:ascii="Arial" w:hAnsi="Arial" w:cs="Arial"/>
          <w:sz w:val="23"/>
          <w:szCs w:val="23"/>
        </w:rPr>
        <w:t>para el Proceso Electoral Local Ordinario 2023-2024, por el que se renovará el Poder Ejecutivo, la Legislatura Local y las Presidencias Municipales y Regidurías en el Estado de Tabasco. Lo que hago de su conocimiento, para los efectos legales conducentes.</w:t>
      </w:r>
    </w:p>
    <w:p w14:paraId="1D7D8642" w14:textId="37F97364" w:rsidR="002348B0" w:rsidRDefault="002348B0" w:rsidP="002348B0">
      <w:pPr>
        <w:spacing w:before="240" w:after="240" w:line="300" w:lineRule="auto"/>
        <w:jc w:val="both"/>
        <w:rPr>
          <w:rFonts w:ascii="Arial" w:hAnsi="Arial" w:cs="Arial"/>
          <w:sz w:val="23"/>
          <w:szCs w:val="23"/>
        </w:rPr>
      </w:pPr>
      <w:r w:rsidRPr="0090267E">
        <w:rPr>
          <w:rFonts w:ascii="Arial" w:hAnsi="Arial" w:cs="Arial"/>
          <w:sz w:val="23"/>
          <w:szCs w:val="23"/>
        </w:rPr>
        <w:t>Sobre la base de las consideraciones señaladas, este Consejo Estatal emite el siguiente:</w:t>
      </w:r>
    </w:p>
    <w:p w14:paraId="314F8B2D" w14:textId="73E265B6" w:rsidR="002348B0" w:rsidRPr="0090267E" w:rsidRDefault="00131A9E" w:rsidP="003A1FB1">
      <w:pPr>
        <w:pStyle w:val="Ttulo1"/>
        <w:rPr>
          <w:rFonts w:ascii="Arial" w:hAnsi="Arial" w:cs="Arial"/>
          <w:sz w:val="24"/>
          <w:szCs w:val="24"/>
        </w:rPr>
      </w:pPr>
      <w:r>
        <w:rPr>
          <w:rFonts w:ascii="Arial" w:hAnsi="Arial" w:cs="Arial"/>
          <w:sz w:val="24"/>
          <w:szCs w:val="24"/>
        </w:rPr>
        <w:lastRenderedPageBreak/>
        <w:t xml:space="preserve">3 </w:t>
      </w:r>
      <w:r w:rsidR="00002AEC" w:rsidRPr="0090267E">
        <w:rPr>
          <w:rFonts w:ascii="Arial" w:hAnsi="Arial" w:cs="Arial"/>
          <w:sz w:val="24"/>
          <w:szCs w:val="24"/>
        </w:rPr>
        <w:t>Acuerdo</w:t>
      </w:r>
    </w:p>
    <w:p w14:paraId="63570249" w14:textId="28D53F9F" w:rsidR="00341456" w:rsidRPr="0090267E" w:rsidRDefault="00324CE4" w:rsidP="00341456">
      <w:pPr>
        <w:spacing w:before="240" w:after="240" w:line="300" w:lineRule="auto"/>
        <w:jc w:val="both"/>
        <w:rPr>
          <w:rFonts w:ascii="Arial" w:hAnsi="Arial" w:cs="Arial"/>
          <w:sz w:val="23"/>
          <w:szCs w:val="23"/>
        </w:rPr>
      </w:pPr>
      <w:r w:rsidRPr="0090267E">
        <w:rPr>
          <w:rFonts w:ascii="Arial" w:hAnsi="Arial" w:cs="Arial"/>
          <w:b/>
          <w:sz w:val="23"/>
          <w:szCs w:val="23"/>
        </w:rPr>
        <w:t xml:space="preserve">Primero. </w:t>
      </w:r>
      <w:r w:rsidR="00341456" w:rsidRPr="0090267E">
        <w:rPr>
          <w:rFonts w:ascii="Arial" w:hAnsi="Arial" w:cs="Arial"/>
          <w:sz w:val="23"/>
          <w:szCs w:val="23"/>
        </w:rPr>
        <w:t xml:space="preserve">Se declaran improcedentes las solicitudes de Lenin de la Rosa Sánchez, </w:t>
      </w:r>
      <w:proofErr w:type="spellStart"/>
      <w:r w:rsidR="00341456" w:rsidRPr="0090267E">
        <w:rPr>
          <w:rFonts w:ascii="Arial" w:hAnsi="Arial" w:cs="Arial"/>
          <w:sz w:val="23"/>
          <w:szCs w:val="23"/>
        </w:rPr>
        <w:t>Evelsaín</w:t>
      </w:r>
      <w:proofErr w:type="spellEnd"/>
      <w:r w:rsidR="00341456" w:rsidRPr="0090267E">
        <w:rPr>
          <w:rFonts w:ascii="Arial" w:hAnsi="Arial" w:cs="Arial"/>
          <w:sz w:val="23"/>
          <w:szCs w:val="23"/>
        </w:rPr>
        <w:t xml:space="preserve"> </w:t>
      </w:r>
      <w:proofErr w:type="spellStart"/>
      <w:r w:rsidR="00341456" w:rsidRPr="0090267E">
        <w:rPr>
          <w:rFonts w:ascii="Arial" w:hAnsi="Arial" w:cs="Arial"/>
          <w:sz w:val="23"/>
          <w:szCs w:val="23"/>
        </w:rPr>
        <w:t>Selván</w:t>
      </w:r>
      <w:proofErr w:type="spellEnd"/>
      <w:r w:rsidR="00341456" w:rsidRPr="0090267E">
        <w:rPr>
          <w:rFonts w:ascii="Arial" w:hAnsi="Arial" w:cs="Arial"/>
          <w:sz w:val="23"/>
          <w:szCs w:val="23"/>
        </w:rPr>
        <w:t xml:space="preserve"> </w:t>
      </w:r>
      <w:proofErr w:type="spellStart"/>
      <w:r w:rsidR="00341456" w:rsidRPr="0090267E">
        <w:rPr>
          <w:rFonts w:ascii="Arial" w:hAnsi="Arial" w:cs="Arial"/>
          <w:sz w:val="23"/>
          <w:szCs w:val="23"/>
        </w:rPr>
        <w:t>Selván</w:t>
      </w:r>
      <w:proofErr w:type="spellEnd"/>
      <w:r w:rsidR="00341456" w:rsidRPr="0090267E">
        <w:rPr>
          <w:rFonts w:ascii="Arial" w:hAnsi="Arial" w:cs="Arial"/>
          <w:sz w:val="23"/>
          <w:szCs w:val="23"/>
        </w:rPr>
        <w:t xml:space="preserve"> y Adelina de la Rosa Falcón formuladas mediante escritos de 23 y 24 de abril de la presente anualidad, respectivamente, relativas a participar en el Proceso Electoral Local Ordinario 2023 – 2024.</w:t>
      </w:r>
    </w:p>
    <w:p w14:paraId="7EC72A43"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b/>
          <w:bCs/>
          <w:sz w:val="23"/>
          <w:szCs w:val="23"/>
        </w:rPr>
        <w:t>Segundo.</w:t>
      </w:r>
      <w:r w:rsidRPr="0090267E">
        <w:rPr>
          <w:rFonts w:ascii="Arial" w:hAnsi="Arial" w:cs="Arial"/>
          <w:sz w:val="23"/>
          <w:szCs w:val="23"/>
        </w:rPr>
        <w:t xml:space="preserve"> Se instruye a la Secretaría Ejecutiva notifique al interesado el contenido del presente acuerdo.</w:t>
      </w:r>
    </w:p>
    <w:p w14:paraId="39AD4FD7" w14:textId="77777777" w:rsidR="002348B0" w:rsidRPr="0090267E" w:rsidRDefault="002348B0" w:rsidP="002348B0">
      <w:pPr>
        <w:spacing w:before="240" w:after="240" w:line="300" w:lineRule="auto"/>
        <w:jc w:val="both"/>
        <w:rPr>
          <w:rFonts w:ascii="Arial" w:hAnsi="Arial" w:cs="Arial"/>
          <w:sz w:val="23"/>
          <w:szCs w:val="23"/>
        </w:rPr>
      </w:pPr>
      <w:r w:rsidRPr="0090267E">
        <w:rPr>
          <w:rFonts w:ascii="Arial" w:hAnsi="Arial" w:cs="Arial"/>
          <w:b/>
          <w:bCs/>
          <w:sz w:val="23"/>
          <w:szCs w:val="23"/>
        </w:rPr>
        <w:t>Tercero.</w:t>
      </w:r>
      <w:r w:rsidRPr="0090267E">
        <w:rPr>
          <w:rFonts w:ascii="Arial" w:hAnsi="Arial" w:cs="Arial"/>
          <w:sz w:val="23"/>
          <w:szCs w:val="23"/>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D27F524" w14:textId="03A43EC3" w:rsidR="00F954D3" w:rsidRPr="0090267E" w:rsidRDefault="002348B0" w:rsidP="002348B0">
      <w:pPr>
        <w:spacing w:before="240" w:after="240" w:line="300" w:lineRule="auto"/>
        <w:jc w:val="both"/>
        <w:rPr>
          <w:rFonts w:ascii="Arial" w:hAnsi="Arial" w:cs="Arial"/>
          <w:sz w:val="23"/>
          <w:szCs w:val="23"/>
        </w:rPr>
      </w:pPr>
      <w:r w:rsidRPr="0090267E">
        <w:rPr>
          <w:rFonts w:ascii="Arial" w:hAnsi="Arial" w:cs="Arial"/>
          <w:b/>
          <w:bCs/>
          <w:sz w:val="23"/>
          <w:szCs w:val="23"/>
        </w:rPr>
        <w:t>Cuarto.</w:t>
      </w:r>
      <w:r w:rsidRPr="0090267E">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42A77DDA" w14:textId="4269A1FE" w:rsidR="00C66E69" w:rsidRPr="0090267E" w:rsidRDefault="00C66E69" w:rsidP="0090267E">
      <w:pPr>
        <w:spacing w:before="240" w:after="240" w:line="300" w:lineRule="auto"/>
        <w:jc w:val="both"/>
        <w:rPr>
          <w:rFonts w:ascii="Arial" w:hAnsi="Arial" w:cs="Arial"/>
          <w:sz w:val="23"/>
          <w:szCs w:val="23"/>
        </w:rPr>
      </w:pPr>
      <w:r w:rsidRPr="0090267E">
        <w:rPr>
          <w:rFonts w:ascii="Arial" w:hAnsi="Arial" w:cs="Arial"/>
          <w:sz w:val="23"/>
          <w:szCs w:val="23"/>
        </w:rPr>
        <w:t>El presente acuerdo fue</w:t>
      </w:r>
      <w:r w:rsidR="0090267E">
        <w:rPr>
          <w:rFonts w:ascii="Arial" w:hAnsi="Arial" w:cs="Arial"/>
          <w:sz w:val="23"/>
          <w:szCs w:val="23"/>
        </w:rPr>
        <w:t xml:space="preserve"> aprobado</w:t>
      </w:r>
      <w:r w:rsidRPr="0090267E">
        <w:rPr>
          <w:rFonts w:ascii="Arial" w:hAnsi="Arial" w:cs="Arial"/>
          <w:sz w:val="23"/>
          <w:szCs w:val="23"/>
        </w:rPr>
        <w:t xml:space="preserve"> en sesión </w:t>
      </w:r>
      <w:r w:rsidR="0090267E">
        <w:rPr>
          <w:rFonts w:ascii="Arial" w:hAnsi="Arial" w:cs="Arial"/>
          <w:sz w:val="23"/>
          <w:szCs w:val="23"/>
        </w:rPr>
        <w:t>extraordinaria</w:t>
      </w:r>
      <w:r w:rsidR="003C7811">
        <w:rPr>
          <w:rFonts w:ascii="Arial" w:hAnsi="Arial" w:cs="Arial"/>
          <w:sz w:val="23"/>
          <w:szCs w:val="23"/>
        </w:rPr>
        <w:t xml:space="preserve"> urgente</w:t>
      </w:r>
      <w:r w:rsidRPr="0090267E">
        <w:rPr>
          <w:rFonts w:ascii="Arial" w:hAnsi="Arial" w:cs="Arial"/>
          <w:sz w:val="23"/>
          <w:szCs w:val="23"/>
        </w:rPr>
        <w:t xml:space="preserve"> efectuada el</w:t>
      </w:r>
      <w:r w:rsidR="0090267E">
        <w:rPr>
          <w:rFonts w:ascii="Arial" w:hAnsi="Arial" w:cs="Arial"/>
          <w:sz w:val="23"/>
          <w:szCs w:val="23"/>
        </w:rPr>
        <w:t xml:space="preserve"> día dos</w:t>
      </w:r>
      <w:r w:rsidRPr="0090267E">
        <w:rPr>
          <w:rFonts w:ascii="Arial" w:hAnsi="Arial" w:cs="Arial"/>
          <w:sz w:val="23"/>
          <w:szCs w:val="23"/>
        </w:rPr>
        <w:t xml:space="preserve"> de </w:t>
      </w:r>
      <w:r w:rsidR="0090267E">
        <w:rPr>
          <w:rFonts w:ascii="Arial" w:hAnsi="Arial" w:cs="Arial"/>
          <w:sz w:val="23"/>
          <w:szCs w:val="23"/>
        </w:rPr>
        <w:t>mayo</w:t>
      </w:r>
      <w:r w:rsidRPr="0090267E">
        <w:rPr>
          <w:rFonts w:ascii="Arial" w:hAnsi="Arial" w:cs="Arial"/>
          <w:sz w:val="23"/>
          <w:szCs w:val="23"/>
        </w:rPr>
        <w:t xml:space="preserve"> del año dos mil veinticuatro, por </w:t>
      </w:r>
      <w:r w:rsidR="0090267E">
        <w:rPr>
          <w:rFonts w:ascii="Arial" w:hAnsi="Arial" w:cs="Arial"/>
          <w:sz w:val="23"/>
          <w:szCs w:val="23"/>
        </w:rPr>
        <w:t xml:space="preserve">mayoría de </w:t>
      </w:r>
      <w:r w:rsidRPr="0090267E">
        <w:rPr>
          <w:rFonts w:ascii="Arial" w:hAnsi="Arial" w:cs="Arial"/>
          <w:sz w:val="23"/>
          <w:szCs w:val="23"/>
        </w:rPr>
        <w:t>vot</w:t>
      </w:r>
      <w:r w:rsidR="0090267E">
        <w:rPr>
          <w:rFonts w:ascii="Arial" w:hAnsi="Arial" w:cs="Arial"/>
          <w:sz w:val="23"/>
          <w:szCs w:val="23"/>
        </w:rPr>
        <w:t xml:space="preserve">os </w:t>
      </w:r>
      <w:r w:rsidRPr="0090267E">
        <w:rPr>
          <w:rFonts w:ascii="Arial" w:hAnsi="Arial" w:cs="Arial"/>
          <w:sz w:val="23"/>
          <w:szCs w:val="23"/>
        </w:rPr>
        <w:t xml:space="preserve">de las y los Consejeros Electorales del Consejo Estatal del Instituto Electoral y de Participación Ciudadana de Tabasco: Dra. </w:t>
      </w:r>
      <w:proofErr w:type="spellStart"/>
      <w:r w:rsidRPr="0090267E">
        <w:rPr>
          <w:rFonts w:ascii="Arial" w:hAnsi="Arial" w:cs="Arial"/>
          <w:sz w:val="23"/>
          <w:szCs w:val="23"/>
        </w:rPr>
        <w:t>Rosselvy</w:t>
      </w:r>
      <w:proofErr w:type="spellEnd"/>
      <w:r w:rsidRPr="0090267E">
        <w:rPr>
          <w:rFonts w:ascii="Arial" w:hAnsi="Arial" w:cs="Arial"/>
          <w:sz w:val="23"/>
          <w:szCs w:val="23"/>
        </w:rPr>
        <w:t xml:space="preserve"> del Carmen Domínguez Arévalo, Licda. María Elvia Magaña Sandoval, Mtro. Juan Correa López, M.D. Víctor Humberto Mejía Naranjo, Lic. Hernán González Sala, la Consejera Presidenta, Mtra. Elizabeth Nava Gu</w:t>
      </w:r>
      <w:r w:rsidR="0090267E">
        <w:rPr>
          <w:rFonts w:ascii="Arial" w:hAnsi="Arial" w:cs="Arial"/>
          <w:sz w:val="23"/>
          <w:szCs w:val="23"/>
        </w:rPr>
        <w:t xml:space="preserve">tiérrez y con el voto </w:t>
      </w:r>
      <w:r w:rsidR="008D641F">
        <w:rPr>
          <w:rFonts w:ascii="Arial" w:hAnsi="Arial" w:cs="Arial"/>
          <w:sz w:val="23"/>
          <w:szCs w:val="23"/>
        </w:rPr>
        <w:t xml:space="preserve">en contra </w:t>
      </w:r>
      <w:r w:rsidR="0090267E">
        <w:rPr>
          <w:rFonts w:ascii="Arial" w:hAnsi="Arial" w:cs="Arial"/>
          <w:sz w:val="23"/>
          <w:szCs w:val="23"/>
        </w:rPr>
        <w:t xml:space="preserve">del Consejero Electoral </w:t>
      </w:r>
      <w:r w:rsidR="0090267E" w:rsidRPr="0090267E">
        <w:rPr>
          <w:rFonts w:ascii="Arial" w:hAnsi="Arial" w:cs="Arial"/>
          <w:sz w:val="23"/>
          <w:szCs w:val="23"/>
        </w:rPr>
        <w:t>Lic. Vladimir Hernández Venegas</w:t>
      </w:r>
    </w:p>
    <w:p w14:paraId="7AD22FF1" w14:textId="77777777" w:rsidR="00C66E69" w:rsidRPr="0090267E" w:rsidRDefault="00C66E69" w:rsidP="00C66E69">
      <w:pPr>
        <w:spacing w:before="240" w:after="240" w:line="300" w:lineRule="auto"/>
        <w:rPr>
          <w:rFonts w:ascii="Arial" w:hAnsi="Arial" w:cs="Arial"/>
          <w:sz w:val="23"/>
          <w:szCs w:val="23"/>
        </w:rPr>
      </w:pPr>
    </w:p>
    <w:p w14:paraId="6C861B9F" w14:textId="0348FA47" w:rsidR="00C66E69" w:rsidRDefault="00C66E69" w:rsidP="00C66E69">
      <w:pPr>
        <w:spacing w:before="240" w:after="240" w:line="300" w:lineRule="auto"/>
        <w:rPr>
          <w:rFonts w:ascii="Arial" w:hAnsi="Arial" w:cs="Arial"/>
          <w:sz w:val="23"/>
          <w:szCs w:val="23"/>
        </w:rPr>
      </w:pPr>
    </w:p>
    <w:tbl>
      <w:tblPr>
        <w:tblStyle w:val="Tablaconcuadrcula"/>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306"/>
        <w:gridCol w:w="4655"/>
      </w:tblGrid>
      <w:tr w:rsidR="00C66E69" w:rsidRPr="0090267E" w14:paraId="2A475A17" w14:textId="77777777" w:rsidTr="0090267E">
        <w:trPr>
          <w:trHeight w:val="1081"/>
        </w:trPr>
        <w:tc>
          <w:tcPr>
            <w:tcW w:w="4601" w:type="dxa"/>
          </w:tcPr>
          <w:p w14:paraId="6FDE9254" w14:textId="77777777" w:rsidR="00C66E69" w:rsidRPr="0090267E" w:rsidRDefault="00C66E69" w:rsidP="006E39ED">
            <w:pPr>
              <w:spacing w:line="300" w:lineRule="auto"/>
              <w:jc w:val="center"/>
              <w:rPr>
                <w:rFonts w:ascii="Arial" w:hAnsi="Arial" w:cs="Arial"/>
                <w:b/>
                <w:sz w:val="23"/>
                <w:szCs w:val="23"/>
              </w:rPr>
            </w:pPr>
            <w:r w:rsidRPr="0090267E">
              <w:rPr>
                <w:rFonts w:ascii="Arial" w:hAnsi="Arial" w:cs="Arial"/>
                <w:b/>
                <w:sz w:val="23"/>
                <w:szCs w:val="23"/>
              </w:rPr>
              <w:t>MTRA. ELIZABETH NAVA GUTIÉRREZ</w:t>
            </w:r>
          </w:p>
          <w:p w14:paraId="48A08C30" w14:textId="77777777" w:rsidR="00C66E69" w:rsidRPr="0090267E" w:rsidRDefault="00C66E69" w:rsidP="006E39ED">
            <w:pPr>
              <w:spacing w:line="300" w:lineRule="auto"/>
              <w:jc w:val="center"/>
              <w:rPr>
                <w:rFonts w:ascii="Arial" w:hAnsi="Arial" w:cs="Arial"/>
                <w:b/>
                <w:sz w:val="23"/>
                <w:szCs w:val="23"/>
              </w:rPr>
            </w:pPr>
            <w:r w:rsidRPr="0090267E">
              <w:rPr>
                <w:rFonts w:ascii="Arial" w:hAnsi="Arial" w:cs="Arial"/>
                <w:b/>
                <w:sz w:val="23"/>
                <w:szCs w:val="23"/>
              </w:rPr>
              <w:t>CONSEJERA PRESIDENTA</w:t>
            </w:r>
          </w:p>
        </w:tc>
        <w:tc>
          <w:tcPr>
            <w:tcW w:w="306" w:type="dxa"/>
          </w:tcPr>
          <w:p w14:paraId="522EE806" w14:textId="77777777" w:rsidR="00C66E69" w:rsidRPr="0090267E" w:rsidRDefault="00C66E69" w:rsidP="006E39ED">
            <w:pPr>
              <w:spacing w:line="300" w:lineRule="auto"/>
              <w:rPr>
                <w:rFonts w:ascii="Arial" w:hAnsi="Arial" w:cs="Arial"/>
                <w:b/>
                <w:sz w:val="23"/>
                <w:szCs w:val="23"/>
              </w:rPr>
            </w:pPr>
          </w:p>
        </w:tc>
        <w:tc>
          <w:tcPr>
            <w:tcW w:w="4655" w:type="dxa"/>
          </w:tcPr>
          <w:p w14:paraId="6C881F2B" w14:textId="77777777" w:rsidR="00C66E69" w:rsidRPr="0090267E" w:rsidRDefault="00C66E69" w:rsidP="006E39ED">
            <w:pPr>
              <w:spacing w:line="300" w:lineRule="auto"/>
              <w:jc w:val="center"/>
              <w:rPr>
                <w:rFonts w:ascii="Arial" w:hAnsi="Arial" w:cs="Arial"/>
                <w:b/>
                <w:sz w:val="23"/>
                <w:szCs w:val="23"/>
              </w:rPr>
            </w:pPr>
            <w:r w:rsidRPr="0090267E">
              <w:rPr>
                <w:rFonts w:ascii="Arial" w:hAnsi="Arial" w:cs="Arial"/>
                <w:b/>
                <w:sz w:val="23"/>
                <w:szCs w:val="23"/>
              </w:rPr>
              <w:t>LIC. JORGE ALBERTO ZAVALA FRÍAS</w:t>
            </w:r>
          </w:p>
          <w:p w14:paraId="3D20B187" w14:textId="77777777" w:rsidR="00C66E69" w:rsidRPr="0090267E" w:rsidRDefault="00C66E69" w:rsidP="006E39ED">
            <w:pPr>
              <w:spacing w:line="300" w:lineRule="auto"/>
              <w:jc w:val="center"/>
              <w:rPr>
                <w:rFonts w:ascii="Arial" w:hAnsi="Arial" w:cs="Arial"/>
                <w:b/>
                <w:sz w:val="23"/>
                <w:szCs w:val="23"/>
              </w:rPr>
            </w:pPr>
            <w:r w:rsidRPr="0090267E">
              <w:rPr>
                <w:rFonts w:ascii="Arial" w:hAnsi="Arial" w:cs="Arial"/>
                <w:b/>
                <w:sz w:val="23"/>
                <w:szCs w:val="23"/>
              </w:rPr>
              <w:t>SECRETARIO DEL CONSEJO</w:t>
            </w:r>
          </w:p>
        </w:tc>
      </w:tr>
    </w:tbl>
    <w:p w14:paraId="6CE90667" w14:textId="77777777" w:rsidR="00C66E69" w:rsidRPr="0090267E" w:rsidRDefault="00C66E69" w:rsidP="002348B0">
      <w:pPr>
        <w:spacing w:before="240" w:after="240" w:line="300" w:lineRule="auto"/>
        <w:jc w:val="both"/>
        <w:rPr>
          <w:rFonts w:ascii="Arial" w:hAnsi="Arial" w:cs="Arial"/>
          <w:sz w:val="23"/>
          <w:szCs w:val="23"/>
        </w:rPr>
      </w:pPr>
    </w:p>
    <w:sectPr w:rsidR="00C66E69" w:rsidRPr="0090267E" w:rsidSect="0040232E">
      <w:headerReference w:type="default" r:id="rId6"/>
      <w:footerReference w:type="default" r:id="rId7"/>
      <w:pgSz w:w="12240" w:h="15840"/>
      <w:pgMar w:top="1417" w:right="146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4AE8F" w14:textId="77777777" w:rsidR="00854114" w:rsidRDefault="00854114" w:rsidP="00EF4C42">
      <w:pPr>
        <w:spacing w:after="0" w:line="240" w:lineRule="auto"/>
      </w:pPr>
      <w:r>
        <w:separator/>
      </w:r>
    </w:p>
  </w:endnote>
  <w:endnote w:type="continuationSeparator" w:id="0">
    <w:p w14:paraId="1F15CAB8" w14:textId="77777777" w:rsidR="00854114" w:rsidRDefault="00854114" w:rsidP="00EF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Exo">
    <w:altName w:val="Times New Roman"/>
    <w:charset w:val="00"/>
    <w:family w:val="auto"/>
    <w:pitch w:val="variable"/>
    <w:sig w:usb0="A00000E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968402038"/>
      <w:docPartObj>
        <w:docPartGallery w:val="Page Numbers (Top of Page)"/>
        <w:docPartUnique/>
      </w:docPartObj>
    </w:sdtPr>
    <w:sdtEndPr/>
    <w:sdtContent>
      <w:p w14:paraId="482C82AB" w14:textId="0DB21D7A" w:rsidR="00A878FF" w:rsidRPr="00A878FF" w:rsidRDefault="00A878FF" w:rsidP="00A878FF">
        <w:pPr>
          <w:pStyle w:val="Piedepgina"/>
          <w:jc w:val="right"/>
          <w:rPr>
            <w:rFonts w:cs="Arial"/>
            <w:color w:val="993366"/>
            <w:sz w:val="20"/>
            <w:szCs w:val="20"/>
          </w:rPr>
        </w:pPr>
        <w:r w:rsidRPr="00C87D51">
          <w:rPr>
            <w:rFonts w:cs="Arial"/>
            <w:b/>
            <w:bCs/>
            <w:color w:val="993366"/>
          </w:rPr>
          <w:t xml:space="preserve">Página </w:t>
        </w:r>
        <w:r w:rsidRPr="00C87D51">
          <w:rPr>
            <w:rFonts w:cs="Arial"/>
            <w:b/>
            <w:bCs/>
            <w:color w:val="993366"/>
          </w:rPr>
          <w:fldChar w:fldCharType="begin"/>
        </w:r>
        <w:r w:rsidRPr="00C87D51">
          <w:rPr>
            <w:rFonts w:cs="Arial"/>
            <w:b/>
            <w:bCs/>
            <w:color w:val="993366"/>
          </w:rPr>
          <w:instrText>PAGE</w:instrText>
        </w:r>
        <w:r w:rsidRPr="00C87D51">
          <w:rPr>
            <w:rFonts w:cs="Arial"/>
            <w:b/>
            <w:bCs/>
            <w:color w:val="993366"/>
          </w:rPr>
          <w:fldChar w:fldCharType="separate"/>
        </w:r>
        <w:r w:rsidR="00C25A66">
          <w:rPr>
            <w:rFonts w:cs="Arial"/>
            <w:b/>
            <w:bCs/>
            <w:noProof/>
            <w:color w:val="993366"/>
          </w:rPr>
          <w:t>10</w:t>
        </w:r>
        <w:r w:rsidRPr="00C87D51">
          <w:rPr>
            <w:rFonts w:cs="Arial"/>
            <w:b/>
            <w:bCs/>
            <w:color w:val="993366"/>
          </w:rPr>
          <w:fldChar w:fldCharType="end"/>
        </w:r>
        <w:r w:rsidRPr="00C87D51">
          <w:rPr>
            <w:rFonts w:cs="Arial"/>
            <w:b/>
            <w:bCs/>
            <w:color w:val="993366"/>
          </w:rPr>
          <w:t xml:space="preserve"> | </w:t>
        </w:r>
        <w:r w:rsidRPr="00C87D51">
          <w:rPr>
            <w:rFonts w:cs="Arial"/>
            <w:b/>
            <w:bCs/>
            <w:color w:val="993366"/>
          </w:rPr>
          <w:fldChar w:fldCharType="begin"/>
        </w:r>
        <w:r w:rsidRPr="00C87D51">
          <w:rPr>
            <w:rFonts w:cs="Arial"/>
            <w:b/>
            <w:bCs/>
            <w:color w:val="993366"/>
          </w:rPr>
          <w:instrText>NUMPAGES</w:instrText>
        </w:r>
        <w:r w:rsidRPr="00C87D51">
          <w:rPr>
            <w:rFonts w:cs="Arial"/>
            <w:b/>
            <w:bCs/>
            <w:color w:val="993366"/>
          </w:rPr>
          <w:fldChar w:fldCharType="separate"/>
        </w:r>
        <w:r w:rsidR="00C25A66">
          <w:rPr>
            <w:rFonts w:cs="Arial"/>
            <w:b/>
            <w:bCs/>
            <w:noProof/>
            <w:color w:val="993366"/>
          </w:rPr>
          <w:t>10</w:t>
        </w:r>
        <w:r w:rsidRPr="00C87D51">
          <w:rPr>
            <w:rFonts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E18B9" w14:textId="77777777" w:rsidR="00854114" w:rsidRDefault="00854114" w:rsidP="00EF4C42">
      <w:pPr>
        <w:spacing w:after="0" w:line="240" w:lineRule="auto"/>
      </w:pPr>
      <w:r>
        <w:separator/>
      </w:r>
    </w:p>
  </w:footnote>
  <w:footnote w:type="continuationSeparator" w:id="0">
    <w:p w14:paraId="70CA2293" w14:textId="77777777" w:rsidR="00854114" w:rsidRDefault="00854114" w:rsidP="00EF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EF4C42" w:rsidRPr="00063338" w14:paraId="17089EFA" w14:textId="77777777" w:rsidTr="006E39ED">
      <w:tc>
        <w:tcPr>
          <w:tcW w:w="1418" w:type="dxa"/>
        </w:tcPr>
        <w:p w14:paraId="608C0B1C" w14:textId="77777777" w:rsidR="00EF4C42" w:rsidRPr="00063338" w:rsidRDefault="00EF4C42" w:rsidP="00EF4C42">
          <w:pPr>
            <w:pStyle w:val="Encabezado"/>
            <w:ind w:left="-170"/>
          </w:pPr>
          <w:r>
            <w:rPr>
              <w:b/>
              <w:noProof/>
              <w:sz w:val="32"/>
              <w:lang w:eastAsia="es-MX"/>
            </w:rPr>
            <w:drawing>
              <wp:inline distT="0" distB="0" distL="0" distR="0" wp14:anchorId="40C78E59" wp14:editId="42ACC8A5">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7931E57" w14:textId="77777777" w:rsidR="00EF4C42" w:rsidRPr="00FA6047" w:rsidRDefault="00EF4C42" w:rsidP="00EF4C42">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1FFE265" w14:textId="77777777" w:rsidR="00EF4C42" w:rsidRPr="00063338" w:rsidRDefault="00EF4C42" w:rsidP="00EF4C42">
          <w:pPr>
            <w:pStyle w:val="Encabezado"/>
            <w:jc w:val="center"/>
          </w:pPr>
          <w:r w:rsidRPr="00FA6047">
            <w:rPr>
              <w:rFonts w:ascii="Arial" w:hAnsi="Arial" w:cs="Arial"/>
              <w:sz w:val="26"/>
              <w:szCs w:val="26"/>
            </w:rPr>
            <w:t>CONSEJO ESTATAL</w:t>
          </w:r>
        </w:p>
      </w:tc>
      <w:tc>
        <w:tcPr>
          <w:tcW w:w="1701" w:type="dxa"/>
        </w:tcPr>
        <w:p w14:paraId="309D2106" w14:textId="77777777" w:rsidR="00EF4C42" w:rsidRPr="00063338" w:rsidRDefault="00EF4C42" w:rsidP="00EF4C42">
          <w:pPr>
            <w:pStyle w:val="Encabezado"/>
            <w:spacing w:before="480"/>
          </w:pPr>
          <w:r>
            <w:rPr>
              <w:noProof/>
              <w:lang w:eastAsia="es-MX"/>
            </w:rPr>
            <w:drawing>
              <wp:inline distT="0" distB="0" distL="0" distR="0" wp14:anchorId="799A3363" wp14:editId="2BB247D0">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0F07AC5" w14:textId="13CE1518" w:rsidR="00EF4C42" w:rsidRDefault="0090267E" w:rsidP="0090267E">
    <w:pPr>
      <w:pStyle w:val="Encabezado"/>
      <w:jc w:val="right"/>
      <w:rPr>
        <w:rFonts w:ascii="Arial" w:hAnsi="Arial" w:cs="Arial"/>
        <w:b/>
      </w:rPr>
    </w:pPr>
    <w:r w:rsidRPr="0090267E">
      <w:rPr>
        <w:rFonts w:ascii="Arial" w:hAnsi="Arial" w:cs="Arial"/>
        <w:b/>
      </w:rPr>
      <w:t>CE/2024/059</w:t>
    </w:r>
  </w:p>
  <w:p w14:paraId="640BFD9A" w14:textId="77777777" w:rsidR="0040232E" w:rsidRPr="0090267E" w:rsidRDefault="0040232E" w:rsidP="0090267E">
    <w:pPr>
      <w:pStyle w:val="Encabezado"/>
      <w:jc w:val="right"/>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B0"/>
    <w:rsid w:val="00002AEC"/>
    <w:rsid w:val="00032385"/>
    <w:rsid w:val="00064EAE"/>
    <w:rsid w:val="000931A9"/>
    <w:rsid w:val="00131A9E"/>
    <w:rsid w:val="00160C8F"/>
    <w:rsid w:val="001C2814"/>
    <w:rsid w:val="002348B0"/>
    <w:rsid w:val="002E424F"/>
    <w:rsid w:val="0031168E"/>
    <w:rsid w:val="00324CE4"/>
    <w:rsid w:val="00341456"/>
    <w:rsid w:val="0039330E"/>
    <w:rsid w:val="003A1FB1"/>
    <w:rsid w:val="003A6471"/>
    <w:rsid w:val="003B072F"/>
    <w:rsid w:val="003C7811"/>
    <w:rsid w:val="003E5FCC"/>
    <w:rsid w:val="0040232E"/>
    <w:rsid w:val="004A547F"/>
    <w:rsid w:val="004D5527"/>
    <w:rsid w:val="004F2E5E"/>
    <w:rsid w:val="005510CB"/>
    <w:rsid w:val="00567597"/>
    <w:rsid w:val="005C5A9A"/>
    <w:rsid w:val="00675B76"/>
    <w:rsid w:val="00675D15"/>
    <w:rsid w:val="006978E1"/>
    <w:rsid w:val="006F04FA"/>
    <w:rsid w:val="006F2AFD"/>
    <w:rsid w:val="0074156B"/>
    <w:rsid w:val="007D33DB"/>
    <w:rsid w:val="00814632"/>
    <w:rsid w:val="008261F6"/>
    <w:rsid w:val="00854114"/>
    <w:rsid w:val="00862E6F"/>
    <w:rsid w:val="008D641F"/>
    <w:rsid w:val="0090267E"/>
    <w:rsid w:val="009035A6"/>
    <w:rsid w:val="00920FC8"/>
    <w:rsid w:val="0095104D"/>
    <w:rsid w:val="009D718A"/>
    <w:rsid w:val="00A04F04"/>
    <w:rsid w:val="00A14876"/>
    <w:rsid w:val="00A63D43"/>
    <w:rsid w:val="00A878FF"/>
    <w:rsid w:val="00AE1C08"/>
    <w:rsid w:val="00AF2C93"/>
    <w:rsid w:val="00B12DDF"/>
    <w:rsid w:val="00B43BA1"/>
    <w:rsid w:val="00B56110"/>
    <w:rsid w:val="00B66221"/>
    <w:rsid w:val="00BB7ACC"/>
    <w:rsid w:val="00C25A66"/>
    <w:rsid w:val="00C4353E"/>
    <w:rsid w:val="00C510E5"/>
    <w:rsid w:val="00C66E69"/>
    <w:rsid w:val="00CE5015"/>
    <w:rsid w:val="00D24765"/>
    <w:rsid w:val="00D67ADE"/>
    <w:rsid w:val="00DE076F"/>
    <w:rsid w:val="00E4030B"/>
    <w:rsid w:val="00E67E7F"/>
    <w:rsid w:val="00ED7B84"/>
    <w:rsid w:val="00EF4C42"/>
    <w:rsid w:val="00EF7114"/>
    <w:rsid w:val="00F05FD7"/>
    <w:rsid w:val="00F47CDB"/>
    <w:rsid w:val="00F50A1E"/>
    <w:rsid w:val="00F954D3"/>
    <w:rsid w:val="00FF18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0A87"/>
  <w15:chartTrackingRefBased/>
  <w15:docId w15:val="{B98E8A1F-DBE2-441A-AEF7-F5681062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48B0"/>
    <w:pPr>
      <w:spacing w:before="600" w:after="240" w:line="300" w:lineRule="auto"/>
      <w:jc w:val="center"/>
      <w:outlineLvl w:val="0"/>
    </w:pPr>
    <w:rPr>
      <w:rFonts w:ascii="Exo" w:hAnsi="Exo"/>
      <w:b/>
      <w:bCs/>
      <w:sz w:val="28"/>
      <w:szCs w:val="28"/>
    </w:rPr>
  </w:style>
  <w:style w:type="paragraph" w:styleId="Ttulo2">
    <w:name w:val="heading 2"/>
    <w:basedOn w:val="Normal"/>
    <w:next w:val="Normal"/>
    <w:link w:val="Ttulo2Car"/>
    <w:uiPriority w:val="9"/>
    <w:unhideWhenUsed/>
    <w:qFormat/>
    <w:rsid w:val="002348B0"/>
    <w:pPr>
      <w:spacing w:before="480" w:after="240" w:line="300" w:lineRule="auto"/>
      <w:jc w:val="both"/>
      <w:outlineLvl w:val="1"/>
    </w:pPr>
    <w:rPr>
      <w:rFonts w:ascii="Exo" w:hAnsi="Exo"/>
      <w:b/>
      <w:bCs/>
    </w:rPr>
  </w:style>
  <w:style w:type="paragraph" w:styleId="Ttulo3">
    <w:name w:val="heading 3"/>
    <w:basedOn w:val="Normal"/>
    <w:next w:val="Normal"/>
    <w:link w:val="Ttulo3Car"/>
    <w:uiPriority w:val="9"/>
    <w:semiHidden/>
    <w:unhideWhenUsed/>
    <w:qFormat/>
    <w:rsid w:val="002348B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48B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48B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48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48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48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48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48B0"/>
    <w:rPr>
      <w:rFonts w:ascii="Exo" w:hAnsi="Exo"/>
      <w:b/>
      <w:bCs/>
      <w:sz w:val="28"/>
      <w:szCs w:val="28"/>
    </w:rPr>
  </w:style>
  <w:style w:type="character" w:customStyle="1" w:styleId="Ttulo2Car">
    <w:name w:val="Título 2 Car"/>
    <w:basedOn w:val="Fuentedeprrafopredeter"/>
    <w:link w:val="Ttulo2"/>
    <w:uiPriority w:val="9"/>
    <w:rsid w:val="002348B0"/>
    <w:rPr>
      <w:rFonts w:ascii="Exo" w:hAnsi="Exo"/>
      <w:b/>
      <w:bCs/>
    </w:rPr>
  </w:style>
  <w:style w:type="character" w:customStyle="1" w:styleId="Ttulo3Car">
    <w:name w:val="Título 3 Car"/>
    <w:basedOn w:val="Fuentedeprrafopredeter"/>
    <w:link w:val="Ttulo3"/>
    <w:uiPriority w:val="9"/>
    <w:semiHidden/>
    <w:rsid w:val="002348B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48B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48B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48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48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48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48B0"/>
    <w:rPr>
      <w:rFonts w:eastAsiaTheme="majorEastAsia" w:cstheme="majorBidi"/>
      <w:color w:val="272727" w:themeColor="text1" w:themeTint="D8"/>
    </w:rPr>
  </w:style>
  <w:style w:type="paragraph" w:styleId="Ttulo">
    <w:name w:val="Title"/>
    <w:basedOn w:val="Normal"/>
    <w:next w:val="Normal"/>
    <w:link w:val="TtuloCar"/>
    <w:uiPriority w:val="10"/>
    <w:qFormat/>
    <w:rsid w:val="008261F6"/>
    <w:pPr>
      <w:spacing w:before="240" w:after="240" w:line="300" w:lineRule="auto"/>
      <w:jc w:val="both"/>
    </w:pPr>
    <w:rPr>
      <w:rFonts w:ascii="Exo" w:hAnsi="Exo"/>
      <w:b/>
      <w:bCs/>
    </w:rPr>
  </w:style>
  <w:style w:type="character" w:customStyle="1" w:styleId="TtuloCar">
    <w:name w:val="Título Car"/>
    <w:basedOn w:val="Fuentedeprrafopredeter"/>
    <w:link w:val="Ttulo"/>
    <w:uiPriority w:val="10"/>
    <w:rsid w:val="008261F6"/>
    <w:rPr>
      <w:rFonts w:ascii="Exo" w:hAnsi="Exo"/>
      <w:b/>
      <w:bCs/>
    </w:rPr>
  </w:style>
  <w:style w:type="paragraph" w:styleId="Subttulo">
    <w:name w:val="Subtitle"/>
    <w:basedOn w:val="Normal"/>
    <w:next w:val="Normal"/>
    <w:link w:val="SubttuloCar"/>
    <w:uiPriority w:val="11"/>
    <w:qFormat/>
    <w:rsid w:val="002348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48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48B0"/>
    <w:pPr>
      <w:spacing w:before="160"/>
      <w:jc w:val="center"/>
    </w:pPr>
    <w:rPr>
      <w:i/>
      <w:iCs/>
      <w:color w:val="404040" w:themeColor="text1" w:themeTint="BF"/>
    </w:rPr>
  </w:style>
  <w:style w:type="character" w:customStyle="1" w:styleId="CitaCar">
    <w:name w:val="Cita Car"/>
    <w:basedOn w:val="Fuentedeprrafopredeter"/>
    <w:link w:val="Cita"/>
    <w:uiPriority w:val="29"/>
    <w:rsid w:val="002348B0"/>
    <w:rPr>
      <w:i/>
      <w:iCs/>
      <w:color w:val="404040" w:themeColor="text1" w:themeTint="BF"/>
    </w:rPr>
  </w:style>
  <w:style w:type="paragraph" w:styleId="Prrafodelista">
    <w:name w:val="List Paragraph"/>
    <w:basedOn w:val="Normal"/>
    <w:uiPriority w:val="34"/>
    <w:qFormat/>
    <w:rsid w:val="002348B0"/>
    <w:pPr>
      <w:ind w:left="720"/>
      <w:contextualSpacing/>
    </w:pPr>
  </w:style>
  <w:style w:type="character" w:styleId="nfasisintenso">
    <w:name w:val="Intense Emphasis"/>
    <w:basedOn w:val="Fuentedeprrafopredeter"/>
    <w:uiPriority w:val="21"/>
    <w:qFormat/>
    <w:rsid w:val="002348B0"/>
    <w:rPr>
      <w:i/>
      <w:iCs/>
      <w:color w:val="0F4761" w:themeColor="accent1" w:themeShade="BF"/>
    </w:rPr>
  </w:style>
  <w:style w:type="paragraph" w:styleId="Citadestacada">
    <w:name w:val="Intense Quote"/>
    <w:basedOn w:val="Normal"/>
    <w:next w:val="Normal"/>
    <w:link w:val="CitadestacadaCar"/>
    <w:uiPriority w:val="30"/>
    <w:qFormat/>
    <w:rsid w:val="00234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48B0"/>
    <w:rPr>
      <w:i/>
      <w:iCs/>
      <w:color w:val="0F4761" w:themeColor="accent1" w:themeShade="BF"/>
    </w:rPr>
  </w:style>
  <w:style w:type="character" w:styleId="Referenciaintensa">
    <w:name w:val="Intense Reference"/>
    <w:basedOn w:val="Fuentedeprrafopredeter"/>
    <w:uiPriority w:val="32"/>
    <w:qFormat/>
    <w:rsid w:val="002348B0"/>
    <w:rPr>
      <w:b/>
      <w:bCs/>
      <w:smallCaps/>
      <w:color w:val="0F4761" w:themeColor="accent1" w:themeShade="BF"/>
      <w:spacing w:val="5"/>
    </w:rPr>
  </w:style>
  <w:style w:type="table" w:styleId="Tablaconcuadrcula">
    <w:name w:val="Table Grid"/>
    <w:basedOn w:val="Tablanormal"/>
    <w:uiPriority w:val="39"/>
    <w:rsid w:val="0023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4C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C42"/>
  </w:style>
  <w:style w:type="paragraph" w:styleId="Piedepgina">
    <w:name w:val="footer"/>
    <w:basedOn w:val="Normal"/>
    <w:link w:val="PiedepginaCar"/>
    <w:uiPriority w:val="99"/>
    <w:unhideWhenUsed/>
    <w:rsid w:val="00EF4C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C42"/>
  </w:style>
  <w:style w:type="paragraph" w:styleId="Textodeglobo">
    <w:name w:val="Balloon Text"/>
    <w:basedOn w:val="Normal"/>
    <w:link w:val="TextodegloboCar"/>
    <w:uiPriority w:val="99"/>
    <w:semiHidden/>
    <w:unhideWhenUsed/>
    <w:rsid w:val="004023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2990</Words>
  <Characters>16449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64</cp:revision>
  <cp:lastPrinted>2024-05-03T23:49:00Z</cp:lastPrinted>
  <dcterms:created xsi:type="dcterms:W3CDTF">2024-04-29T04:22:00Z</dcterms:created>
  <dcterms:modified xsi:type="dcterms:W3CDTF">2024-05-03T23:49:00Z</dcterms:modified>
</cp:coreProperties>
</file>