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683" w:rsidRPr="001D2B2B" w:rsidRDefault="000E2683" w:rsidP="000E2683">
      <w:pPr>
        <w:spacing w:after="0"/>
        <w:jc w:val="center"/>
        <w:rPr>
          <w:rFonts w:ascii="Arial" w:hAnsi="Arial" w:cs="Arial"/>
          <w:b/>
          <w:sz w:val="24"/>
          <w:szCs w:val="24"/>
        </w:rPr>
      </w:pPr>
      <w:r w:rsidRPr="001D2B2B">
        <w:rPr>
          <w:rFonts w:ascii="Arial" w:hAnsi="Arial" w:cs="Arial"/>
          <w:b/>
          <w:sz w:val="24"/>
          <w:szCs w:val="24"/>
        </w:rPr>
        <w:t xml:space="preserve">SESIÓN </w:t>
      </w:r>
      <w:r w:rsidR="001A1D87" w:rsidRPr="001D2B2B">
        <w:rPr>
          <w:rFonts w:ascii="Arial" w:hAnsi="Arial" w:cs="Arial"/>
          <w:b/>
          <w:sz w:val="24"/>
          <w:szCs w:val="24"/>
        </w:rPr>
        <w:t>E</w:t>
      </w:r>
      <w:r w:rsidR="0030299B" w:rsidRPr="001D2B2B">
        <w:rPr>
          <w:rFonts w:ascii="Arial" w:hAnsi="Arial" w:cs="Arial"/>
          <w:b/>
          <w:sz w:val="24"/>
          <w:szCs w:val="24"/>
        </w:rPr>
        <w:t>XTRAORDINARIA URGENTE</w:t>
      </w:r>
    </w:p>
    <w:p w:rsidR="000E2683" w:rsidRPr="001D2B2B" w:rsidRDefault="001D2B2B" w:rsidP="000E2683">
      <w:pPr>
        <w:spacing w:after="0"/>
        <w:jc w:val="center"/>
        <w:rPr>
          <w:rFonts w:ascii="Arial" w:hAnsi="Arial" w:cs="Arial"/>
          <w:b/>
          <w:sz w:val="24"/>
          <w:szCs w:val="24"/>
        </w:rPr>
      </w:pPr>
      <w:r w:rsidRPr="001D2B2B">
        <w:rPr>
          <w:rFonts w:ascii="Arial" w:hAnsi="Arial" w:cs="Arial"/>
          <w:b/>
          <w:sz w:val="24"/>
          <w:szCs w:val="24"/>
        </w:rPr>
        <w:t>JUEVES</w:t>
      </w:r>
      <w:r w:rsidR="008F33A1" w:rsidRPr="001D2B2B">
        <w:rPr>
          <w:rFonts w:ascii="Arial" w:hAnsi="Arial" w:cs="Arial"/>
          <w:b/>
          <w:sz w:val="24"/>
          <w:szCs w:val="24"/>
        </w:rPr>
        <w:t>,</w:t>
      </w:r>
      <w:r w:rsidR="000E2683" w:rsidRPr="001D2B2B">
        <w:rPr>
          <w:rFonts w:ascii="Arial" w:hAnsi="Arial" w:cs="Arial"/>
          <w:b/>
          <w:sz w:val="24"/>
          <w:szCs w:val="24"/>
        </w:rPr>
        <w:t xml:space="preserve"> </w:t>
      </w:r>
      <w:r w:rsidRPr="001D2B2B">
        <w:rPr>
          <w:rFonts w:ascii="Arial" w:hAnsi="Arial" w:cs="Arial"/>
          <w:b/>
          <w:sz w:val="24"/>
          <w:szCs w:val="24"/>
        </w:rPr>
        <w:t>0</w:t>
      </w:r>
      <w:r w:rsidR="00F7135A" w:rsidRPr="001D2B2B">
        <w:rPr>
          <w:rFonts w:ascii="Arial" w:hAnsi="Arial" w:cs="Arial"/>
          <w:b/>
          <w:sz w:val="24"/>
          <w:szCs w:val="24"/>
        </w:rPr>
        <w:t>2</w:t>
      </w:r>
      <w:r w:rsidR="002715AC" w:rsidRPr="001D2B2B">
        <w:rPr>
          <w:rFonts w:ascii="Arial" w:hAnsi="Arial" w:cs="Arial"/>
          <w:b/>
          <w:sz w:val="24"/>
          <w:szCs w:val="24"/>
        </w:rPr>
        <w:t xml:space="preserve"> </w:t>
      </w:r>
      <w:r w:rsidR="008F33A1" w:rsidRPr="001D2B2B">
        <w:rPr>
          <w:rFonts w:ascii="Arial" w:hAnsi="Arial" w:cs="Arial"/>
          <w:b/>
          <w:sz w:val="24"/>
          <w:szCs w:val="24"/>
        </w:rPr>
        <w:t xml:space="preserve">DE </w:t>
      </w:r>
      <w:r w:rsidRPr="001D2B2B">
        <w:rPr>
          <w:rFonts w:ascii="Arial" w:hAnsi="Arial" w:cs="Arial"/>
          <w:b/>
          <w:sz w:val="24"/>
          <w:szCs w:val="24"/>
        </w:rPr>
        <w:t>MAYO</w:t>
      </w:r>
      <w:r w:rsidR="002715AC" w:rsidRPr="001D2B2B">
        <w:rPr>
          <w:rFonts w:ascii="Arial" w:hAnsi="Arial" w:cs="Arial"/>
          <w:b/>
          <w:sz w:val="24"/>
          <w:szCs w:val="24"/>
        </w:rPr>
        <w:t xml:space="preserve"> DE 2024</w:t>
      </w:r>
    </w:p>
    <w:p w:rsidR="001D2B2B" w:rsidRPr="001D2B2B" w:rsidRDefault="001D2B2B" w:rsidP="000E2683">
      <w:pPr>
        <w:spacing w:after="0"/>
        <w:jc w:val="center"/>
        <w:rPr>
          <w:rFonts w:ascii="Arial" w:hAnsi="Arial" w:cs="Arial"/>
          <w:b/>
          <w:sz w:val="24"/>
          <w:szCs w:val="24"/>
        </w:rPr>
      </w:pPr>
      <w:r w:rsidRPr="001D2B2B">
        <w:rPr>
          <w:rFonts w:ascii="Arial" w:hAnsi="Arial" w:cs="Arial"/>
          <w:b/>
          <w:sz w:val="24"/>
          <w:szCs w:val="24"/>
        </w:rPr>
        <w:t>18:00 HRS</w:t>
      </w:r>
    </w:p>
    <w:p w:rsidR="00C84009" w:rsidRDefault="00C84009" w:rsidP="000E2683">
      <w:pPr>
        <w:jc w:val="center"/>
        <w:rPr>
          <w:rFonts w:ascii="Arial" w:hAnsi="Arial" w:cs="Arial"/>
          <w:b/>
          <w:sz w:val="28"/>
          <w:szCs w:val="28"/>
        </w:rPr>
      </w:pPr>
      <w:bookmarkStart w:id="0" w:name="_GoBack"/>
      <w:bookmarkEnd w:id="0"/>
    </w:p>
    <w:p w:rsidR="000E2683" w:rsidRPr="001D2B2B" w:rsidRDefault="000E2683" w:rsidP="000E2683">
      <w:pPr>
        <w:jc w:val="center"/>
        <w:rPr>
          <w:rFonts w:ascii="Arial" w:hAnsi="Arial" w:cs="Arial"/>
          <w:b/>
          <w:sz w:val="24"/>
          <w:szCs w:val="28"/>
        </w:rPr>
      </w:pPr>
      <w:r w:rsidRPr="001D2B2B">
        <w:rPr>
          <w:rFonts w:ascii="Arial" w:hAnsi="Arial" w:cs="Arial"/>
          <w:b/>
          <w:sz w:val="24"/>
          <w:szCs w:val="28"/>
        </w:rPr>
        <w:t>ORDEN DEL DÍA</w:t>
      </w:r>
    </w:p>
    <w:p w:rsidR="00C0553F" w:rsidRDefault="00C0553F" w:rsidP="000E2683">
      <w:pPr>
        <w:jc w:val="center"/>
        <w:rPr>
          <w:rFonts w:ascii="Arial" w:hAnsi="Arial" w:cs="Arial"/>
          <w:b/>
          <w:sz w:val="24"/>
          <w:szCs w:val="24"/>
        </w:rPr>
      </w:pPr>
    </w:p>
    <w:p w:rsidR="00F7135A" w:rsidRPr="00916B51" w:rsidRDefault="00F7135A" w:rsidP="000E2683">
      <w:pPr>
        <w:jc w:val="center"/>
        <w:rPr>
          <w:rFonts w:ascii="Arial" w:hAnsi="Arial" w:cs="Arial"/>
          <w:b/>
          <w:sz w:val="24"/>
          <w:szCs w:val="24"/>
        </w:rPr>
      </w:pPr>
    </w:p>
    <w:p w:rsidR="000E2683" w:rsidRPr="001D2B2B" w:rsidRDefault="000E2683" w:rsidP="001D2B2B">
      <w:pPr>
        <w:pStyle w:val="Prrafodelista"/>
        <w:numPr>
          <w:ilvl w:val="0"/>
          <w:numId w:val="3"/>
        </w:numPr>
        <w:spacing w:before="240" w:after="240" w:line="276" w:lineRule="auto"/>
        <w:ind w:left="510" w:hanging="510"/>
        <w:contextualSpacing w:val="0"/>
        <w:jc w:val="both"/>
        <w:rPr>
          <w:rFonts w:ascii="Arial" w:hAnsi="Arial" w:cs="Arial"/>
          <w:sz w:val="21"/>
          <w:szCs w:val="21"/>
        </w:rPr>
      </w:pPr>
      <w:r w:rsidRPr="001D2B2B">
        <w:rPr>
          <w:rFonts w:ascii="Arial" w:hAnsi="Arial" w:cs="Arial"/>
          <w:sz w:val="21"/>
          <w:szCs w:val="21"/>
        </w:rPr>
        <w:t xml:space="preserve">Lista de asistencia; </w:t>
      </w:r>
    </w:p>
    <w:p w:rsidR="000E2683" w:rsidRPr="001D2B2B" w:rsidRDefault="000E2683" w:rsidP="001D2B2B">
      <w:pPr>
        <w:pStyle w:val="Prrafodelista"/>
        <w:numPr>
          <w:ilvl w:val="0"/>
          <w:numId w:val="3"/>
        </w:numPr>
        <w:spacing w:before="240" w:after="240" w:line="276" w:lineRule="auto"/>
        <w:ind w:left="510" w:hanging="510"/>
        <w:contextualSpacing w:val="0"/>
        <w:jc w:val="both"/>
        <w:rPr>
          <w:rFonts w:ascii="Arial" w:hAnsi="Arial" w:cs="Arial"/>
          <w:sz w:val="21"/>
          <w:szCs w:val="21"/>
        </w:rPr>
      </w:pPr>
      <w:r w:rsidRPr="001D2B2B">
        <w:rPr>
          <w:rFonts w:ascii="Arial" w:hAnsi="Arial" w:cs="Arial"/>
          <w:sz w:val="21"/>
          <w:szCs w:val="21"/>
        </w:rPr>
        <w:t xml:space="preserve">Declaración de quórum; </w:t>
      </w:r>
    </w:p>
    <w:p w:rsidR="008F33A1" w:rsidRPr="001D2B2B" w:rsidRDefault="008F33A1" w:rsidP="001D2B2B">
      <w:pPr>
        <w:pStyle w:val="Prrafodelista"/>
        <w:numPr>
          <w:ilvl w:val="0"/>
          <w:numId w:val="3"/>
        </w:numPr>
        <w:spacing w:before="240" w:after="240" w:line="300" w:lineRule="auto"/>
        <w:ind w:left="510" w:hanging="510"/>
        <w:contextualSpacing w:val="0"/>
        <w:jc w:val="both"/>
        <w:rPr>
          <w:rFonts w:ascii="Arial" w:hAnsi="Arial" w:cs="Arial"/>
          <w:sz w:val="21"/>
          <w:szCs w:val="21"/>
        </w:rPr>
      </w:pPr>
      <w:r w:rsidRPr="001D2B2B">
        <w:rPr>
          <w:rFonts w:ascii="Arial" w:hAnsi="Arial" w:cs="Arial"/>
          <w:sz w:val="21"/>
          <w:szCs w:val="21"/>
        </w:rPr>
        <w:t>Presentación y a</w:t>
      </w:r>
      <w:r w:rsidR="000E2683" w:rsidRPr="001D2B2B">
        <w:rPr>
          <w:rFonts w:ascii="Arial" w:hAnsi="Arial" w:cs="Arial"/>
          <w:sz w:val="21"/>
          <w:szCs w:val="21"/>
        </w:rPr>
        <w:t xml:space="preserve">probación </w:t>
      </w:r>
      <w:r w:rsidRPr="001D2B2B">
        <w:rPr>
          <w:rFonts w:ascii="Arial" w:hAnsi="Arial" w:cs="Arial"/>
          <w:sz w:val="21"/>
          <w:szCs w:val="21"/>
        </w:rPr>
        <w:t>en su caso</w:t>
      </w:r>
      <w:r w:rsidR="001B6465" w:rsidRPr="001D2B2B">
        <w:rPr>
          <w:rFonts w:ascii="Arial" w:hAnsi="Arial" w:cs="Arial"/>
          <w:sz w:val="21"/>
          <w:szCs w:val="21"/>
        </w:rPr>
        <w:t>,</w:t>
      </w:r>
      <w:r w:rsidRPr="001D2B2B">
        <w:rPr>
          <w:rFonts w:ascii="Arial" w:hAnsi="Arial" w:cs="Arial"/>
          <w:sz w:val="21"/>
          <w:szCs w:val="21"/>
        </w:rPr>
        <w:t xml:space="preserve"> </w:t>
      </w:r>
      <w:r w:rsidR="000E2683" w:rsidRPr="001D2B2B">
        <w:rPr>
          <w:rFonts w:ascii="Arial" w:hAnsi="Arial" w:cs="Arial"/>
          <w:sz w:val="21"/>
          <w:szCs w:val="21"/>
        </w:rPr>
        <w:t>del orden del día;</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 xml:space="preserve">Presentación y aprobación en su caso, del proyecto de acuerdo que emite el Consejo Estatal del Instituto Electoral y de Participación Ciudadana de Tabasco, mediante el cual da respuesta a los escritos presentados por los ciudadanos Lenin de la Rosa Sánchez, </w:t>
      </w:r>
      <w:proofErr w:type="spellStart"/>
      <w:r w:rsidRPr="001D2B2B">
        <w:rPr>
          <w:rFonts w:ascii="Arial" w:hAnsi="Arial" w:cs="Arial"/>
          <w:sz w:val="21"/>
          <w:szCs w:val="21"/>
          <w:lang w:val="es-ES"/>
        </w:rPr>
        <w:t>Evelsaín</w:t>
      </w:r>
      <w:proofErr w:type="spellEnd"/>
      <w:r w:rsidRPr="001D2B2B">
        <w:rPr>
          <w:rFonts w:ascii="Arial" w:hAnsi="Arial" w:cs="Arial"/>
          <w:sz w:val="21"/>
          <w:szCs w:val="21"/>
          <w:lang w:val="es-ES"/>
        </w:rPr>
        <w:t xml:space="preserve"> </w:t>
      </w:r>
      <w:proofErr w:type="spellStart"/>
      <w:r w:rsidRPr="001D2B2B">
        <w:rPr>
          <w:rFonts w:ascii="Arial" w:hAnsi="Arial" w:cs="Arial"/>
          <w:sz w:val="21"/>
          <w:szCs w:val="21"/>
          <w:lang w:val="es-ES"/>
        </w:rPr>
        <w:t>Selván</w:t>
      </w:r>
      <w:proofErr w:type="spellEnd"/>
      <w:r w:rsidRPr="001D2B2B">
        <w:rPr>
          <w:rFonts w:ascii="Arial" w:hAnsi="Arial" w:cs="Arial"/>
          <w:sz w:val="21"/>
          <w:szCs w:val="21"/>
          <w:lang w:val="es-ES"/>
        </w:rPr>
        <w:t xml:space="preserve"> </w:t>
      </w:r>
      <w:proofErr w:type="spellStart"/>
      <w:r w:rsidRPr="001D2B2B">
        <w:rPr>
          <w:rFonts w:ascii="Arial" w:hAnsi="Arial" w:cs="Arial"/>
          <w:sz w:val="21"/>
          <w:szCs w:val="21"/>
          <w:lang w:val="es-ES"/>
        </w:rPr>
        <w:t>Selván</w:t>
      </w:r>
      <w:proofErr w:type="spellEnd"/>
      <w:r w:rsidRPr="001D2B2B">
        <w:rPr>
          <w:rFonts w:ascii="Arial" w:hAnsi="Arial" w:cs="Arial"/>
          <w:sz w:val="21"/>
          <w:szCs w:val="21"/>
          <w:lang w:val="es-ES"/>
        </w:rPr>
        <w:t xml:space="preserve"> y Adelina de la Rosa Falcón, por el que dan aviso de su participación como candidatos ciudadanos con motivo del proceso electoral local ordinario 2023 – 2024;</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Presentación y aprobación en su caso, del proyecto de acuerdo que emite el Consejo Estatal del Instituto Electoral y de Participación Ciudadana de Tabasco, respecto a la procedencia de la solicitud de sustitución de candidaturas para las diputaciones por el principio de mayoría relativa formulada por el Partido de la Revolución Democrática en el Proceso Electoral Local Ordinario 2023 – 2024;</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Presentación y aprobación en su caso, del proyecto de acuerdo que emite el Consejo Estatal del Instituto Electoral y de Participación Ciudadana de Tabasco, mediante el cual sustituye a las Consejerías Electorales Distritales vacantes en el Proceso Electoral Local Ordinario 2023 – 2024</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Presentación y aprobación en su caso, del proyecto de acuerdo que, a propuesta de la Comisión Permanente de Organización Electoral y Educación Cívica, emite el Consejo Estatal del Instituto Electoral y de Participación Ciudadana de Tabasco, mediante el cual aprueba el Manual de supervisión del proceso de producción de la documentación y material electoral, así como del control de calidad del producto terminado para el Proceso Electoral Local Ordinario 2023-2024;</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 xml:space="preserve">Presentación y aprobación en su caso, del proyecto de acuerdo que emite el Consejo Estatal del Instituto Electoral y de Participación Ciudadana de Tabasco, mediante el cual aprueba el </w:t>
      </w:r>
      <w:r w:rsidRPr="001D2B2B">
        <w:rPr>
          <w:rFonts w:ascii="Arial" w:hAnsi="Arial" w:cs="Arial"/>
          <w:sz w:val="21"/>
          <w:szCs w:val="21"/>
          <w:lang w:val="es-ES"/>
        </w:rPr>
        <w:lastRenderedPageBreak/>
        <w:t>procedimiento para la recepción de los expedientes de las elecciones locales relacionados con el voto anticipado y su traslado a los Consejos Electorales Distritales con motivo del Proceso Electoral Local Ordinario 2023 – 2024;</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 xml:space="preserve">Presentación y aprobación en su caso, de los proyectos de resolución de los recursos de revisión: </w:t>
      </w:r>
    </w:p>
    <w:p w:rsidR="001D2B2B" w:rsidRPr="001D2B2B" w:rsidRDefault="001D2B2B" w:rsidP="001D2B2B">
      <w:pPr>
        <w:pStyle w:val="Prrafodelista"/>
        <w:numPr>
          <w:ilvl w:val="1"/>
          <w:numId w:val="3"/>
        </w:numPr>
        <w:spacing w:before="240" w:after="240" w:line="300" w:lineRule="auto"/>
        <w:ind w:left="1134" w:hanging="567"/>
        <w:contextualSpacing w:val="0"/>
        <w:jc w:val="both"/>
        <w:rPr>
          <w:rFonts w:ascii="Arial" w:hAnsi="Arial" w:cs="Arial"/>
          <w:sz w:val="21"/>
          <w:szCs w:val="21"/>
          <w:lang w:val="es-ES"/>
        </w:rPr>
      </w:pPr>
      <w:r w:rsidRPr="001D2B2B">
        <w:rPr>
          <w:rFonts w:ascii="Arial" w:hAnsi="Arial" w:cs="Arial"/>
          <w:sz w:val="21"/>
          <w:szCs w:val="21"/>
          <w:lang w:val="es-ES"/>
        </w:rPr>
        <w:t>001/2024 promovido por el Partido de la Revolución Democrática en contra del acuerdo CED-01/2024/006 mediante el cual el Consejo Electoral Distrital 01 con cabecera en Cárdenas, designó al personal autorizado para el acceso a la bodega electoral durante las actividades del propio Consejo con motivo del Proceso Electo</w:t>
      </w:r>
      <w:r>
        <w:rPr>
          <w:rFonts w:ascii="Arial" w:hAnsi="Arial" w:cs="Arial"/>
          <w:sz w:val="21"/>
          <w:szCs w:val="21"/>
          <w:lang w:val="es-ES"/>
        </w:rPr>
        <w:t>ral Local Ordinario 2023-2024;</w:t>
      </w:r>
    </w:p>
    <w:p w:rsidR="001D2B2B" w:rsidRPr="001D2B2B" w:rsidRDefault="001D2B2B" w:rsidP="001D2B2B">
      <w:pPr>
        <w:pStyle w:val="Prrafodelista"/>
        <w:numPr>
          <w:ilvl w:val="1"/>
          <w:numId w:val="3"/>
        </w:numPr>
        <w:spacing w:before="240" w:after="240" w:line="300" w:lineRule="auto"/>
        <w:ind w:left="1134" w:hanging="567"/>
        <w:contextualSpacing w:val="0"/>
        <w:jc w:val="both"/>
        <w:rPr>
          <w:rFonts w:ascii="Arial" w:hAnsi="Arial" w:cs="Arial"/>
          <w:sz w:val="21"/>
          <w:szCs w:val="21"/>
          <w:lang w:val="es-ES"/>
        </w:rPr>
      </w:pPr>
      <w:r w:rsidRPr="001D2B2B">
        <w:rPr>
          <w:rFonts w:ascii="Arial" w:hAnsi="Arial" w:cs="Arial"/>
          <w:sz w:val="21"/>
          <w:szCs w:val="21"/>
          <w:lang w:val="es-ES"/>
        </w:rPr>
        <w:t>002/2024 promovido por el Partido de la Revolución Democrática en contra del acuerdo CED-15/2024/006 mediante el cual el Consejo Electoral Distrital 15 con cabecera en Huimanguillo, designó al personal autorizado para el acceso a la bodega electoral durante las actividades del propio Consejo con motivo del Proceso Electoral Local Ordinario 2023-2024</w:t>
      </w:r>
      <w:r>
        <w:rPr>
          <w:rFonts w:ascii="Arial" w:hAnsi="Arial" w:cs="Arial"/>
          <w:sz w:val="21"/>
          <w:szCs w:val="21"/>
          <w:lang w:val="es-ES"/>
        </w:rPr>
        <w:t>;</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 xml:space="preserve">Presentación y aprobación en su caso, del proyecto de acuerdo que emite el Consejo Estatal del Instituto Electoral y de Participación Ciudadana de Tabasco, mediante el cual se aprueban los criterios para la inclusión de los emblemas de los partidos políticos nacionales en las boletas que se utilizarán en la Jornada Electoral con motivo del Proceso Electoral Local Ordinario 2023 – 2024; </w:t>
      </w:r>
    </w:p>
    <w:p w:rsidR="001D2B2B" w:rsidRPr="001D2B2B" w:rsidRDefault="001D2B2B" w:rsidP="001D2B2B">
      <w:pPr>
        <w:pStyle w:val="Prrafodelista"/>
        <w:numPr>
          <w:ilvl w:val="0"/>
          <w:numId w:val="3"/>
        </w:numPr>
        <w:spacing w:before="240" w:after="240" w:line="300" w:lineRule="auto"/>
        <w:ind w:left="567" w:hanging="567"/>
        <w:contextualSpacing w:val="0"/>
        <w:jc w:val="both"/>
        <w:rPr>
          <w:rFonts w:ascii="Arial" w:hAnsi="Arial" w:cs="Arial"/>
          <w:sz w:val="21"/>
          <w:szCs w:val="21"/>
          <w:lang w:val="es-ES"/>
        </w:rPr>
      </w:pPr>
      <w:r w:rsidRPr="001D2B2B">
        <w:rPr>
          <w:rFonts w:ascii="Arial" w:hAnsi="Arial" w:cs="Arial"/>
          <w:sz w:val="21"/>
          <w:szCs w:val="21"/>
          <w:lang w:val="es-ES"/>
        </w:rPr>
        <w:t>Presentación y aprobación en su caso, del proyecto de acuerdo que, a propuesta de la Comisión Permanente de Organización Electoral y Educación Cívica, emite el Consejo Estatal del Instituto Electoral y de Participación Ciudadana de Tabasco mediante el cual aprueba los criterios para la calificación de los votos que, en su caso, obtengan las candidaturas de partidos políticos, candidaturas comunes o coaliciones canceladas en virtud de las renuncias y candidaturas no registradas, con motivo del Proceso Electora</w:t>
      </w:r>
      <w:r>
        <w:rPr>
          <w:rFonts w:ascii="Arial" w:hAnsi="Arial" w:cs="Arial"/>
          <w:sz w:val="21"/>
          <w:szCs w:val="21"/>
          <w:lang w:val="es-ES"/>
        </w:rPr>
        <w:t>l Local Ordinario 2023 – 2024;</w:t>
      </w:r>
    </w:p>
    <w:p w:rsidR="000F54B5" w:rsidRPr="001D2B2B" w:rsidRDefault="001D2B2B" w:rsidP="00926917">
      <w:pPr>
        <w:pStyle w:val="Prrafodelista"/>
        <w:numPr>
          <w:ilvl w:val="0"/>
          <w:numId w:val="3"/>
        </w:numPr>
        <w:spacing w:before="240" w:after="240" w:line="300" w:lineRule="auto"/>
        <w:ind w:left="567" w:hanging="567"/>
        <w:contextualSpacing w:val="0"/>
        <w:jc w:val="both"/>
        <w:rPr>
          <w:rFonts w:ascii="Arial" w:hAnsi="Arial" w:cs="Arial"/>
          <w:b/>
          <w:sz w:val="21"/>
          <w:szCs w:val="21"/>
        </w:rPr>
      </w:pPr>
      <w:r w:rsidRPr="001D2B2B">
        <w:rPr>
          <w:rFonts w:ascii="Arial" w:hAnsi="Arial" w:cs="Arial"/>
          <w:sz w:val="21"/>
          <w:szCs w:val="21"/>
          <w:lang w:val="es-ES"/>
        </w:rPr>
        <w:t xml:space="preserve">Presentación y aprobación en su caso, del </w:t>
      </w:r>
      <w:r w:rsidRPr="001D2B2B">
        <w:rPr>
          <w:rFonts w:ascii="Arial" w:hAnsi="Arial" w:cs="Arial"/>
          <w:sz w:val="21"/>
          <w:szCs w:val="21"/>
          <w:lang w:val="es-ES"/>
        </w:rPr>
        <w:t>proyecto de acuerdo que emite el Consejo Estatal del Instituto Electoral y de Participación Ciudadana de Tabasco, mediante el cual aprueba el Lineamiento para el conteo, sellado y agrupamiento de las boletas electorales que se utilizarán con motivo del Proceso Electoral Local Ordinario 2023 – 2024</w:t>
      </w:r>
      <w:r>
        <w:rPr>
          <w:rFonts w:ascii="Arial" w:hAnsi="Arial" w:cs="Arial"/>
          <w:sz w:val="21"/>
          <w:szCs w:val="21"/>
          <w:lang w:val="es-ES"/>
        </w:rPr>
        <w:t>; y</w:t>
      </w:r>
    </w:p>
    <w:p w:rsidR="000E2683" w:rsidRPr="001D2B2B" w:rsidRDefault="000E2683" w:rsidP="001D2B2B">
      <w:pPr>
        <w:pStyle w:val="Prrafodelista"/>
        <w:numPr>
          <w:ilvl w:val="0"/>
          <w:numId w:val="3"/>
        </w:numPr>
        <w:spacing w:before="240" w:after="240" w:line="276" w:lineRule="auto"/>
        <w:ind w:left="567" w:hanging="567"/>
        <w:contextualSpacing w:val="0"/>
        <w:jc w:val="both"/>
        <w:rPr>
          <w:rFonts w:ascii="Arial" w:hAnsi="Arial" w:cs="Arial"/>
          <w:sz w:val="21"/>
          <w:szCs w:val="21"/>
        </w:rPr>
      </w:pPr>
      <w:r w:rsidRPr="001D2B2B">
        <w:rPr>
          <w:rFonts w:ascii="Arial" w:hAnsi="Arial" w:cs="Arial"/>
          <w:sz w:val="21"/>
          <w:szCs w:val="21"/>
        </w:rPr>
        <w:t>Clausura.</w:t>
      </w:r>
    </w:p>
    <w:sectPr w:rsidR="000E2683" w:rsidRPr="001D2B2B" w:rsidSect="00916B51">
      <w:headerReference w:type="default" r:id="rId8"/>
      <w:pgSz w:w="12240" w:h="15840" w:code="1"/>
      <w:pgMar w:top="1418" w:right="1325" w:bottom="993"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461" w:rsidRDefault="00287461" w:rsidP="000E2683">
      <w:pPr>
        <w:spacing w:after="0" w:line="240" w:lineRule="auto"/>
      </w:pPr>
      <w:r>
        <w:separator/>
      </w:r>
    </w:p>
  </w:endnote>
  <w:endnote w:type="continuationSeparator" w:id="0">
    <w:p w:rsidR="00287461" w:rsidRDefault="00287461" w:rsidP="000E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461" w:rsidRDefault="00287461" w:rsidP="000E2683">
      <w:pPr>
        <w:spacing w:after="0" w:line="240" w:lineRule="auto"/>
      </w:pPr>
      <w:r>
        <w:separator/>
      </w:r>
    </w:p>
  </w:footnote>
  <w:footnote w:type="continuationSeparator" w:id="0">
    <w:p w:rsidR="00287461" w:rsidRDefault="00287461" w:rsidP="000E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0E2683" w:rsidRPr="007958A0" w:rsidTr="00710E0F">
      <w:tc>
        <w:tcPr>
          <w:tcW w:w="1418" w:type="dxa"/>
        </w:tcPr>
        <w:p w:rsidR="000E2683" w:rsidRPr="007958A0" w:rsidRDefault="000E2683" w:rsidP="000E2683">
          <w:pPr>
            <w:pStyle w:val="Encabezado"/>
            <w:ind w:left="-170"/>
            <w:rPr>
              <w:rFonts w:ascii="Calisto MT" w:hAnsi="Calisto MT"/>
            </w:rPr>
          </w:pPr>
          <w:r>
            <w:rPr>
              <w:b/>
              <w:noProof/>
              <w:sz w:val="32"/>
              <w:lang w:eastAsia="es-MX"/>
            </w:rPr>
            <w:drawing>
              <wp:inline distT="0" distB="0" distL="0" distR="0" wp14:anchorId="78742DC3" wp14:editId="1C0C8023">
                <wp:extent cx="1014331" cy="1199403"/>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rsidR="000E2683" w:rsidRPr="000E2683" w:rsidRDefault="000E2683" w:rsidP="000E2683">
          <w:pPr>
            <w:pStyle w:val="Encabezado"/>
            <w:spacing w:before="720"/>
            <w:jc w:val="center"/>
            <w:rPr>
              <w:rFonts w:ascii="Arial" w:hAnsi="Arial" w:cs="Arial"/>
              <w:b/>
              <w:bCs/>
              <w:sz w:val="25"/>
              <w:szCs w:val="25"/>
            </w:rPr>
          </w:pPr>
          <w:r w:rsidRPr="000E2683">
            <w:rPr>
              <w:rFonts w:ascii="Arial" w:hAnsi="Arial" w:cs="Arial"/>
              <w:b/>
              <w:bCs/>
              <w:sz w:val="25"/>
              <w:szCs w:val="25"/>
            </w:rPr>
            <w:t>INSTITUTO ELECTORAL Y DE PARTICIPACIÓN CIUDADANA DE TABASCO</w:t>
          </w:r>
        </w:p>
        <w:p w:rsidR="000E2683" w:rsidRPr="00F43C7F" w:rsidRDefault="000E2683" w:rsidP="000E2683">
          <w:pPr>
            <w:pStyle w:val="Encabezado"/>
            <w:jc w:val="center"/>
          </w:pPr>
          <w:r w:rsidRPr="000E2683">
            <w:rPr>
              <w:rFonts w:ascii="Arial" w:hAnsi="Arial" w:cs="Arial"/>
              <w:sz w:val="26"/>
              <w:szCs w:val="26"/>
            </w:rPr>
            <w:t>CONSEJO ESTATAL</w:t>
          </w:r>
        </w:p>
      </w:tc>
      <w:tc>
        <w:tcPr>
          <w:tcW w:w="1701" w:type="dxa"/>
        </w:tcPr>
        <w:p w:rsidR="000E2683" w:rsidRPr="007958A0" w:rsidRDefault="000E2683" w:rsidP="000E2683">
          <w:pPr>
            <w:pStyle w:val="Encabezado"/>
            <w:spacing w:before="480"/>
            <w:rPr>
              <w:rFonts w:ascii="Calisto MT" w:hAnsi="Calisto MT"/>
            </w:rPr>
          </w:pPr>
          <w:r>
            <w:rPr>
              <w:rFonts w:ascii="Calisto MT" w:hAnsi="Calisto MT"/>
              <w:noProof/>
              <w:lang w:eastAsia="es-MX"/>
            </w:rPr>
            <w:drawing>
              <wp:inline distT="0" distB="0" distL="0" distR="0">
                <wp:extent cx="942975" cy="774065"/>
                <wp:effectExtent l="0" t="0" r="9525" b="698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0E2683" w:rsidRDefault="000E26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22C6D"/>
    <w:multiLevelType w:val="hybridMultilevel"/>
    <w:tmpl w:val="C20E357C"/>
    <w:lvl w:ilvl="0" w:tplc="07468862">
      <w:start w:val="1"/>
      <w:numFmt w:val="lowerLetter"/>
      <w:lvlText w:val="%1."/>
      <w:lvlJc w:val="left"/>
      <w:pPr>
        <w:ind w:left="870" w:hanging="360"/>
      </w:pPr>
      <w:rPr>
        <w:rFonts w:hint="default"/>
        <w:b w:val="0"/>
      </w:rPr>
    </w:lvl>
    <w:lvl w:ilvl="1" w:tplc="080A0019" w:tentative="1">
      <w:start w:val="1"/>
      <w:numFmt w:val="lowerLetter"/>
      <w:lvlText w:val="%2."/>
      <w:lvlJc w:val="left"/>
      <w:pPr>
        <w:ind w:left="1590" w:hanging="360"/>
      </w:pPr>
    </w:lvl>
    <w:lvl w:ilvl="2" w:tplc="080A001B" w:tentative="1">
      <w:start w:val="1"/>
      <w:numFmt w:val="lowerRoman"/>
      <w:lvlText w:val="%3."/>
      <w:lvlJc w:val="right"/>
      <w:pPr>
        <w:ind w:left="2310" w:hanging="180"/>
      </w:pPr>
    </w:lvl>
    <w:lvl w:ilvl="3" w:tplc="080A000F" w:tentative="1">
      <w:start w:val="1"/>
      <w:numFmt w:val="decimal"/>
      <w:lvlText w:val="%4."/>
      <w:lvlJc w:val="left"/>
      <w:pPr>
        <w:ind w:left="3030" w:hanging="360"/>
      </w:pPr>
    </w:lvl>
    <w:lvl w:ilvl="4" w:tplc="080A0019" w:tentative="1">
      <w:start w:val="1"/>
      <w:numFmt w:val="lowerLetter"/>
      <w:lvlText w:val="%5."/>
      <w:lvlJc w:val="left"/>
      <w:pPr>
        <w:ind w:left="3750" w:hanging="360"/>
      </w:pPr>
    </w:lvl>
    <w:lvl w:ilvl="5" w:tplc="080A001B" w:tentative="1">
      <w:start w:val="1"/>
      <w:numFmt w:val="lowerRoman"/>
      <w:lvlText w:val="%6."/>
      <w:lvlJc w:val="right"/>
      <w:pPr>
        <w:ind w:left="4470" w:hanging="180"/>
      </w:pPr>
    </w:lvl>
    <w:lvl w:ilvl="6" w:tplc="080A000F" w:tentative="1">
      <w:start w:val="1"/>
      <w:numFmt w:val="decimal"/>
      <w:lvlText w:val="%7."/>
      <w:lvlJc w:val="left"/>
      <w:pPr>
        <w:ind w:left="5190" w:hanging="360"/>
      </w:pPr>
    </w:lvl>
    <w:lvl w:ilvl="7" w:tplc="080A0019" w:tentative="1">
      <w:start w:val="1"/>
      <w:numFmt w:val="lowerLetter"/>
      <w:lvlText w:val="%8."/>
      <w:lvlJc w:val="left"/>
      <w:pPr>
        <w:ind w:left="5910" w:hanging="360"/>
      </w:pPr>
    </w:lvl>
    <w:lvl w:ilvl="8" w:tplc="080A001B" w:tentative="1">
      <w:start w:val="1"/>
      <w:numFmt w:val="lowerRoman"/>
      <w:lvlText w:val="%9."/>
      <w:lvlJc w:val="right"/>
      <w:pPr>
        <w:ind w:left="6630" w:hanging="180"/>
      </w:pPr>
    </w:lvl>
  </w:abstractNum>
  <w:abstractNum w:abstractNumId="1" w15:restartNumberingAfterBreak="0">
    <w:nsid w:val="4085636A"/>
    <w:multiLevelType w:val="hybridMultilevel"/>
    <w:tmpl w:val="2124D5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345E38"/>
    <w:multiLevelType w:val="hybridMultilevel"/>
    <w:tmpl w:val="497ED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CF644B"/>
    <w:multiLevelType w:val="hybridMultilevel"/>
    <w:tmpl w:val="7AAC8854"/>
    <w:lvl w:ilvl="0" w:tplc="806650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AC14491"/>
    <w:multiLevelType w:val="hybridMultilevel"/>
    <w:tmpl w:val="F0A81B10"/>
    <w:lvl w:ilvl="0" w:tplc="5FA2309C">
      <w:start w:val="1"/>
      <w:numFmt w:val="decimal"/>
      <w:lvlText w:val="%1."/>
      <w:lvlJc w:val="left"/>
      <w:pPr>
        <w:ind w:left="720" w:hanging="360"/>
      </w:pPr>
      <w:rPr>
        <w:rFonts w:hint="default"/>
        <w:b/>
      </w:rPr>
    </w:lvl>
    <w:lvl w:ilvl="1" w:tplc="B2086CD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83"/>
    <w:rsid w:val="00070988"/>
    <w:rsid w:val="000E2683"/>
    <w:rsid w:val="000E69C3"/>
    <w:rsid w:val="000F54B5"/>
    <w:rsid w:val="001A1D87"/>
    <w:rsid w:val="001B6465"/>
    <w:rsid w:val="001D2B2B"/>
    <w:rsid w:val="00237A1D"/>
    <w:rsid w:val="002715AC"/>
    <w:rsid w:val="00287461"/>
    <w:rsid w:val="00296369"/>
    <w:rsid w:val="0030299B"/>
    <w:rsid w:val="00377BB7"/>
    <w:rsid w:val="003B40B7"/>
    <w:rsid w:val="003C753A"/>
    <w:rsid w:val="00774B5B"/>
    <w:rsid w:val="00836E37"/>
    <w:rsid w:val="008F33A1"/>
    <w:rsid w:val="008F4116"/>
    <w:rsid w:val="00916B51"/>
    <w:rsid w:val="009A6ADC"/>
    <w:rsid w:val="00A82F44"/>
    <w:rsid w:val="00C0553F"/>
    <w:rsid w:val="00C623DC"/>
    <w:rsid w:val="00C75310"/>
    <w:rsid w:val="00C84009"/>
    <w:rsid w:val="00CD5647"/>
    <w:rsid w:val="00DD6E09"/>
    <w:rsid w:val="00EC15CB"/>
    <w:rsid w:val="00EC7FAD"/>
    <w:rsid w:val="00EE6441"/>
    <w:rsid w:val="00F4652F"/>
    <w:rsid w:val="00F51E6B"/>
    <w:rsid w:val="00F713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B5D5E"/>
  <w15:chartTrackingRefBased/>
  <w15:docId w15:val="{BB23A953-09D6-4267-BEBD-BF2C853C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2683"/>
    <w:pPr>
      <w:ind w:left="720"/>
      <w:contextualSpacing/>
    </w:pPr>
  </w:style>
  <w:style w:type="paragraph" w:styleId="Encabezado">
    <w:name w:val="header"/>
    <w:basedOn w:val="Normal"/>
    <w:link w:val="EncabezadoCar"/>
    <w:uiPriority w:val="99"/>
    <w:unhideWhenUsed/>
    <w:rsid w:val="000E26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683"/>
  </w:style>
  <w:style w:type="paragraph" w:styleId="Piedepgina">
    <w:name w:val="footer"/>
    <w:basedOn w:val="Normal"/>
    <w:link w:val="PiedepginaCar"/>
    <w:uiPriority w:val="99"/>
    <w:unhideWhenUsed/>
    <w:rsid w:val="000E26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683"/>
  </w:style>
  <w:style w:type="table" w:styleId="Tablaconcuadrcula">
    <w:name w:val="Table Grid"/>
    <w:basedOn w:val="Tablanormal"/>
    <w:uiPriority w:val="39"/>
    <w:rsid w:val="000E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5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5310"/>
    <w:rPr>
      <w:rFonts w:ascii="Segoe UI" w:hAnsi="Segoe UI" w:cs="Segoe UI"/>
      <w:sz w:val="18"/>
      <w:szCs w:val="18"/>
    </w:rPr>
  </w:style>
  <w:style w:type="paragraph" w:styleId="Ttulo">
    <w:name w:val="Title"/>
    <w:basedOn w:val="Normal"/>
    <w:next w:val="Normal"/>
    <w:link w:val="TtuloCar"/>
    <w:uiPriority w:val="10"/>
    <w:qFormat/>
    <w:rsid w:val="000F54B5"/>
    <w:pPr>
      <w:spacing w:before="240" w:after="0" w:line="240" w:lineRule="auto"/>
      <w:contextualSpacing/>
      <w:jc w:val="both"/>
    </w:pPr>
    <w:rPr>
      <w:rFonts w:ascii="Californian FB" w:eastAsiaTheme="majorEastAsia" w:hAnsi="Californian FB" w:cstheme="majorBidi"/>
      <w:kern w:val="28"/>
      <w:sz w:val="28"/>
      <w:szCs w:val="28"/>
    </w:rPr>
  </w:style>
  <w:style w:type="character" w:customStyle="1" w:styleId="TtuloCar">
    <w:name w:val="Título Car"/>
    <w:basedOn w:val="Fuentedeprrafopredeter"/>
    <w:link w:val="Ttulo"/>
    <w:uiPriority w:val="10"/>
    <w:rsid w:val="000F54B5"/>
    <w:rPr>
      <w:rFonts w:ascii="Californian FB" w:eastAsiaTheme="majorEastAsia" w:hAnsi="Californian FB" w:cstheme="majorBidi"/>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2294">
      <w:bodyDiv w:val="1"/>
      <w:marLeft w:val="0"/>
      <w:marRight w:val="0"/>
      <w:marTop w:val="0"/>
      <w:marBottom w:val="0"/>
      <w:divBdr>
        <w:top w:val="none" w:sz="0" w:space="0" w:color="auto"/>
        <w:left w:val="none" w:sz="0" w:space="0" w:color="auto"/>
        <w:bottom w:val="none" w:sz="0" w:space="0" w:color="auto"/>
        <w:right w:val="none" w:sz="0" w:space="0" w:color="auto"/>
      </w:divBdr>
    </w:div>
    <w:div w:id="3260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1009-BBBA-4848-B65B-1E8E3622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21</cp:revision>
  <cp:lastPrinted>2024-05-02T01:45:00Z</cp:lastPrinted>
  <dcterms:created xsi:type="dcterms:W3CDTF">2023-11-23T17:42:00Z</dcterms:created>
  <dcterms:modified xsi:type="dcterms:W3CDTF">2024-05-02T01:48:00Z</dcterms:modified>
</cp:coreProperties>
</file>