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1941" w:rsidRDefault="00EB7B59" w:rsidP="00632E28">
      <w:pPr>
        <w:rPr>
          <w:rFonts w:ascii="Arial" w:hAnsi="Arial" w:cs="Arial"/>
          <w:b/>
        </w:rPr>
      </w:pPr>
      <w:r w:rsidRPr="00EB7B59">
        <w:rPr>
          <w:rFonts w:ascii="Arial" w:hAnsi="Arial" w:cs="Arial"/>
          <w:b/>
        </w:rPr>
        <w:t xml:space="preserve">ACUERDO QUE EMITE EL CONSEJO ESTATAL DEL INSTITUTO ELECTORAL Y DE PARTICIPACIÓN CIUDADANA DE TABASCO MEDIANTE EL CUAL DETERMINA LA PÉRDIDA DE ACREDITACIÓN DEL PARTIDO ACCIÓN NACIONAL </w:t>
      </w:r>
    </w:p>
    <w:p w:rsidR="00EB7B59" w:rsidRPr="00EB7B59" w:rsidRDefault="00EB7B59" w:rsidP="00632E28">
      <w:pPr>
        <w:rPr>
          <w:rFonts w:ascii="Arial" w:hAnsi="Arial" w:cs="Arial"/>
          <w:b/>
        </w:rPr>
      </w:pPr>
    </w:p>
    <w:p w:rsidR="00632E28" w:rsidRDefault="00632E28" w:rsidP="00632E28">
      <w:pPr>
        <w:rPr>
          <w:rFonts w:ascii="Arial" w:hAnsi="Arial" w:cs="Arial"/>
          <w:sz w:val="23"/>
          <w:szCs w:val="23"/>
        </w:rPr>
      </w:pPr>
      <w:r w:rsidRPr="00EB7B59">
        <w:rPr>
          <w:rFonts w:ascii="Arial" w:hAnsi="Arial" w:cs="Arial"/>
          <w:sz w:val="23"/>
          <w:szCs w:val="23"/>
        </w:rPr>
        <w:t>Para efectos del presente acuerdo se usarán las abreviaturas y definiciones siguientes:</w:t>
      </w:r>
    </w:p>
    <w:p w:rsidR="00EB7B59" w:rsidRPr="00EB7B59" w:rsidRDefault="00EB7B59" w:rsidP="00632E28">
      <w:pPr>
        <w:rPr>
          <w:rFonts w:ascii="Arial" w:hAnsi="Arial" w:cs="Arial"/>
          <w:sz w:val="23"/>
          <w:szCs w:val="23"/>
        </w:rPr>
      </w:pP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3001"/>
        <w:gridCol w:w="4347"/>
      </w:tblGrid>
      <w:tr w:rsidR="00632E28" w:rsidRPr="00EB7B59" w:rsidTr="00327DC5">
        <w:trPr>
          <w:trHeight w:val="624"/>
          <w:jc w:val="center"/>
        </w:trPr>
        <w:tc>
          <w:tcPr>
            <w:tcW w:w="2042" w:type="pct"/>
            <w:shd w:val="clear" w:color="auto" w:fill="auto"/>
            <w:vAlign w:val="center"/>
          </w:tcPr>
          <w:p w:rsidR="00632E28" w:rsidRPr="00EB7B59" w:rsidRDefault="00632E28" w:rsidP="00327DC5">
            <w:pPr>
              <w:widowControl w:val="0"/>
              <w:spacing w:before="60" w:after="60"/>
              <w:ind w:left="57"/>
              <w:jc w:val="right"/>
              <w:rPr>
                <w:rFonts w:ascii="Arial" w:hAnsi="Arial" w:cs="Arial"/>
                <w:b/>
                <w:sz w:val="20"/>
                <w:szCs w:val="20"/>
              </w:rPr>
            </w:pPr>
            <w:r w:rsidRPr="00EB7B59">
              <w:rPr>
                <w:rFonts w:ascii="Arial" w:hAnsi="Arial" w:cs="Arial"/>
                <w:b/>
                <w:sz w:val="20"/>
                <w:szCs w:val="20"/>
              </w:rPr>
              <w:t>Consejo Estatal:</w:t>
            </w:r>
          </w:p>
        </w:tc>
        <w:tc>
          <w:tcPr>
            <w:tcW w:w="2958" w:type="pct"/>
            <w:shd w:val="clear" w:color="auto" w:fill="auto"/>
            <w:vAlign w:val="center"/>
          </w:tcPr>
          <w:p w:rsidR="00632E28" w:rsidRPr="00EB7B59" w:rsidRDefault="00632E28" w:rsidP="00327DC5">
            <w:pPr>
              <w:widowControl w:val="0"/>
              <w:spacing w:before="60" w:after="60"/>
              <w:ind w:left="57"/>
              <w:rPr>
                <w:rFonts w:ascii="Arial" w:hAnsi="Arial" w:cs="Arial"/>
                <w:sz w:val="20"/>
                <w:szCs w:val="20"/>
              </w:rPr>
            </w:pPr>
            <w:r w:rsidRPr="00EB7B59">
              <w:rPr>
                <w:rFonts w:ascii="Arial" w:hAnsi="Arial" w:cs="Arial"/>
                <w:sz w:val="20"/>
                <w:szCs w:val="20"/>
              </w:rPr>
              <w:t>Consejo Estatal del Instituto Electoral y de Participación Ciudadana de Tabasco.</w:t>
            </w:r>
          </w:p>
        </w:tc>
      </w:tr>
      <w:tr w:rsidR="00632E28" w:rsidRPr="00EB7B59" w:rsidTr="00327DC5">
        <w:trPr>
          <w:trHeight w:val="624"/>
          <w:jc w:val="center"/>
        </w:trPr>
        <w:tc>
          <w:tcPr>
            <w:tcW w:w="2042" w:type="pct"/>
            <w:shd w:val="clear" w:color="auto" w:fill="auto"/>
            <w:vAlign w:val="center"/>
          </w:tcPr>
          <w:p w:rsidR="00632E28" w:rsidRPr="00EB7B59" w:rsidRDefault="00632E28" w:rsidP="00327DC5">
            <w:pPr>
              <w:widowControl w:val="0"/>
              <w:spacing w:before="60" w:after="60"/>
              <w:ind w:left="57"/>
              <w:jc w:val="right"/>
              <w:rPr>
                <w:rFonts w:ascii="Arial" w:hAnsi="Arial" w:cs="Arial"/>
                <w:b/>
                <w:sz w:val="20"/>
                <w:szCs w:val="20"/>
              </w:rPr>
            </w:pPr>
            <w:r w:rsidRPr="00EB7B59">
              <w:rPr>
                <w:rFonts w:ascii="Arial" w:hAnsi="Arial" w:cs="Arial"/>
                <w:b/>
                <w:sz w:val="20"/>
                <w:szCs w:val="20"/>
              </w:rPr>
              <w:t>Constitución Federal:</w:t>
            </w:r>
          </w:p>
        </w:tc>
        <w:tc>
          <w:tcPr>
            <w:tcW w:w="2958" w:type="pct"/>
            <w:shd w:val="clear" w:color="auto" w:fill="auto"/>
            <w:vAlign w:val="center"/>
          </w:tcPr>
          <w:p w:rsidR="00632E28" w:rsidRPr="00EB7B59" w:rsidRDefault="00632E28" w:rsidP="00327DC5">
            <w:pPr>
              <w:widowControl w:val="0"/>
              <w:spacing w:before="60" w:after="60"/>
              <w:ind w:left="57"/>
              <w:rPr>
                <w:rFonts w:ascii="Arial" w:hAnsi="Arial" w:cs="Arial"/>
                <w:sz w:val="20"/>
                <w:szCs w:val="20"/>
              </w:rPr>
            </w:pPr>
            <w:r w:rsidRPr="00EB7B59">
              <w:rPr>
                <w:rFonts w:ascii="Arial" w:hAnsi="Arial" w:cs="Arial"/>
                <w:sz w:val="20"/>
                <w:szCs w:val="20"/>
              </w:rPr>
              <w:t>Constitución Política de los Estados Unidos Mexicanos.</w:t>
            </w:r>
          </w:p>
        </w:tc>
      </w:tr>
      <w:tr w:rsidR="00632E28" w:rsidRPr="00EB7B59" w:rsidTr="00327DC5">
        <w:trPr>
          <w:trHeight w:val="624"/>
          <w:jc w:val="center"/>
        </w:trPr>
        <w:tc>
          <w:tcPr>
            <w:tcW w:w="2042" w:type="pct"/>
            <w:shd w:val="clear" w:color="auto" w:fill="auto"/>
            <w:vAlign w:val="center"/>
          </w:tcPr>
          <w:p w:rsidR="00632E28" w:rsidRPr="00EB7B59" w:rsidRDefault="00632E28" w:rsidP="00327DC5">
            <w:pPr>
              <w:widowControl w:val="0"/>
              <w:spacing w:before="60" w:after="60"/>
              <w:ind w:left="57"/>
              <w:jc w:val="right"/>
              <w:rPr>
                <w:rFonts w:ascii="Arial" w:hAnsi="Arial" w:cs="Arial"/>
                <w:b/>
                <w:sz w:val="20"/>
                <w:szCs w:val="20"/>
              </w:rPr>
            </w:pPr>
            <w:r w:rsidRPr="00EB7B59">
              <w:rPr>
                <w:rFonts w:ascii="Arial" w:hAnsi="Arial" w:cs="Arial"/>
                <w:b/>
                <w:sz w:val="20"/>
                <w:szCs w:val="20"/>
              </w:rPr>
              <w:t>Constitución Local:</w:t>
            </w:r>
          </w:p>
        </w:tc>
        <w:tc>
          <w:tcPr>
            <w:tcW w:w="2958" w:type="pct"/>
            <w:shd w:val="clear" w:color="auto" w:fill="auto"/>
            <w:vAlign w:val="center"/>
          </w:tcPr>
          <w:p w:rsidR="00632E28" w:rsidRPr="00EB7B59" w:rsidRDefault="00632E28" w:rsidP="00327DC5">
            <w:pPr>
              <w:widowControl w:val="0"/>
              <w:spacing w:before="60" w:after="60"/>
              <w:ind w:left="57"/>
              <w:rPr>
                <w:rFonts w:ascii="Arial" w:hAnsi="Arial" w:cs="Arial"/>
                <w:sz w:val="20"/>
                <w:szCs w:val="20"/>
              </w:rPr>
            </w:pPr>
            <w:r w:rsidRPr="00EB7B59">
              <w:rPr>
                <w:rFonts w:ascii="Arial" w:hAnsi="Arial" w:cs="Arial"/>
                <w:sz w:val="20"/>
                <w:szCs w:val="20"/>
              </w:rPr>
              <w:t>Constitución Política del Estado Libre y Soberano de Tabasco.</w:t>
            </w:r>
          </w:p>
        </w:tc>
      </w:tr>
      <w:tr w:rsidR="00632E28" w:rsidRPr="00EB7B59" w:rsidTr="00327DC5">
        <w:trPr>
          <w:trHeight w:val="624"/>
          <w:jc w:val="center"/>
        </w:trPr>
        <w:tc>
          <w:tcPr>
            <w:tcW w:w="2042" w:type="pct"/>
            <w:shd w:val="clear" w:color="auto" w:fill="auto"/>
            <w:vAlign w:val="center"/>
          </w:tcPr>
          <w:p w:rsidR="00632E28" w:rsidRPr="00EB7B59" w:rsidRDefault="00632E28" w:rsidP="00327DC5">
            <w:pPr>
              <w:widowControl w:val="0"/>
              <w:spacing w:before="60" w:after="60"/>
              <w:ind w:left="57"/>
              <w:jc w:val="right"/>
              <w:rPr>
                <w:rFonts w:ascii="Arial" w:hAnsi="Arial" w:cs="Arial"/>
                <w:b/>
                <w:sz w:val="20"/>
                <w:szCs w:val="20"/>
              </w:rPr>
            </w:pPr>
            <w:r w:rsidRPr="00EB7B59">
              <w:rPr>
                <w:rFonts w:ascii="Arial" w:hAnsi="Arial" w:cs="Arial"/>
                <w:b/>
                <w:sz w:val="20"/>
                <w:szCs w:val="20"/>
              </w:rPr>
              <w:t>INE:</w:t>
            </w:r>
          </w:p>
        </w:tc>
        <w:tc>
          <w:tcPr>
            <w:tcW w:w="2958" w:type="pct"/>
            <w:shd w:val="clear" w:color="auto" w:fill="auto"/>
            <w:vAlign w:val="center"/>
          </w:tcPr>
          <w:p w:rsidR="00632E28" w:rsidRPr="00EB7B59" w:rsidRDefault="00632E28" w:rsidP="00327DC5">
            <w:pPr>
              <w:widowControl w:val="0"/>
              <w:spacing w:before="60" w:after="60"/>
              <w:ind w:left="57"/>
              <w:rPr>
                <w:rFonts w:ascii="Arial" w:hAnsi="Arial" w:cs="Arial"/>
                <w:sz w:val="20"/>
                <w:szCs w:val="20"/>
              </w:rPr>
            </w:pPr>
            <w:r w:rsidRPr="00EB7B59">
              <w:rPr>
                <w:rFonts w:ascii="Arial" w:hAnsi="Arial" w:cs="Arial"/>
                <w:sz w:val="20"/>
                <w:szCs w:val="20"/>
              </w:rPr>
              <w:t>Instituto Nacional Electoral.</w:t>
            </w:r>
          </w:p>
        </w:tc>
      </w:tr>
      <w:tr w:rsidR="00632E28" w:rsidRPr="00EB7B59" w:rsidTr="00327DC5">
        <w:trPr>
          <w:trHeight w:val="624"/>
          <w:jc w:val="center"/>
        </w:trPr>
        <w:tc>
          <w:tcPr>
            <w:tcW w:w="2042" w:type="pct"/>
            <w:shd w:val="clear" w:color="auto" w:fill="auto"/>
            <w:vAlign w:val="center"/>
          </w:tcPr>
          <w:p w:rsidR="00632E28" w:rsidRPr="00EB7B59" w:rsidRDefault="00632E28" w:rsidP="00327DC5">
            <w:pPr>
              <w:widowControl w:val="0"/>
              <w:spacing w:before="60" w:after="60"/>
              <w:ind w:left="57"/>
              <w:jc w:val="right"/>
              <w:rPr>
                <w:rFonts w:ascii="Arial" w:hAnsi="Arial" w:cs="Arial"/>
                <w:b/>
                <w:sz w:val="20"/>
                <w:szCs w:val="20"/>
              </w:rPr>
            </w:pPr>
            <w:r w:rsidRPr="00EB7B59">
              <w:rPr>
                <w:rFonts w:ascii="Arial" w:hAnsi="Arial" w:cs="Arial"/>
                <w:b/>
                <w:sz w:val="20"/>
                <w:szCs w:val="20"/>
              </w:rPr>
              <w:t>Instituto:</w:t>
            </w:r>
          </w:p>
        </w:tc>
        <w:tc>
          <w:tcPr>
            <w:tcW w:w="2958" w:type="pct"/>
            <w:shd w:val="clear" w:color="auto" w:fill="auto"/>
          </w:tcPr>
          <w:p w:rsidR="00632E28" w:rsidRPr="00EB7B59" w:rsidRDefault="00632E28" w:rsidP="00327DC5">
            <w:pPr>
              <w:widowControl w:val="0"/>
              <w:spacing w:before="60" w:after="60"/>
              <w:ind w:left="57"/>
              <w:rPr>
                <w:rFonts w:ascii="Arial" w:hAnsi="Arial" w:cs="Arial"/>
                <w:sz w:val="20"/>
                <w:szCs w:val="20"/>
              </w:rPr>
            </w:pPr>
            <w:r w:rsidRPr="00EB7B59">
              <w:rPr>
                <w:rFonts w:ascii="Arial" w:hAnsi="Arial" w:cs="Arial"/>
                <w:sz w:val="20"/>
                <w:szCs w:val="20"/>
              </w:rPr>
              <w:t>Instituto Electoral y de Participación Ciudadana de Tabasco.</w:t>
            </w:r>
          </w:p>
        </w:tc>
      </w:tr>
      <w:tr w:rsidR="00632E28" w:rsidRPr="00EB7B59" w:rsidTr="00327DC5">
        <w:trPr>
          <w:trHeight w:val="624"/>
          <w:jc w:val="center"/>
        </w:trPr>
        <w:tc>
          <w:tcPr>
            <w:tcW w:w="2042" w:type="pct"/>
            <w:shd w:val="clear" w:color="auto" w:fill="auto"/>
            <w:vAlign w:val="center"/>
          </w:tcPr>
          <w:p w:rsidR="00632E28" w:rsidRPr="00EB7B59" w:rsidRDefault="00632E28" w:rsidP="00327DC5">
            <w:pPr>
              <w:widowControl w:val="0"/>
              <w:spacing w:before="60" w:after="60"/>
              <w:ind w:left="57"/>
              <w:jc w:val="right"/>
              <w:rPr>
                <w:rFonts w:ascii="Arial" w:hAnsi="Arial" w:cs="Arial"/>
                <w:b/>
                <w:sz w:val="20"/>
                <w:szCs w:val="20"/>
              </w:rPr>
            </w:pPr>
            <w:r w:rsidRPr="00EB7B59">
              <w:rPr>
                <w:rFonts w:ascii="Arial" w:hAnsi="Arial" w:cs="Arial"/>
                <w:b/>
                <w:sz w:val="20"/>
                <w:szCs w:val="20"/>
              </w:rPr>
              <w:t>Ley de Medios:</w:t>
            </w:r>
          </w:p>
        </w:tc>
        <w:tc>
          <w:tcPr>
            <w:tcW w:w="2958" w:type="pct"/>
            <w:shd w:val="clear" w:color="auto" w:fill="auto"/>
            <w:vAlign w:val="center"/>
          </w:tcPr>
          <w:p w:rsidR="00632E28" w:rsidRPr="00EB7B59" w:rsidRDefault="00632E28" w:rsidP="00327DC5">
            <w:pPr>
              <w:widowControl w:val="0"/>
              <w:spacing w:before="60" w:after="60"/>
              <w:ind w:left="57"/>
              <w:rPr>
                <w:rFonts w:ascii="Arial" w:hAnsi="Arial" w:cs="Arial"/>
                <w:sz w:val="20"/>
                <w:szCs w:val="20"/>
              </w:rPr>
            </w:pPr>
            <w:r w:rsidRPr="00EB7B59">
              <w:rPr>
                <w:rFonts w:ascii="Arial" w:hAnsi="Arial" w:cs="Arial"/>
                <w:sz w:val="20"/>
                <w:szCs w:val="20"/>
              </w:rPr>
              <w:t>Ley de Medios de Impugnación en Materia Electoral para el Estado de Tabasco.</w:t>
            </w:r>
          </w:p>
        </w:tc>
      </w:tr>
      <w:tr w:rsidR="00632E28" w:rsidRPr="00EB7B59" w:rsidTr="00327DC5">
        <w:trPr>
          <w:trHeight w:val="624"/>
          <w:jc w:val="center"/>
        </w:trPr>
        <w:tc>
          <w:tcPr>
            <w:tcW w:w="2042" w:type="pct"/>
            <w:shd w:val="clear" w:color="auto" w:fill="auto"/>
            <w:vAlign w:val="center"/>
          </w:tcPr>
          <w:p w:rsidR="00632E28" w:rsidRPr="00EB7B59" w:rsidRDefault="00632E28" w:rsidP="00327DC5">
            <w:pPr>
              <w:widowControl w:val="0"/>
              <w:spacing w:before="60" w:after="60"/>
              <w:ind w:left="57"/>
              <w:jc w:val="right"/>
              <w:rPr>
                <w:rFonts w:ascii="Arial" w:hAnsi="Arial" w:cs="Arial"/>
                <w:b/>
                <w:sz w:val="20"/>
                <w:szCs w:val="20"/>
              </w:rPr>
            </w:pPr>
            <w:r w:rsidRPr="00EB7B59">
              <w:rPr>
                <w:rFonts w:ascii="Arial" w:hAnsi="Arial" w:cs="Arial"/>
                <w:b/>
                <w:sz w:val="20"/>
                <w:szCs w:val="20"/>
              </w:rPr>
              <w:t>Ley Electoral:</w:t>
            </w:r>
          </w:p>
        </w:tc>
        <w:tc>
          <w:tcPr>
            <w:tcW w:w="2958" w:type="pct"/>
            <w:shd w:val="clear" w:color="auto" w:fill="auto"/>
            <w:vAlign w:val="center"/>
          </w:tcPr>
          <w:p w:rsidR="00632E28" w:rsidRPr="00EB7B59" w:rsidRDefault="00632E28" w:rsidP="00327DC5">
            <w:pPr>
              <w:widowControl w:val="0"/>
              <w:spacing w:before="60" w:after="60"/>
              <w:ind w:left="57"/>
              <w:rPr>
                <w:rFonts w:ascii="Arial" w:hAnsi="Arial" w:cs="Arial"/>
                <w:sz w:val="20"/>
                <w:szCs w:val="20"/>
              </w:rPr>
            </w:pPr>
            <w:r w:rsidRPr="00EB7B59">
              <w:rPr>
                <w:rFonts w:ascii="Arial" w:hAnsi="Arial" w:cs="Arial"/>
                <w:sz w:val="20"/>
                <w:szCs w:val="20"/>
              </w:rPr>
              <w:t>Ley Electoral y de Partidos Políticos del Estado de Tabasco.</w:t>
            </w:r>
          </w:p>
        </w:tc>
      </w:tr>
      <w:tr w:rsidR="00632E28" w:rsidRPr="00EB7B59" w:rsidTr="00327DC5">
        <w:trPr>
          <w:trHeight w:val="624"/>
          <w:jc w:val="center"/>
        </w:trPr>
        <w:tc>
          <w:tcPr>
            <w:tcW w:w="2042" w:type="pct"/>
            <w:shd w:val="clear" w:color="auto" w:fill="auto"/>
            <w:vAlign w:val="center"/>
          </w:tcPr>
          <w:p w:rsidR="00632E28" w:rsidRPr="00EB7B59" w:rsidRDefault="00632E28" w:rsidP="00327DC5">
            <w:pPr>
              <w:widowControl w:val="0"/>
              <w:spacing w:before="60" w:after="60"/>
              <w:ind w:left="57"/>
              <w:jc w:val="right"/>
              <w:rPr>
                <w:rFonts w:ascii="Arial" w:hAnsi="Arial" w:cs="Arial"/>
                <w:b/>
                <w:sz w:val="20"/>
                <w:szCs w:val="20"/>
              </w:rPr>
            </w:pPr>
            <w:r w:rsidRPr="00EB7B59">
              <w:rPr>
                <w:rFonts w:ascii="Arial" w:hAnsi="Arial" w:cs="Arial"/>
                <w:b/>
                <w:sz w:val="20"/>
                <w:szCs w:val="20"/>
              </w:rPr>
              <w:t>Ley General:</w:t>
            </w:r>
          </w:p>
        </w:tc>
        <w:tc>
          <w:tcPr>
            <w:tcW w:w="2958" w:type="pct"/>
            <w:shd w:val="clear" w:color="auto" w:fill="auto"/>
            <w:vAlign w:val="center"/>
          </w:tcPr>
          <w:p w:rsidR="00632E28" w:rsidRPr="00EB7B59" w:rsidRDefault="00632E28" w:rsidP="00327DC5">
            <w:pPr>
              <w:widowControl w:val="0"/>
              <w:spacing w:before="60" w:after="60"/>
              <w:ind w:left="57"/>
              <w:rPr>
                <w:rFonts w:ascii="Arial" w:hAnsi="Arial" w:cs="Arial"/>
                <w:sz w:val="20"/>
                <w:szCs w:val="20"/>
              </w:rPr>
            </w:pPr>
            <w:r w:rsidRPr="00EB7B59">
              <w:rPr>
                <w:rFonts w:ascii="Arial" w:hAnsi="Arial" w:cs="Arial"/>
                <w:sz w:val="20"/>
                <w:szCs w:val="20"/>
              </w:rPr>
              <w:t>Ley General de Instituciones y Procedimientos Electorales.</w:t>
            </w:r>
          </w:p>
        </w:tc>
      </w:tr>
      <w:tr w:rsidR="00CA19D5" w:rsidRPr="00EB7B59" w:rsidTr="00327DC5">
        <w:trPr>
          <w:trHeight w:val="624"/>
          <w:jc w:val="center"/>
        </w:trPr>
        <w:tc>
          <w:tcPr>
            <w:tcW w:w="2042" w:type="pct"/>
            <w:shd w:val="clear" w:color="auto" w:fill="auto"/>
            <w:vAlign w:val="center"/>
          </w:tcPr>
          <w:p w:rsidR="00CA19D5" w:rsidRPr="00EB7B59" w:rsidRDefault="00CA19D5" w:rsidP="00327DC5">
            <w:pPr>
              <w:widowControl w:val="0"/>
              <w:spacing w:before="60" w:after="60"/>
              <w:ind w:left="57"/>
              <w:jc w:val="right"/>
              <w:rPr>
                <w:rFonts w:ascii="Arial" w:hAnsi="Arial" w:cs="Arial"/>
                <w:b/>
                <w:sz w:val="20"/>
                <w:szCs w:val="20"/>
              </w:rPr>
            </w:pPr>
            <w:r w:rsidRPr="00EB7B59">
              <w:rPr>
                <w:rFonts w:ascii="Arial" w:hAnsi="Arial" w:cs="Arial"/>
                <w:b/>
                <w:sz w:val="20"/>
                <w:szCs w:val="20"/>
              </w:rPr>
              <w:t>Ley de Partidos:</w:t>
            </w:r>
          </w:p>
        </w:tc>
        <w:tc>
          <w:tcPr>
            <w:tcW w:w="2958" w:type="pct"/>
            <w:shd w:val="clear" w:color="auto" w:fill="auto"/>
            <w:vAlign w:val="center"/>
          </w:tcPr>
          <w:p w:rsidR="00CA19D5" w:rsidRPr="00EB7B59" w:rsidRDefault="00CA19D5" w:rsidP="00327DC5">
            <w:pPr>
              <w:widowControl w:val="0"/>
              <w:spacing w:before="60" w:after="60"/>
              <w:ind w:left="57"/>
              <w:rPr>
                <w:rFonts w:ascii="Arial" w:hAnsi="Arial" w:cs="Arial"/>
                <w:sz w:val="20"/>
                <w:szCs w:val="20"/>
              </w:rPr>
            </w:pPr>
            <w:r w:rsidRPr="00EB7B59">
              <w:rPr>
                <w:rFonts w:ascii="Arial" w:hAnsi="Arial" w:cs="Arial"/>
                <w:sz w:val="20"/>
                <w:szCs w:val="20"/>
              </w:rPr>
              <w:t>Ley General de Partidos Políticos</w:t>
            </w:r>
            <w:r w:rsidR="008E4130" w:rsidRPr="00EB7B59">
              <w:rPr>
                <w:rFonts w:ascii="Arial" w:hAnsi="Arial" w:cs="Arial"/>
                <w:sz w:val="20"/>
                <w:szCs w:val="20"/>
              </w:rPr>
              <w:t>.</w:t>
            </w:r>
          </w:p>
        </w:tc>
      </w:tr>
      <w:tr w:rsidR="00632E28" w:rsidRPr="00EB7B59" w:rsidTr="00327DC5">
        <w:trPr>
          <w:trHeight w:val="624"/>
          <w:jc w:val="center"/>
        </w:trPr>
        <w:tc>
          <w:tcPr>
            <w:tcW w:w="2042" w:type="pct"/>
            <w:shd w:val="clear" w:color="auto" w:fill="auto"/>
            <w:vAlign w:val="center"/>
          </w:tcPr>
          <w:p w:rsidR="00632E28" w:rsidRPr="00EB7B59" w:rsidRDefault="00632E28" w:rsidP="00327DC5">
            <w:pPr>
              <w:widowControl w:val="0"/>
              <w:spacing w:before="60" w:after="60"/>
              <w:ind w:left="57"/>
              <w:jc w:val="right"/>
              <w:rPr>
                <w:rFonts w:ascii="Arial" w:hAnsi="Arial" w:cs="Arial"/>
                <w:b/>
                <w:sz w:val="20"/>
                <w:szCs w:val="20"/>
              </w:rPr>
            </w:pPr>
            <w:r w:rsidRPr="00EB7B59">
              <w:rPr>
                <w:rFonts w:ascii="Arial" w:hAnsi="Arial" w:cs="Arial"/>
                <w:b/>
                <w:sz w:val="20"/>
                <w:szCs w:val="20"/>
              </w:rPr>
              <w:t>Organismo electoral:</w:t>
            </w:r>
          </w:p>
        </w:tc>
        <w:tc>
          <w:tcPr>
            <w:tcW w:w="2958" w:type="pct"/>
            <w:shd w:val="clear" w:color="auto" w:fill="auto"/>
            <w:vAlign w:val="center"/>
          </w:tcPr>
          <w:p w:rsidR="00632E28" w:rsidRPr="00EB7B59" w:rsidRDefault="00632E28" w:rsidP="00327DC5">
            <w:pPr>
              <w:widowControl w:val="0"/>
              <w:spacing w:before="60" w:after="60"/>
              <w:ind w:left="57"/>
              <w:rPr>
                <w:rFonts w:ascii="Arial" w:hAnsi="Arial" w:cs="Arial"/>
                <w:sz w:val="20"/>
                <w:szCs w:val="20"/>
              </w:rPr>
            </w:pPr>
            <w:r w:rsidRPr="00EB7B59">
              <w:rPr>
                <w:rFonts w:ascii="Arial" w:hAnsi="Arial" w:cs="Arial"/>
                <w:sz w:val="20"/>
                <w:szCs w:val="20"/>
              </w:rPr>
              <w:t xml:space="preserve">Organismo(s) público(s) local(es) electoral(es). </w:t>
            </w:r>
          </w:p>
        </w:tc>
      </w:tr>
      <w:tr w:rsidR="00632E28" w:rsidRPr="00EB7B59" w:rsidTr="00327DC5">
        <w:trPr>
          <w:trHeight w:val="624"/>
          <w:jc w:val="center"/>
        </w:trPr>
        <w:tc>
          <w:tcPr>
            <w:tcW w:w="2042" w:type="pct"/>
            <w:shd w:val="clear" w:color="auto" w:fill="auto"/>
            <w:vAlign w:val="center"/>
          </w:tcPr>
          <w:p w:rsidR="00632E28" w:rsidRPr="00EB7B59" w:rsidRDefault="00632E28" w:rsidP="00327DC5">
            <w:pPr>
              <w:widowControl w:val="0"/>
              <w:spacing w:before="60" w:after="60"/>
              <w:ind w:left="57"/>
              <w:jc w:val="right"/>
              <w:rPr>
                <w:rFonts w:ascii="Arial" w:hAnsi="Arial" w:cs="Arial"/>
                <w:b/>
                <w:sz w:val="20"/>
                <w:szCs w:val="20"/>
              </w:rPr>
            </w:pPr>
            <w:r w:rsidRPr="00EB7B59">
              <w:rPr>
                <w:rFonts w:ascii="Arial" w:hAnsi="Arial" w:cs="Arial"/>
                <w:b/>
                <w:sz w:val="20"/>
                <w:szCs w:val="20"/>
              </w:rPr>
              <w:t>Proceso Electoral:</w:t>
            </w:r>
          </w:p>
        </w:tc>
        <w:tc>
          <w:tcPr>
            <w:tcW w:w="2958" w:type="pct"/>
            <w:shd w:val="clear" w:color="auto" w:fill="auto"/>
            <w:vAlign w:val="center"/>
          </w:tcPr>
          <w:p w:rsidR="00632E28" w:rsidRPr="00EB7B59" w:rsidRDefault="00632E28" w:rsidP="00327DC5">
            <w:pPr>
              <w:widowControl w:val="0"/>
              <w:spacing w:before="60" w:after="60"/>
              <w:ind w:left="57"/>
              <w:rPr>
                <w:rFonts w:ascii="Arial" w:hAnsi="Arial" w:cs="Arial"/>
                <w:sz w:val="20"/>
                <w:szCs w:val="20"/>
              </w:rPr>
            </w:pPr>
            <w:r w:rsidRPr="00EB7B59">
              <w:rPr>
                <w:rFonts w:ascii="Arial" w:hAnsi="Arial" w:cs="Arial"/>
                <w:sz w:val="20"/>
                <w:szCs w:val="20"/>
              </w:rPr>
              <w:t>Proceso Electoral Local Ordinario 2023-2024.</w:t>
            </w:r>
          </w:p>
        </w:tc>
      </w:tr>
      <w:tr w:rsidR="00632E28" w:rsidRPr="00EB7B59" w:rsidTr="00327DC5">
        <w:trPr>
          <w:trHeight w:val="624"/>
          <w:jc w:val="center"/>
        </w:trPr>
        <w:tc>
          <w:tcPr>
            <w:tcW w:w="2042" w:type="pct"/>
            <w:shd w:val="clear" w:color="auto" w:fill="auto"/>
            <w:vAlign w:val="center"/>
          </w:tcPr>
          <w:p w:rsidR="00632E28" w:rsidRPr="00EB7B59" w:rsidRDefault="00632E28" w:rsidP="00327DC5">
            <w:pPr>
              <w:widowControl w:val="0"/>
              <w:spacing w:before="60" w:after="60"/>
              <w:ind w:left="57"/>
              <w:jc w:val="right"/>
              <w:rPr>
                <w:rFonts w:ascii="Arial" w:hAnsi="Arial" w:cs="Arial"/>
                <w:b/>
                <w:sz w:val="20"/>
                <w:szCs w:val="20"/>
              </w:rPr>
            </w:pPr>
            <w:r w:rsidRPr="00EB7B59">
              <w:rPr>
                <w:rFonts w:ascii="Arial" w:hAnsi="Arial" w:cs="Arial"/>
                <w:b/>
                <w:sz w:val="20"/>
                <w:szCs w:val="20"/>
              </w:rPr>
              <w:t>Secretaría Ejecutiva:</w:t>
            </w:r>
          </w:p>
        </w:tc>
        <w:tc>
          <w:tcPr>
            <w:tcW w:w="2958" w:type="pct"/>
            <w:shd w:val="clear" w:color="auto" w:fill="auto"/>
            <w:vAlign w:val="center"/>
          </w:tcPr>
          <w:p w:rsidR="00632E28" w:rsidRPr="00EB7B59" w:rsidRDefault="00632E28" w:rsidP="00327DC5">
            <w:pPr>
              <w:widowControl w:val="0"/>
              <w:spacing w:before="60" w:after="60"/>
              <w:ind w:left="57"/>
              <w:rPr>
                <w:rFonts w:ascii="Arial" w:hAnsi="Arial" w:cs="Arial"/>
                <w:sz w:val="20"/>
                <w:szCs w:val="20"/>
              </w:rPr>
            </w:pPr>
            <w:r w:rsidRPr="00EB7B59">
              <w:rPr>
                <w:rFonts w:ascii="Arial" w:hAnsi="Arial" w:cs="Arial"/>
                <w:sz w:val="20"/>
                <w:szCs w:val="20"/>
              </w:rPr>
              <w:t>Secretaría Ejecutiva del Instituto Electoral y de Participación Ciudadana de Tabasco.</w:t>
            </w:r>
          </w:p>
        </w:tc>
      </w:tr>
    </w:tbl>
    <w:p w:rsidR="00632E28" w:rsidRPr="00EB7B59" w:rsidRDefault="00632E28" w:rsidP="006D5BD4">
      <w:pPr>
        <w:pStyle w:val="Ttulo1"/>
        <w:rPr>
          <w:rFonts w:ascii="Arial" w:hAnsi="Arial" w:cs="Arial"/>
          <w:sz w:val="24"/>
        </w:rPr>
      </w:pPr>
      <w:r w:rsidRPr="00EB7B59">
        <w:rPr>
          <w:rFonts w:ascii="Arial" w:hAnsi="Arial" w:cs="Arial"/>
          <w:sz w:val="24"/>
        </w:rPr>
        <w:lastRenderedPageBreak/>
        <w:t>Antecedentes</w:t>
      </w:r>
    </w:p>
    <w:p w:rsidR="00C80B86" w:rsidRPr="00EB7B59" w:rsidRDefault="00C80B86" w:rsidP="00632E28">
      <w:pPr>
        <w:pStyle w:val="Ttulo2"/>
        <w:rPr>
          <w:rFonts w:ascii="Arial" w:hAnsi="Arial" w:cs="Arial"/>
          <w:sz w:val="23"/>
        </w:rPr>
      </w:pPr>
      <w:r w:rsidRPr="00EB7B59">
        <w:rPr>
          <w:rFonts w:ascii="Arial" w:hAnsi="Arial" w:cs="Arial"/>
          <w:sz w:val="23"/>
        </w:rPr>
        <w:t>Acreditación del PAN</w:t>
      </w:r>
    </w:p>
    <w:p w:rsidR="00C80B86" w:rsidRPr="00EB7B59" w:rsidRDefault="00C80B86" w:rsidP="00C80B86">
      <w:pPr>
        <w:rPr>
          <w:rFonts w:ascii="Arial" w:hAnsi="Arial" w:cs="Arial"/>
          <w:sz w:val="23"/>
          <w:szCs w:val="23"/>
        </w:rPr>
      </w:pPr>
      <w:r w:rsidRPr="00EB7B59">
        <w:rPr>
          <w:rFonts w:ascii="Arial" w:hAnsi="Arial" w:cs="Arial"/>
          <w:sz w:val="23"/>
          <w:szCs w:val="23"/>
        </w:rPr>
        <w:t>El 5 de octubre de 2023, mediante acuerdo CE/2023/032, el Consejo Estatal acreditó al Partido Acción Nacional con motivo del Proceso Electoral Local Ordinario 2023 – 2024 y, en consecuencia, redistribuyó el financiamiento público local que correspondió a los partidos políticos para el sostenimiento de sus actividades ordinarias permanentes y específicas para el ejercicio 2023.</w:t>
      </w:r>
    </w:p>
    <w:p w:rsidR="00632E28" w:rsidRPr="00EB7B59" w:rsidRDefault="00632E28" w:rsidP="00632E28">
      <w:pPr>
        <w:pStyle w:val="Ttulo2"/>
        <w:rPr>
          <w:rFonts w:ascii="Arial" w:hAnsi="Arial" w:cs="Arial"/>
          <w:sz w:val="23"/>
        </w:rPr>
      </w:pPr>
      <w:r w:rsidRPr="00EB7B59">
        <w:rPr>
          <w:rFonts w:ascii="Arial" w:hAnsi="Arial" w:cs="Arial"/>
          <w:sz w:val="23"/>
        </w:rPr>
        <w:t>Inicio del Proceso Electoral</w:t>
      </w:r>
    </w:p>
    <w:p w:rsidR="00632E28" w:rsidRPr="00EB7B59" w:rsidRDefault="00632E28" w:rsidP="00632E28">
      <w:pPr>
        <w:rPr>
          <w:rFonts w:ascii="Arial" w:hAnsi="Arial" w:cs="Arial"/>
          <w:sz w:val="23"/>
          <w:szCs w:val="23"/>
        </w:rPr>
      </w:pPr>
      <w:r w:rsidRPr="00EB7B59">
        <w:rPr>
          <w:rFonts w:ascii="Arial" w:hAnsi="Arial" w:cs="Arial"/>
          <w:sz w:val="23"/>
          <w:szCs w:val="23"/>
        </w:rPr>
        <w:t>El 6 de octubre de 2023, el Consejo Estatal de conformidad con el artículo 111 de la Ley Electoral declaró el inicio del Proceso Electoral por el que se renovaron los cargos relativos a la Gubernatura del Estado, diputaciones locales y presidencias municipales y regidurías.</w:t>
      </w:r>
    </w:p>
    <w:p w:rsidR="00A027FF" w:rsidRPr="00EB7B59" w:rsidRDefault="00A027FF" w:rsidP="00A027FF">
      <w:pPr>
        <w:pStyle w:val="Ttulo2"/>
        <w:rPr>
          <w:rFonts w:ascii="Arial" w:hAnsi="Arial" w:cs="Arial"/>
          <w:sz w:val="23"/>
        </w:rPr>
      </w:pPr>
      <w:r w:rsidRPr="00EB7B59">
        <w:rPr>
          <w:rFonts w:ascii="Arial" w:hAnsi="Arial" w:cs="Arial"/>
          <w:sz w:val="23"/>
        </w:rPr>
        <w:t>Período de campaña</w:t>
      </w:r>
    </w:p>
    <w:p w:rsidR="00A027FF" w:rsidRPr="00EB7B59" w:rsidRDefault="00A027FF" w:rsidP="00A027FF">
      <w:pPr>
        <w:rPr>
          <w:rFonts w:ascii="Arial" w:hAnsi="Arial" w:cs="Arial"/>
          <w:sz w:val="23"/>
          <w:szCs w:val="23"/>
        </w:rPr>
      </w:pPr>
      <w:r w:rsidRPr="00EB7B59">
        <w:rPr>
          <w:rFonts w:ascii="Arial" w:hAnsi="Arial" w:cs="Arial"/>
          <w:sz w:val="23"/>
          <w:szCs w:val="23"/>
        </w:rPr>
        <w:t>Por su parte, el artículo 202, numerales 1 y 3 de la Ley Electoral, las campañas electorales para Gobernador, diputados y regidores, en el año de elecciones generales, tendrán una duración de setenta y cinco días, e iniciarán a partir del día siguiente al de la sesión de registro de candidaturas para la elección respectiva, debiendo concluir tres días antes de la jornada electoral. En ese tenor, para el Proceso Electoral, el período de campaña inició el 16 de marzo y concluyó el 29 de mayo de 2024.</w:t>
      </w:r>
    </w:p>
    <w:p w:rsidR="00632E28" w:rsidRPr="00EB7B59" w:rsidRDefault="00632E28" w:rsidP="00632E28">
      <w:pPr>
        <w:pStyle w:val="Ttulo2"/>
        <w:rPr>
          <w:rFonts w:ascii="Arial" w:hAnsi="Arial" w:cs="Arial"/>
          <w:sz w:val="23"/>
        </w:rPr>
      </w:pPr>
      <w:r w:rsidRPr="00EB7B59">
        <w:rPr>
          <w:rFonts w:ascii="Arial" w:hAnsi="Arial" w:cs="Arial"/>
          <w:sz w:val="23"/>
        </w:rPr>
        <w:t>Jornada electoral</w:t>
      </w:r>
    </w:p>
    <w:p w:rsidR="00632E28" w:rsidRDefault="00632E28" w:rsidP="00632E28">
      <w:pPr>
        <w:rPr>
          <w:rFonts w:ascii="Arial" w:hAnsi="Arial" w:cs="Arial"/>
          <w:sz w:val="23"/>
          <w:szCs w:val="23"/>
        </w:rPr>
      </w:pPr>
      <w:r w:rsidRPr="00EB7B59">
        <w:rPr>
          <w:rFonts w:ascii="Arial" w:hAnsi="Arial" w:cs="Arial"/>
          <w:sz w:val="23"/>
          <w:szCs w:val="23"/>
        </w:rPr>
        <w:t>En términos del artículo 27 numeral 1 de la Ley Electoral las elecciones ordinarias deberán celebrarse el primer domingo del mes de junio del año que corresponda. Por lo que, en el caso del Proceso Electoral la jornada electoral se realizó el 2 de junio de 2024.</w:t>
      </w:r>
    </w:p>
    <w:p w:rsidR="00EB7B59" w:rsidRDefault="00EB7B59" w:rsidP="00632E28">
      <w:pPr>
        <w:rPr>
          <w:rFonts w:ascii="Arial" w:hAnsi="Arial" w:cs="Arial"/>
          <w:sz w:val="23"/>
          <w:szCs w:val="23"/>
        </w:rPr>
      </w:pPr>
    </w:p>
    <w:p w:rsidR="00EB7B59" w:rsidRPr="00EB7B59" w:rsidRDefault="00EB7B59" w:rsidP="00632E28">
      <w:pPr>
        <w:rPr>
          <w:rFonts w:ascii="Arial" w:hAnsi="Arial" w:cs="Arial"/>
          <w:sz w:val="23"/>
          <w:szCs w:val="23"/>
        </w:rPr>
      </w:pPr>
    </w:p>
    <w:p w:rsidR="00A027FF" w:rsidRPr="00EB7B59" w:rsidRDefault="00A027FF" w:rsidP="00A027FF">
      <w:pPr>
        <w:pStyle w:val="Ttulo2"/>
        <w:rPr>
          <w:rFonts w:ascii="Arial" w:hAnsi="Arial" w:cs="Arial"/>
          <w:sz w:val="23"/>
        </w:rPr>
      </w:pPr>
      <w:r w:rsidRPr="00EB7B59">
        <w:rPr>
          <w:rFonts w:ascii="Arial" w:hAnsi="Arial" w:cs="Arial"/>
          <w:sz w:val="23"/>
        </w:rPr>
        <w:lastRenderedPageBreak/>
        <w:t>Sesiones de cómputo</w:t>
      </w:r>
    </w:p>
    <w:p w:rsidR="00A027FF" w:rsidRPr="00EB7B59" w:rsidRDefault="00A027FF" w:rsidP="00A027FF">
      <w:pPr>
        <w:rPr>
          <w:rFonts w:ascii="Arial" w:hAnsi="Arial" w:cs="Arial"/>
          <w:sz w:val="23"/>
          <w:szCs w:val="23"/>
        </w:rPr>
      </w:pPr>
      <w:r w:rsidRPr="00EB7B59">
        <w:rPr>
          <w:rFonts w:ascii="Arial" w:hAnsi="Arial" w:cs="Arial"/>
          <w:sz w:val="23"/>
          <w:szCs w:val="23"/>
        </w:rPr>
        <w:t>A partir del 5 de junio de 2024, los Consejos Distritales de conformidad con el artículo 258 numeral 1 de la Ley Electoral sesionaron de manera ininterrumpida con el propósito de hacer el cómputo de cada una de las elecciones para la Gubernatura del Estado, Diputaciones locales y Presidencias Municipales y Regidurías.</w:t>
      </w:r>
    </w:p>
    <w:p w:rsidR="00A027FF" w:rsidRPr="00EB7B59" w:rsidRDefault="00A027FF" w:rsidP="00A027FF">
      <w:pPr>
        <w:pStyle w:val="Ttulo2"/>
        <w:rPr>
          <w:rFonts w:ascii="Arial" w:hAnsi="Arial" w:cs="Arial"/>
          <w:sz w:val="23"/>
        </w:rPr>
      </w:pPr>
      <w:r w:rsidRPr="00EB7B59">
        <w:rPr>
          <w:rFonts w:ascii="Arial" w:hAnsi="Arial" w:cs="Arial"/>
          <w:sz w:val="23"/>
        </w:rPr>
        <w:t>Impugnación de resultados</w:t>
      </w:r>
    </w:p>
    <w:p w:rsidR="00A027FF" w:rsidRPr="00EB7B59" w:rsidRDefault="00A027FF" w:rsidP="00A027FF">
      <w:pPr>
        <w:rPr>
          <w:rFonts w:ascii="Arial" w:hAnsi="Arial" w:cs="Arial"/>
          <w:sz w:val="23"/>
          <w:szCs w:val="23"/>
        </w:rPr>
      </w:pPr>
      <w:r w:rsidRPr="00EB7B59">
        <w:rPr>
          <w:rFonts w:ascii="Arial" w:hAnsi="Arial" w:cs="Arial"/>
          <w:sz w:val="23"/>
          <w:szCs w:val="23"/>
        </w:rPr>
        <w:t>En términos de lo previsto en los artículos 3 numeral 1 inciso a), numeral 2 inciso b), 7 numeral 1, 57 numeral 1 inciso b) de la Ley de Medios, los partidos políticos y candidaturas dispusieron del plazo de cuatro días contados a partir de la finalización de los cómputos, para impugnar los resultados consignados en las actas correspondientes, las declaraciones de validez de las elecciones y el otorgamiento de las constancias de mayoría respectivas.</w:t>
      </w:r>
    </w:p>
    <w:p w:rsidR="00A027FF" w:rsidRPr="00EB7B59" w:rsidRDefault="00A027FF" w:rsidP="00A027FF">
      <w:pPr>
        <w:rPr>
          <w:rFonts w:ascii="Arial" w:hAnsi="Arial" w:cs="Arial"/>
          <w:sz w:val="23"/>
          <w:szCs w:val="23"/>
        </w:rPr>
      </w:pPr>
      <w:r w:rsidRPr="00EB7B59">
        <w:rPr>
          <w:rFonts w:ascii="Arial" w:hAnsi="Arial" w:cs="Arial"/>
          <w:sz w:val="23"/>
          <w:szCs w:val="23"/>
        </w:rPr>
        <w:t>En ese sentido, los medios de impugnación se resolvieron dentro de los plazos establecidos en las disposiciones legales.</w:t>
      </w:r>
    </w:p>
    <w:p w:rsidR="00F328C7" w:rsidRPr="00EB7B59" w:rsidRDefault="00F328C7" w:rsidP="00035558">
      <w:pPr>
        <w:pStyle w:val="Ttulo2"/>
        <w:rPr>
          <w:rFonts w:ascii="Arial" w:hAnsi="Arial" w:cs="Arial"/>
          <w:sz w:val="23"/>
        </w:rPr>
      </w:pPr>
      <w:r w:rsidRPr="00EB7B59">
        <w:rPr>
          <w:rFonts w:ascii="Arial" w:hAnsi="Arial" w:cs="Arial"/>
          <w:sz w:val="23"/>
        </w:rPr>
        <w:t>Resultados de las elecciones</w:t>
      </w:r>
    </w:p>
    <w:p w:rsidR="00E66F9B" w:rsidRDefault="00E66F9B" w:rsidP="00E66F9B">
      <w:pPr>
        <w:rPr>
          <w:rFonts w:ascii="Arial" w:hAnsi="Arial" w:cs="Arial"/>
        </w:rPr>
      </w:pPr>
      <w:r w:rsidRPr="00EB7B59">
        <w:rPr>
          <w:rFonts w:ascii="Arial" w:hAnsi="Arial" w:cs="Arial"/>
          <w:sz w:val="23"/>
          <w:szCs w:val="23"/>
        </w:rPr>
        <w:t>Una vez concluidos los cómputos distritales de las elecciones de Gubernatura, diputaciones y regidurías por ambos principios y agotados los medios de impugnación que se promovieron en contra de los resultados, la Dirección de Organización Electoral y Educación Cívica</w:t>
      </w:r>
      <w:r w:rsidR="00243602" w:rsidRPr="00EB7B59">
        <w:rPr>
          <w:rFonts w:ascii="Arial" w:hAnsi="Arial" w:cs="Arial"/>
          <w:sz w:val="23"/>
          <w:szCs w:val="23"/>
        </w:rPr>
        <w:t xml:space="preserve"> mediante oficio</w:t>
      </w:r>
      <w:r w:rsidR="007950AD" w:rsidRPr="00EB7B59">
        <w:rPr>
          <w:rFonts w:ascii="Arial" w:hAnsi="Arial" w:cs="Arial"/>
          <w:sz w:val="23"/>
          <w:szCs w:val="23"/>
        </w:rPr>
        <w:t>s</w:t>
      </w:r>
      <w:r w:rsidR="00243602" w:rsidRPr="00EB7B59">
        <w:rPr>
          <w:rFonts w:ascii="Arial" w:hAnsi="Arial" w:cs="Arial"/>
          <w:sz w:val="23"/>
          <w:szCs w:val="23"/>
        </w:rPr>
        <w:t xml:space="preserve"> DOEEC/2163/2024</w:t>
      </w:r>
      <w:r w:rsidRPr="00EB7B59">
        <w:rPr>
          <w:rFonts w:ascii="Arial" w:hAnsi="Arial" w:cs="Arial"/>
          <w:sz w:val="23"/>
          <w:szCs w:val="23"/>
        </w:rPr>
        <w:t xml:space="preserve"> </w:t>
      </w:r>
      <w:r w:rsidR="007950AD" w:rsidRPr="00EB7B59">
        <w:rPr>
          <w:rFonts w:ascii="Arial" w:hAnsi="Arial" w:cs="Arial"/>
          <w:sz w:val="23"/>
          <w:szCs w:val="23"/>
        </w:rPr>
        <w:t xml:space="preserve">y DOEEC/2167/2024 </w:t>
      </w:r>
      <w:r w:rsidRPr="00EB7B59">
        <w:rPr>
          <w:rFonts w:ascii="Arial" w:hAnsi="Arial" w:cs="Arial"/>
          <w:sz w:val="23"/>
          <w:szCs w:val="23"/>
        </w:rPr>
        <w:t>proporcionó a la Secretaría Ejecutiva los resultados siguiente</w:t>
      </w:r>
      <w:r w:rsidR="00C22D7D" w:rsidRPr="00EB7B59">
        <w:rPr>
          <w:rFonts w:ascii="Arial" w:hAnsi="Arial" w:cs="Arial"/>
          <w:sz w:val="23"/>
          <w:szCs w:val="23"/>
        </w:rPr>
        <w:t>s</w:t>
      </w:r>
      <w:r w:rsidR="0000663F" w:rsidRPr="00EB7B59">
        <w:rPr>
          <w:rFonts w:ascii="Arial" w:hAnsi="Arial" w:cs="Arial"/>
          <w:sz w:val="23"/>
          <w:szCs w:val="23"/>
        </w:rPr>
        <w:t>, en los cuales se advierte que, los partidos político</w:t>
      </w:r>
      <w:r w:rsidR="0000663F" w:rsidRPr="00EB7B59">
        <w:rPr>
          <w:rFonts w:ascii="Arial" w:hAnsi="Arial" w:cs="Arial"/>
        </w:rPr>
        <w:t>s en lo individual obtuvieron la siguiente votación</w:t>
      </w:r>
      <w:r w:rsidR="00D47597" w:rsidRPr="00EB7B59">
        <w:rPr>
          <w:rFonts w:ascii="Arial" w:hAnsi="Arial" w:cs="Arial"/>
        </w:rPr>
        <w:t xml:space="preserve"> válida</w:t>
      </w:r>
      <w:r w:rsidR="0000663F" w:rsidRPr="00EB7B59">
        <w:rPr>
          <w:rFonts w:ascii="Arial" w:hAnsi="Arial" w:cs="Arial"/>
        </w:rPr>
        <w:t>:</w:t>
      </w:r>
    </w:p>
    <w:tbl>
      <w:tblPr>
        <w:tblStyle w:val="Tablaconcuadrcula"/>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2311"/>
        <w:gridCol w:w="1313"/>
        <w:gridCol w:w="772"/>
        <w:gridCol w:w="1506"/>
        <w:gridCol w:w="803"/>
        <w:gridCol w:w="1323"/>
        <w:gridCol w:w="800"/>
      </w:tblGrid>
      <w:tr w:rsidR="00D47597" w:rsidRPr="00EB7B59" w:rsidTr="00596AC0">
        <w:tc>
          <w:tcPr>
            <w:tcW w:w="2311" w:type="dxa"/>
            <w:shd w:val="clear" w:color="auto" w:fill="993366"/>
          </w:tcPr>
          <w:p w:rsidR="00F438CE" w:rsidRPr="00F77DF9" w:rsidRDefault="00F438CE" w:rsidP="00F438CE">
            <w:pPr>
              <w:spacing w:before="40" w:after="40"/>
              <w:jc w:val="center"/>
              <w:rPr>
                <w:rFonts w:ascii="Arial" w:hAnsi="Arial" w:cs="Arial"/>
                <w:b/>
                <w:color w:val="FFFFFF" w:themeColor="background1"/>
                <w:sz w:val="14"/>
                <w:szCs w:val="14"/>
              </w:rPr>
            </w:pPr>
            <w:r w:rsidRPr="00F77DF9">
              <w:rPr>
                <w:rFonts w:ascii="Arial" w:hAnsi="Arial" w:cs="Arial"/>
                <w:b/>
                <w:color w:val="FFFFFF" w:themeColor="background1"/>
                <w:sz w:val="14"/>
                <w:szCs w:val="14"/>
              </w:rPr>
              <w:t>Partido político</w:t>
            </w:r>
          </w:p>
        </w:tc>
        <w:tc>
          <w:tcPr>
            <w:tcW w:w="1313" w:type="dxa"/>
            <w:shd w:val="clear" w:color="auto" w:fill="993366"/>
          </w:tcPr>
          <w:p w:rsidR="00F438CE" w:rsidRPr="00F77DF9" w:rsidRDefault="00F438CE" w:rsidP="00F438CE">
            <w:pPr>
              <w:spacing w:before="40" w:after="40"/>
              <w:jc w:val="center"/>
              <w:rPr>
                <w:rFonts w:ascii="Arial" w:hAnsi="Arial" w:cs="Arial"/>
                <w:b/>
                <w:color w:val="FFFFFF" w:themeColor="background1"/>
                <w:sz w:val="14"/>
                <w:szCs w:val="14"/>
              </w:rPr>
            </w:pPr>
            <w:r w:rsidRPr="00F77DF9">
              <w:rPr>
                <w:rFonts w:ascii="Arial" w:hAnsi="Arial" w:cs="Arial"/>
                <w:b/>
                <w:color w:val="FFFFFF" w:themeColor="background1"/>
                <w:sz w:val="14"/>
                <w:szCs w:val="14"/>
              </w:rPr>
              <w:t>Ayuntamiento</w:t>
            </w:r>
          </w:p>
        </w:tc>
        <w:tc>
          <w:tcPr>
            <w:tcW w:w="772" w:type="dxa"/>
            <w:shd w:val="clear" w:color="auto" w:fill="993366"/>
          </w:tcPr>
          <w:p w:rsidR="00F438CE" w:rsidRPr="00F77DF9" w:rsidRDefault="00F438CE" w:rsidP="00F438CE">
            <w:pPr>
              <w:spacing w:before="40" w:after="40"/>
              <w:jc w:val="center"/>
              <w:rPr>
                <w:rFonts w:ascii="Arial" w:hAnsi="Arial" w:cs="Arial"/>
                <w:b/>
                <w:color w:val="FFFFFF" w:themeColor="background1"/>
                <w:sz w:val="14"/>
                <w:szCs w:val="14"/>
              </w:rPr>
            </w:pPr>
            <w:r w:rsidRPr="00F77DF9">
              <w:rPr>
                <w:rFonts w:ascii="Arial" w:hAnsi="Arial" w:cs="Arial"/>
                <w:b/>
                <w:color w:val="FFFFFF" w:themeColor="background1"/>
                <w:sz w:val="14"/>
                <w:szCs w:val="14"/>
              </w:rPr>
              <w:t>%</w:t>
            </w:r>
          </w:p>
        </w:tc>
        <w:tc>
          <w:tcPr>
            <w:tcW w:w="1506" w:type="dxa"/>
            <w:shd w:val="clear" w:color="auto" w:fill="993366"/>
          </w:tcPr>
          <w:p w:rsidR="00F438CE" w:rsidRPr="00F77DF9" w:rsidRDefault="00F438CE" w:rsidP="00F438CE">
            <w:pPr>
              <w:spacing w:before="40" w:after="40"/>
              <w:jc w:val="center"/>
              <w:rPr>
                <w:rFonts w:ascii="Arial" w:hAnsi="Arial" w:cs="Arial"/>
                <w:b/>
                <w:color w:val="FFFFFF" w:themeColor="background1"/>
                <w:sz w:val="14"/>
                <w:szCs w:val="14"/>
              </w:rPr>
            </w:pPr>
            <w:r w:rsidRPr="00F77DF9">
              <w:rPr>
                <w:rFonts w:ascii="Arial" w:hAnsi="Arial" w:cs="Arial"/>
                <w:b/>
                <w:color w:val="FFFFFF" w:themeColor="background1"/>
                <w:sz w:val="14"/>
                <w:szCs w:val="14"/>
              </w:rPr>
              <w:t>Diputaciones</w:t>
            </w:r>
          </w:p>
        </w:tc>
        <w:tc>
          <w:tcPr>
            <w:tcW w:w="803" w:type="dxa"/>
            <w:shd w:val="clear" w:color="auto" w:fill="993366"/>
          </w:tcPr>
          <w:p w:rsidR="00F438CE" w:rsidRPr="00F77DF9" w:rsidRDefault="00F438CE" w:rsidP="00F438CE">
            <w:pPr>
              <w:spacing w:before="40" w:after="40"/>
              <w:jc w:val="center"/>
              <w:rPr>
                <w:rFonts w:ascii="Arial" w:hAnsi="Arial" w:cs="Arial"/>
                <w:b/>
                <w:color w:val="FFFFFF" w:themeColor="background1"/>
                <w:sz w:val="14"/>
                <w:szCs w:val="14"/>
              </w:rPr>
            </w:pPr>
            <w:r w:rsidRPr="00F77DF9">
              <w:rPr>
                <w:rFonts w:ascii="Arial" w:hAnsi="Arial" w:cs="Arial"/>
                <w:b/>
                <w:color w:val="FFFFFF" w:themeColor="background1"/>
                <w:sz w:val="14"/>
                <w:szCs w:val="14"/>
              </w:rPr>
              <w:t>%</w:t>
            </w:r>
          </w:p>
        </w:tc>
        <w:tc>
          <w:tcPr>
            <w:tcW w:w="1323" w:type="dxa"/>
            <w:shd w:val="clear" w:color="auto" w:fill="993366"/>
          </w:tcPr>
          <w:p w:rsidR="00F438CE" w:rsidRPr="00F77DF9" w:rsidRDefault="00F438CE" w:rsidP="00F438CE">
            <w:pPr>
              <w:spacing w:before="40" w:after="40"/>
              <w:jc w:val="center"/>
              <w:rPr>
                <w:rFonts w:ascii="Arial" w:hAnsi="Arial" w:cs="Arial"/>
                <w:b/>
                <w:color w:val="FFFFFF" w:themeColor="background1"/>
                <w:sz w:val="14"/>
                <w:szCs w:val="14"/>
              </w:rPr>
            </w:pPr>
            <w:r w:rsidRPr="00F77DF9">
              <w:rPr>
                <w:rFonts w:ascii="Arial" w:hAnsi="Arial" w:cs="Arial"/>
                <w:b/>
                <w:color w:val="FFFFFF" w:themeColor="background1"/>
                <w:sz w:val="14"/>
                <w:szCs w:val="14"/>
              </w:rPr>
              <w:t>Gubernatura</w:t>
            </w:r>
          </w:p>
        </w:tc>
        <w:tc>
          <w:tcPr>
            <w:tcW w:w="800" w:type="dxa"/>
            <w:shd w:val="clear" w:color="auto" w:fill="993366"/>
          </w:tcPr>
          <w:p w:rsidR="00F438CE" w:rsidRPr="00F77DF9" w:rsidRDefault="00F438CE" w:rsidP="00F438CE">
            <w:pPr>
              <w:spacing w:before="40" w:after="40"/>
              <w:jc w:val="center"/>
              <w:rPr>
                <w:rFonts w:ascii="Arial" w:hAnsi="Arial" w:cs="Arial"/>
                <w:b/>
                <w:color w:val="FFFFFF" w:themeColor="background1"/>
                <w:sz w:val="14"/>
                <w:szCs w:val="14"/>
              </w:rPr>
            </w:pPr>
            <w:r w:rsidRPr="00F77DF9">
              <w:rPr>
                <w:rFonts w:ascii="Arial" w:hAnsi="Arial" w:cs="Arial"/>
                <w:b/>
                <w:color w:val="FFFFFF" w:themeColor="background1"/>
                <w:sz w:val="14"/>
                <w:szCs w:val="14"/>
              </w:rPr>
              <w:t>%</w:t>
            </w:r>
          </w:p>
        </w:tc>
      </w:tr>
      <w:tr w:rsidR="00D47597" w:rsidRPr="00EB7B59" w:rsidTr="00596AC0">
        <w:tc>
          <w:tcPr>
            <w:tcW w:w="2311" w:type="dxa"/>
          </w:tcPr>
          <w:p w:rsidR="00F438CE" w:rsidRPr="00F77DF9" w:rsidRDefault="00F438CE" w:rsidP="00F438CE">
            <w:pPr>
              <w:spacing w:before="40" w:after="40"/>
              <w:jc w:val="center"/>
              <w:rPr>
                <w:rFonts w:ascii="Arial" w:hAnsi="Arial" w:cs="Arial"/>
                <w:b/>
                <w:sz w:val="14"/>
                <w:szCs w:val="14"/>
              </w:rPr>
            </w:pPr>
            <w:r w:rsidRPr="00F77DF9">
              <w:rPr>
                <w:rFonts w:ascii="Arial" w:hAnsi="Arial" w:cs="Arial"/>
                <w:b/>
                <w:sz w:val="14"/>
                <w:szCs w:val="14"/>
              </w:rPr>
              <w:t>PAN</w:t>
            </w:r>
          </w:p>
        </w:tc>
        <w:tc>
          <w:tcPr>
            <w:tcW w:w="1313" w:type="dxa"/>
          </w:tcPr>
          <w:p w:rsidR="00F438CE" w:rsidRPr="00F77DF9" w:rsidRDefault="006E5ABF" w:rsidP="00F438CE">
            <w:pPr>
              <w:spacing w:before="40" w:after="40"/>
              <w:jc w:val="center"/>
              <w:rPr>
                <w:rFonts w:ascii="Arial" w:hAnsi="Arial" w:cs="Arial"/>
                <w:b/>
                <w:sz w:val="14"/>
                <w:szCs w:val="14"/>
              </w:rPr>
            </w:pPr>
            <w:r w:rsidRPr="00F77DF9">
              <w:rPr>
                <w:rFonts w:ascii="Arial" w:hAnsi="Arial" w:cs="Arial"/>
                <w:b/>
                <w:sz w:val="14"/>
                <w:szCs w:val="14"/>
              </w:rPr>
              <w:t>18,667</w:t>
            </w:r>
          </w:p>
        </w:tc>
        <w:tc>
          <w:tcPr>
            <w:tcW w:w="772" w:type="dxa"/>
          </w:tcPr>
          <w:p w:rsidR="00F438CE" w:rsidRPr="00F77DF9" w:rsidRDefault="00D47597" w:rsidP="00F438CE">
            <w:pPr>
              <w:spacing w:before="40" w:after="40"/>
              <w:jc w:val="center"/>
              <w:rPr>
                <w:rFonts w:ascii="Arial" w:hAnsi="Arial" w:cs="Arial"/>
                <w:b/>
                <w:sz w:val="14"/>
                <w:szCs w:val="14"/>
              </w:rPr>
            </w:pPr>
            <w:r w:rsidRPr="00F77DF9">
              <w:rPr>
                <w:rFonts w:ascii="Arial" w:hAnsi="Arial" w:cs="Arial"/>
                <w:b/>
                <w:sz w:val="14"/>
                <w:szCs w:val="14"/>
              </w:rPr>
              <w:t>1.83%</w:t>
            </w:r>
          </w:p>
        </w:tc>
        <w:tc>
          <w:tcPr>
            <w:tcW w:w="1506" w:type="dxa"/>
          </w:tcPr>
          <w:p w:rsidR="00F438CE" w:rsidRPr="00F77DF9" w:rsidRDefault="006E5ABF" w:rsidP="00F438CE">
            <w:pPr>
              <w:spacing w:before="40" w:after="40"/>
              <w:jc w:val="center"/>
              <w:rPr>
                <w:rFonts w:ascii="Arial" w:hAnsi="Arial" w:cs="Arial"/>
                <w:b/>
                <w:sz w:val="14"/>
                <w:szCs w:val="14"/>
              </w:rPr>
            </w:pPr>
            <w:r w:rsidRPr="00F77DF9">
              <w:rPr>
                <w:rFonts w:ascii="Arial" w:hAnsi="Arial" w:cs="Arial"/>
                <w:b/>
                <w:sz w:val="14"/>
                <w:szCs w:val="14"/>
              </w:rPr>
              <w:t>23,611</w:t>
            </w:r>
          </w:p>
        </w:tc>
        <w:tc>
          <w:tcPr>
            <w:tcW w:w="803" w:type="dxa"/>
          </w:tcPr>
          <w:p w:rsidR="00F438CE" w:rsidRPr="00F77DF9" w:rsidRDefault="00D47597" w:rsidP="00F438CE">
            <w:pPr>
              <w:spacing w:before="40" w:after="40"/>
              <w:jc w:val="center"/>
              <w:rPr>
                <w:rFonts w:ascii="Arial" w:hAnsi="Arial" w:cs="Arial"/>
                <w:b/>
                <w:sz w:val="14"/>
                <w:szCs w:val="14"/>
              </w:rPr>
            </w:pPr>
            <w:r w:rsidRPr="00F77DF9">
              <w:rPr>
                <w:rFonts w:ascii="Arial" w:hAnsi="Arial" w:cs="Arial"/>
                <w:b/>
                <w:sz w:val="14"/>
                <w:szCs w:val="14"/>
              </w:rPr>
              <w:t>2.29%</w:t>
            </w:r>
          </w:p>
        </w:tc>
        <w:tc>
          <w:tcPr>
            <w:tcW w:w="1323" w:type="dxa"/>
          </w:tcPr>
          <w:p w:rsidR="00F438CE" w:rsidRPr="00F77DF9" w:rsidRDefault="0000663F" w:rsidP="006E5ABF">
            <w:pPr>
              <w:spacing w:before="40" w:after="40"/>
              <w:jc w:val="center"/>
              <w:rPr>
                <w:rFonts w:ascii="Arial" w:hAnsi="Arial" w:cs="Arial"/>
                <w:b/>
                <w:sz w:val="14"/>
                <w:szCs w:val="14"/>
              </w:rPr>
            </w:pPr>
            <w:r w:rsidRPr="00F77DF9">
              <w:rPr>
                <w:rFonts w:ascii="Arial" w:hAnsi="Arial" w:cs="Arial"/>
                <w:b/>
                <w:sz w:val="14"/>
                <w:szCs w:val="14"/>
              </w:rPr>
              <w:t>1</w:t>
            </w:r>
            <w:r w:rsidR="006E5ABF" w:rsidRPr="00F77DF9">
              <w:rPr>
                <w:rFonts w:ascii="Arial" w:hAnsi="Arial" w:cs="Arial"/>
                <w:b/>
                <w:sz w:val="14"/>
                <w:szCs w:val="14"/>
              </w:rPr>
              <w:t>8,765</w:t>
            </w:r>
          </w:p>
        </w:tc>
        <w:tc>
          <w:tcPr>
            <w:tcW w:w="800" w:type="dxa"/>
          </w:tcPr>
          <w:p w:rsidR="00F438CE" w:rsidRPr="00F77DF9" w:rsidRDefault="00D47597" w:rsidP="00F438CE">
            <w:pPr>
              <w:spacing w:before="40" w:after="40"/>
              <w:jc w:val="center"/>
              <w:rPr>
                <w:rFonts w:ascii="Arial" w:hAnsi="Arial" w:cs="Arial"/>
                <w:b/>
                <w:sz w:val="14"/>
                <w:szCs w:val="14"/>
              </w:rPr>
            </w:pPr>
            <w:r w:rsidRPr="00F77DF9">
              <w:rPr>
                <w:rFonts w:ascii="Arial" w:hAnsi="Arial" w:cs="Arial"/>
                <w:b/>
                <w:sz w:val="14"/>
                <w:szCs w:val="14"/>
              </w:rPr>
              <w:t>1.77%</w:t>
            </w:r>
          </w:p>
        </w:tc>
      </w:tr>
      <w:tr w:rsidR="00D47597" w:rsidRPr="00EB7B59" w:rsidTr="00596AC0">
        <w:tc>
          <w:tcPr>
            <w:tcW w:w="2311" w:type="dxa"/>
          </w:tcPr>
          <w:p w:rsidR="00F438CE" w:rsidRPr="00F77DF9" w:rsidRDefault="00F438CE" w:rsidP="00F438CE">
            <w:pPr>
              <w:spacing w:before="40" w:after="40"/>
              <w:jc w:val="center"/>
              <w:rPr>
                <w:rFonts w:ascii="Arial" w:hAnsi="Arial" w:cs="Arial"/>
                <w:b/>
                <w:sz w:val="14"/>
                <w:szCs w:val="14"/>
              </w:rPr>
            </w:pPr>
            <w:r w:rsidRPr="00F77DF9">
              <w:rPr>
                <w:rFonts w:ascii="Arial" w:hAnsi="Arial" w:cs="Arial"/>
                <w:b/>
                <w:sz w:val="14"/>
                <w:szCs w:val="14"/>
              </w:rPr>
              <w:t>PRI</w:t>
            </w:r>
          </w:p>
        </w:tc>
        <w:tc>
          <w:tcPr>
            <w:tcW w:w="1313" w:type="dxa"/>
          </w:tcPr>
          <w:p w:rsidR="00F438CE" w:rsidRPr="00F77DF9" w:rsidRDefault="006E5ABF" w:rsidP="00F438CE">
            <w:pPr>
              <w:spacing w:before="40" w:after="40"/>
              <w:jc w:val="center"/>
              <w:rPr>
                <w:rFonts w:ascii="Arial" w:hAnsi="Arial" w:cs="Arial"/>
                <w:b/>
                <w:sz w:val="14"/>
                <w:szCs w:val="14"/>
              </w:rPr>
            </w:pPr>
            <w:r w:rsidRPr="00F77DF9">
              <w:rPr>
                <w:rFonts w:ascii="Arial" w:hAnsi="Arial" w:cs="Arial"/>
                <w:b/>
                <w:sz w:val="14"/>
                <w:szCs w:val="14"/>
              </w:rPr>
              <w:t>22,459</w:t>
            </w:r>
          </w:p>
        </w:tc>
        <w:tc>
          <w:tcPr>
            <w:tcW w:w="772" w:type="dxa"/>
          </w:tcPr>
          <w:p w:rsidR="00F438CE" w:rsidRPr="00F77DF9" w:rsidRDefault="00D47597" w:rsidP="00F438CE">
            <w:pPr>
              <w:spacing w:before="40" w:after="40"/>
              <w:jc w:val="center"/>
              <w:rPr>
                <w:rFonts w:ascii="Arial" w:hAnsi="Arial" w:cs="Arial"/>
                <w:b/>
                <w:sz w:val="14"/>
                <w:szCs w:val="14"/>
              </w:rPr>
            </w:pPr>
            <w:r w:rsidRPr="00F77DF9">
              <w:rPr>
                <w:rFonts w:ascii="Arial" w:hAnsi="Arial" w:cs="Arial"/>
                <w:b/>
                <w:sz w:val="14"/>
                <w:szCs w:val="14"/>
              </w:rPr>
              <w:t>2.20%</w:t>
            </w:r>
          </w:p>
        </w:tc>
        <w:tc>
          <w:tcPr>
            <w:tcW w:w="1506" w:type="dxa"/>
          </w:tcPr>
          <w:p w:rsidR="00F438CE" w:rsidRPr="00F77DF9" w:rsidRDefault="006E5ABF" w:rsidP="00F438CE">
            <w:pPr>
              <w:spacing w:before="40" w:after="40"/>
              <w:jc w:val="center"/>
              <w:rPr>
                <w:rFonts w:ascii="Arial" w:hAnsi="Arial" w:cs="Arial"/>
                <w:b/>
                <w:sz w:val="14"/>
                <w:szCs w:val="14"/>
              </w:rPr>
            </w:pPr>
            <w:r w:rsidRPr="00F77DF9">
              <w:rPr>
                <w:rFonts w:ascii="Arial" w:hAnsi="Arial" w:cs="Arial"/>
                <w:b/>
                <w:sz w:val="14"/>
                <w:szCs w:val="14"/>
              </w:rPr>
              <w:t>34,414</w:t>
            </w:r>
          </w:p>
        </w:tc>
        <w:tc>
          <w:tcPr>
            <w:tcW w:w="803" w:type="dxa"/>
          </w:tcPr>
          <w:p w:rsidR="00F438CE" w:rsidRPr="00F77DF9" w:rsidRDefault="00D47597" w:rsidP="00F438CE">
            <w:pPr>
              <w:spacing w:before="40" w:after="40"/>
              <w:jc w:val="center"/>
              <w:rPr>
                <w:rFonts w:ascii="Arial" w:hAnsi="Arial" w:cs="Arial"/>
                <w:b/>
                <w:sz w:val="14"/>
                <w:szCs w:val="14"/>
              </w:rPr>
            </w:pPr>
            <w:r w:rsidRPr="00F77DF9">
              <w:rPr>
                <w:rFonts w:ascii="Arial" w:hAnsi="Arial" w:cs="Arial"/>
                <w:b/>
                <w:sz w:val="14"/>
                <w:szCs w:val="14"/>
              </w:rPr>
              <w:t>3.34%</w:t>
            </w:r>
          </w:p>
        </w:tc>
        <w:tc>
          <w:tcPr>
            <w:tcW w:w="1323" w:type="dxa"/>
          </w:tcPr>
          <w:p w:rsidR="00F438CE" w:rsidRPr="00F77DF9" w:rsidRDefault="006E5ABF" w:rsidP="00F438CE">
            <w:pPr>
              <w:spacing w:before="40" w:after="40"/>
              <w:jc w:val="center"/>
              <w:rPr>
                <w:rFonts w:ascii="Arial" w:hAnsi="Arial" w:cs="Arial"/>
                <w:b/>
                <w:sz w:val="14"/>
                <w:szCs w:val="14"/>
              </w:rPr>
            </w:pPr>
            <w:r w:rsidRPr="00F77DF9">
              <w:rPr>
                <w:rFonts w:ascii="Arial" w:hAnsi="Arial" w:cs="Arial"/>
                <w:b/>
                <w:sz w:val="14"/>
                <w:szCs w:val="14"/>
              </w:rPr>
              <w:t>26,684</w:t>
            </w:r>
          </w:p>
        </w:tc>
        <w:tc>
          <w:tcPr>
            <w:tcW w:w="800" w:type="dxa"/>
          </w:tcPr>
          <w:p w:rsidR="00F438CE" w:rsidRPr="00F77DF9" w:rsidRDefault="00D47597" w:rsidP="00F438CE">
            <w:pPr>
              <w:spacing w:before="40" w:after="40"/>
              <w:jc w:val="center"/>
              <w:rPr>
                <w:rFonts w:ascii="Arial" w:hAnsi="Arial" w:cs="Arial"/>
                <w:b/>
                <w:sz w:val="14"/>
                <w:szCs w:val="14"/>
              </w:rPr>
            </w:pPr>
            <w:r w:rsidRPr="00F77DF9">
              <w:rPr>
                <w:rFonts w:ascii="Arial" w:hAnsi="Arial" w:cs="Arial"/>
                <w:b/>
                <w:sz w:val="14"/>
                <w:szCs w:val="14"/>
              </w:rPr>
              <w:t>2.52%</w:t>
            </w:r>
          </w:p>
        </w:tc>
      </w:tr>
      <w:tr w:rsidR="00D47597" w:rsidRPr="00EB7B59" w:rsidTr="00596AC0">
        <w:tc>
          <w:tcPr>
            <w:tcW w:w="2311" w:type="dxa"/>
          </w:tcPr>
          <w:p w:rsidR="00F438CE" w:rsidRPr="00F77DF9" w:rsidRDefault="00F438CE" w:rsidP="00F438CE">
            <w:pPr>
              <w:spacing w:before="40" w:after="40"/>
              <w:jc w:val="center"/>
              <w:rPr>
                <w:rFonts w:ascii="Arial" w:hAnsi="Arial" w:cs="Arial"/>
                <w:b/>
                <w:sz w:val="14"/>
                <w:szCs w:val="14"/>
              </w:rPr>
            </w:pPr>
            <w:r w:rsidRPr="00F77DF9">
              <w:rPr>
                <w:rFonts w:ascii="Arial" w:hAnsi="Arial" w:cs="Arial"/>
                <w:b/>
                <w:sz w:val="14"/>
                <w:szCs w:val="14"/>
              </w:rPr>
              <w:t>PRD</w:t>
            </w:r>
          </w:p>
        </w:tc>
        <w:tc>
          <w:tcPr>
            <w:tcW w:w="1313" w:type="dxa"/>
          </w:tcPr>
          <w:p w:rsidR="00F438CE" w:rsidRPr="00F77DF9" w:rsidRDefault="006E5ABF" w:rsidP="00F438CE">
            <w:pPr>
              <w:spacing w:before="40" w:after="40"/>
              <w:jc w:val="center"/>
              <w:rPr>
                <w:rFonts w:ascii="Arial" w:hAnsi="Arial" w:cs="Arial"/>
                <w:b/>
                <w:sz w:val="14"/>
                <w:szCs w:val="14"/>
              </w:rPr>
            </w:pPr>
            <w:r w:rsidRPr="00F77DF9">
              <w:rPr>
                <w:rFonts w:ascii="Arial" w:hAnsi="Arial" w:cs="Arial"/>
                <w:b/>
                <w:sz w:val="14"/>
                <w:szCs w:val="14"/>
              </w:rPr>
              <w:t>135,824</w:t>
            </w:r>
          </w:p>
        </w:tc>
        <w:tc>
          <w:tcPr>
            <w:tcW w:w="772" w:type="dxa"/>
          </w:tcPr>
          <w:p w:rsidR="00F438CE" w:rsidRPr="00F77DF9" w:rsidRDefault="00D47597" w:rsidP="00F438CE">
            <w:pPr>
              <w:spacing w:before="40" w:after="40"/>
              <w:jc w:val="center"/>
              <w:rPr>
                <w:rFonts w:ascii="Arial" w:hAnsi="Arial" w:cs="Arial"/>
                <w:b/>
                <w:sz w:val="14"/>
                <w:szCs w:val="14"/>
              </w:rPr>
            </w:pPr>
            <w:r w:rsidRPr="00F77DF9">
              <w:rPr>
                <w:rFonts w:ascii="Arial" w:hAnsi="Arial" w:cs="Arial"/>
                <w:b/>
                <w:sz w:val="14"/>
                <w:szCs w:val="14"/>
              </w:rPr>
              <w:t>13.30%</w:t>
            </w:r>
          </w:p>
        </w:tc>
        <w:tc>
          <w:tcPr>
            <w:tcW w:w="1506" w:type="dxa"/>
          </w:tcPr>
          <w:p w:rsidR="00F438CE" w:rsidRPr="00F77DF9" w:rsidRDefault="006E5ABF" w:rsidP="00F438CE">
            <w:pPr>
              <w:spacing w:before="40" w:after="40"/>
              <w:jc w:val="center"/>
              <w:rPr>
                <w:rFonts w:ascii="Arial" w:hAnsi="Arial" w:cs="Arial"/>
                <w:b/>
                <w:sz w:val="14"/>
                <w:szCs w:val="14"/>
              </w:rPr>
            </w:pPr>
            <w:r w:rsidRPr="00F77DF9">
              <w:rPr>
                <w:rFonts w:ascii="Arial" w:hAnsi="Arial" w:cs="Arial"/>
                <w:b/>
                <w:sz w:val="14"/>
                <w:szCs w:val="14"/>
              </w:rPr>
              <w:t>99,865</w:t>
            </w:r>
          </w:p>
        </w:tc>
        <w:tc>
          <w:tcPr>
            <w:tcW w:w="803" w:type="dxa"/>
          </w:tcPr>
          <w:p w:rsidR="00F438CE" w:rsidRPr="00F77DF9" w:rsidRDefault="00D47597" w:rsidP="00F438CE">
            <w:pPr>
              <w:spacing w:before="40" w:after="40"/>
              <w:jc w:val="center"/>
              <w:rPr>
                <w:rFonts w:ascii="Arial" w:hAnsi="Arial" w:cs="Arial"/>
                <w:b/>
                <w:sz w:val="14"/>
                <w:szCs w:val="14"/>
              </w:rPr>
            </w:pPr>
            <w:r w:rsidRPr="00F77DF9">
              <w:rPr>
                <w:rFonts w:ascii="Arial" w:hAnsi="Arial" w:cs="Arial"/>
                <w:b/>
                <w:sz w:val="14"/>
                <w:szCs w:val="14"/>
              </w:rPr>
              <w:t>9.69%</w:t>
            </w:r>
          </w:p>
        </w:tc>
        <w:tc>
          <w:tcPr>
            <w:tcW w:w="1323" w:type="dxa"/>
          </w:tcPr>
          <w:p w:rsidR="00F438CE" w:rsidRPr="00F77DF9" w:rsidRDefault="0000663F" w:rsidP="00F438CE">
            <w:pPr>
              <w:spacing w:before="40" w:after="40"/>
              <w:jc w:val="center"/>
              <w:rPr>
                <w:rFonts w:ascii="Arial" w:hAnsi="Arial" w:cs="Arial"/>
                <w:b/>
                <w:sz w:val="14"/>
                <w:szCs w:val="14"/>
              </w:rPr>
            </w:pPr>
            <w:r w:rsidRPr="00F77DF9">
              <w:rPr>
                <w:rFonts w:ascii="Arial" w:hAnsi="Arial" w:cs="Arial"/>
                <w:b/>
                <w:sz w:val="14"/>
                <w:szCs w:val="14"/>
              </w:rPr>
              <w:t>75,290</w:t>
            </w:r>
          </w:p>
        </w:tc>
        <w:tc>
          <w:tcPr>
            <w:tcW w:w="800" w:type="dxa"/>
          </w:tcPr>
          <w:p w:rsidR="00F438CE" w:rsidRPr="00F77DF9" w:rsidRDefault="00D47597" w:rsidP="00F438CE">
            <w:pPr>
              <w:spacing w:before="40" w:after="40"/>
              <w:jc w:val="center"/>
              <w:rPr>
                <w:rFonts w:ascii="Arial" w:hAnsi="Arial" w:cs="Arial"/>
                <w:b/>
                <w:sz w:val="14"/>
                <w:szCs w:val="14"/>
              </w:rPr>
            </w:pPr>
            <w:r w:rsidRPr="00F77DF9">
              <w:rPr>
                <w:rFonts w:ascii="Arial" w:hAnsi="Arial" w:cs="Arial"/>
                <w:b/>
                <w:sz w:val="14"/>
                <w:szCs w:val="14"/>
              </w:rPr>
              <w:t>7.12%</w:t>
            </w:r>
          </w:p>
        </w:tc>
      </w:tr>
      <w:tr w:rsidR="00D47597" w:rsidRPr="00EB7B59" w:rsidTr="00596AC0">
        <w:tc>
          <w:tcPr>
            <w:tcW w:w="2311" w:type="dxa"/>
          </w:tcPr>
          <w:p w:rsidR="00F438CE" w:rsidRPr="00F77DF9" w:rsidRDefault="00F438CE" w:rsidP="00F438CE">
            <w:pPr>
              <w:spacing w:before="40" w:after="40"/>
              <w:jc w:val="center"/>
              <w:rPr>
                <w:rFonts w:ascii="Arial" w:hAnsi="Arial" w:cs="Arial"/>
                <w:b/>
                <w:sz w:val="14"/>
                <w:szCs w:val="14"/>
              </w:rPr>
            </w:pPr>
            <w:r w:rsidRPr="00F77DF9">
              <w:rPr>
                <w:rFonts w:ascii="Arial" w:hAnsi="Arial" w:cs="Arial"/>
                <w:b/>
                <w:sz w:val="14"/>
                <w:szCs w:val="14"/>
              </w:rPr>
              <w:t>PVEM</w:t>
            </w:r>
          </w:p>
        </w:tc>
        <w:tc>
          <w:tcPr>
            <w:tcW w:w="1313" w:type="dxa"/>
          </w:tcPr>
          <w:p w:rsidR="00F438CE" w:rsidRPr="00F77DF9" w:rsidRDefault="006E5ABF" w:rsidP="00F438CE">
            <w:pPr>
              <w:spacing w:before="40" w:after="40"/>
              <w:jc w:val="center"/>
              <w:rPr>
                <w:rFonts w:ascii="Arial" w:hAnsi="Arial" w:cs="Arial"/>
                <w:b/>
                <w:sz w:val="14"/>
                <w:szCs w:val="14"/>
              </w:rPr>
            </w:pPr>
            <w:r w:rsidRPr="00F77DF9">
              <w:rPr>
                <w:rFonts w:ascii="Arial" w:hAnsi="Arial" w:cs="Arial"/>
                <w:b/>
                <w:sz w:val="14"/>
                <w:szCs w:val="14"/>
              </w:rPr>
              <w:t>89,744</w:t>
            </w:r>
          </w:p>
        </w:tc>
        <w:tc>
          <w:tcPr>
            <w:tcW w:w="772" w:type="dxa"/>
          </w:tcPr>
          <w:p w:rsidR="00F438CE" w:rsidRPr="00F77DF9" w:rsidRDefault="00D47597" w:rsidP="00F438CE">
            <w:pPr>
              <w:spacing w:before="40" w:after="40"/>
              <w:jc w:val="center"/>
              <w:rPr>
                <w:rFonts w:ascii="Arial" w:hAnsi="Arial" w:cs="Arial"/>
                <w:b/>
                <w:sz w:val="14"/>
                <w:szCs w:val="14"/>
              </w:rPr>
            </w:pPr>
            <w:r w:rsidRPr="00F77DF9">
              <w:rPr>
                <w:rFonts w:ascii="Arial" w:hAnsi="Arial" w:cs="Arial"/>
                <w:b/>
                <w:sz w:val="14"/>
                <w:szCs w:val="14"/>
              </w:rPr>
              <w:t>8.79%</w:t>
            </w:r>
          </w:p>
        </w:tc>
        <w:tc>
          <w:tcPr>
            <w:tcW w:w="1506" w:type="dxa"/>
          </w:tcPr>
          <w:p w:rsidR="00F438CE" w:rsidRPr="00F77DF9" w:rsidRDefault="006E5ABF" w:rsidP="00F438CE">
            <w:pPr>
              <w:spacing w:before="40" w:after="40"/>
              <w:jc w:val="center"/>
              <w:rPr>
                <w:rFonts w:ascii="Arial" w:hAnsi="Arial" w:cs="Arial"/>
                <w:b/>
                <w:sz w:val="14"/>
                <w:szCs w:val="14"/>
              </w:rPr>
            </w:pPr>
            <w:r w:rsidRPr="00F77DF9">
              <w:rPr>
                <w:rFonts w:ascii="Arial" w:hAnsi="Arial" w:cs="Arial"/>
                <w:b/>
                <w:sz w:val="14"/>
                <w:szCs w:val="14"/>
              </w:rPr>
              <w:t>78,610</w:t>
            </w:r>
          </w:p>
        </w:tc>
        <w:tc>
          <w:tcPr>
            <w:tcW w:w="803" w:type="dxa"/>
          </w:tcPr>
          <w:p w:rsidR="00F438CE" w:rsidRPr="00F77DF9" w:rsidRDefault="00D47597" w:rsidP="00F438CE">
            <w:pPr>
              <w:spacing w:before="40" w:after="40"/>
              <w:jc w:val="center"/>
              <w:rPr>
                <w:rFonts w:ascii="Arial" w:hAnsi="Arial" w:cs="Arial"/>
                <w:b/>
                <w:sz w:val="14"/>
                <w:szCs w:val="14"/>
              </w:rPr>
            </w:pPr>
            <w:r w:rsidRPr="00F77DF9">
              <w:rPr>
                <w:rFonts w:ascii="Arial" w:hAnsi="Arial" w:cs="Arial"/>
                <w:b/>
                <w:sz w:val="14"/>
                <w:szCs w:val="14"/>
              </w:rPr>
              <w:t>7.63%</w:t>
            </w:r>
          </w:p>
        </w:tc>
        <w:tc>
          <w:tcPr>
            <w:tcW w:w="1323" w:type="dxa"/>
          </w:tcPr>
          <w:p w:rsidR="00F438CE" w:rsidRPr="00F77DF9" w:rsidRDefault="006E5ABF" w:rsidP="00F438CE">
            <w:pPr>
              <w:spacing w:before="40" w:after="40"/>
              <w:jc w:val="center"/>
              <w:rPr>
                <w:rFonts w:ascii="Arial" w:hAnsi="Arial" w:cs="Arial"/>
                <w:b/>
                <w:sz w:val="14"/>
                <w:szCs w:val="14"/>
              </w:rPr>
            </w:pPr>
            <w:r w:rsidRPr="00F77DF9">
              <w:rPr>
                <w:rFonts w:ascii="Arial" w:hAnsi="Arial" w:cs="Arial"/>
                <w:b/>
                <w:sz w:val="14"/>
                <w:szCs w:val="14"/>
              </w:rPr>
              <w:t>71,406</w:t>
            </w:r>
          </w:p>
        </w:tc>
        <w:tc>
          <w:tcPr>
            <w:tcW w:w="800" w:type="dxa"/>
          </w:tcPr>
          <w:p w:rsidR="00F438CE" w:rsidRPr="00F77DF9" w:rsidRDefault="00D47597" w:rsidP="00F438CE">
            <w:pPr>
              <w:spacing w:before="40" w:after="40"/>
              <w:jc w:val="center"/>
              <w:rPr>
                <w:rFonts w:ascii="Arial" w:hAnsi="Arial" w:cs="Arial"/>
                <w:b/>
                <w:sz w:val="14"/>
                <w:szCs w:val="14"/>
              </w:rPr>
            </w:pPr>
            <w:r w:rsidRPr="00F77DF9">
              <w:rPr>
                <w:rFonts w:ascii="Arial" w:hAnsi="Arial" w:cs="Arial"/>
                <w:b/>
                <w:sz w:val="14"/>
                <w:szCs w:val="14"/>
              </w:rPr>
              <w:t>6.75%</w:t>
            </w:r>
          </w:p>
        </w:tc>
      </w:tr>
      <w:tr w:rsidR="00D47597" w:rsidRPr="00EB7B59" w:rsidTr="00596AC0">
        <w:tc>
          <w:tcPr>
            <w:tcW w:w="2311" w:type="dxa"/>
          </w:tcPr>
          <w:p w:rsidR="00F438CE" w:rsidRPr="00F77DF9" w:rsidRDefault="00F438CE" w:rsidP="00F438CE">
            <w:pPr>
              <w:spacing w:before="40" w:after="40"/>
              <w:jc w:val="center"/>
              <w:rPr>
                <w:rFonts w:ascii="Arial" w:hAnsi="Arial" w:cs="Arial"/>
                <w:b/>
                <w:sz w:val="14"/>
                <w:szCs w:val="14"/>
              </w:rPr>
            </w:pPr>
            <w:r w:rsidRPr="00F77DF9">
              <w:rPr>
                <w:rFonts w:ascii="Arial" w:hAnsi="Arial" w:cs="Arial"/>
                <w:b/>
                <w:sz w:val="14"/>
                <w:szCs w:val="14"/>
              </w:rPr>
              <w:t>PT</w:t>
            </w:r>
          </w:p>
        </w:tc>
        <w:tc>
          <w:tcPr>
            <w:tcW w:w="1313" w:type="dxa"/>
          </w:tcPr>
          <w:p w:rsidR="00F438CE" w:rsidRPr="00F77DF9" w:rsidRDefault="006E5ABF" w:rsidP="00F438CE">
            <w:pPr>
              <w:spacing w:before="40" w:after="40"/>
              <w:jc w:val="center"/>
              <w:rPr>
                <w:rFonts w:ascii="Arial" w:hAnsi="Arial" w:cs="Arial"/>
                <w:b/>
                <w:sz w:val="14"/>
                <w:szCs w:val="14"/>
              </w:rPr>
            </w:pPr>
            <w:r w:rsidRPr="00F77DF9">
              <w:rPr>
                <w:rFonts w:ascii="Arial" w:hAnsi="Arial" w:cs="Arial"/>
                <w:b/>
                <w:sz w:val="14"/>
                <w:szCs w:val="14"/>
              </w:rPr>
              <w:t>102,736</w:t>
            </w:r>
          </w:p>
        </w:tc>
        <w:tc>
          <w:tcPr>
            <w:tcW w:w="772" w:type="dxa"/>
          </w:tcPr>
          <w:p w:rsidR="00F438CE" w:rsidRPr="00F77DF9" w:rsidRDefault="00D47597" w:rsidP="00F438CE">
            <w:pPr>
              <w:spacing w:before="40" w:after="40"/>
              <w:jc w:val="center"/>
              <w:rPr>
                <w:rFonts w:ascii="Arial" w:hAnsi="Arial" w:cs="Arial"/>
                <w:b/>
                <w:sz w:val="14"/>
                <w:szCs w:val="14"/>
              </w:rPr>
            </w:pPr>
            <w:r w:rsidRPr="00F77DF9">
              <w:rPr>
                <w:rFonts w:ascii="Arial" w:hAnsi="Arial" w:cs="Arial"/>
                <w:b/>
                <w:sz w:val="14"/>
                <w:szCs w:val="14"/>
              </w:rPr>
              <w:t>10.06%</w:t>
            </w:r>
          </w:p>
        </w:tc>
        <w:tc>
          <w:tcPr>
            <w:tcW w:w="1506" w:type="dxa"/>
          </w:tcPr>
          <w:p w:rsidR="00F438CE" w:rsidRPr="00F77DF9" w:rsidRDefault="006E5ABF" w:rsidP="00F438CE">
            <w:pPr>
              <w:spacing w:before="40" w:after="40"/>
              <w:jc w:val="center"/>
              <w:rPr>
                <w:rFonts w:ascii="Arial" w:hAnsi="Arial" w:cs="Arial"/>
                <w:b/>
                <w:sz w:val="14"/>
                <w:szCs w:val="14"/>
              </w:rPr>
            </w:pPr>
            <w:r w:rsidRPr="00F77DF9">
              <w:rPr>
                <w:rFonts w:ascii="Arial" w:hAnsi="Arial" w:cs="Arial"/>
                <w:b/>
                <w:sz w:val="14"/>
                <w:szCs w:val="14"/>
              </w:rPr>
              <w:t>77,689</w:t>
            </w:r>
          </w:p>
        </w:tc>
        <w:tc>
          <w:tcPr>
            <w:tcW w:w="803" w:type="dxa"/>
          </w:tcPr>
          <w:p w:rsidR="00F438CE" w:rsidRPr="00F77DF9" w:rsidRDefault="00D47597" w:rsidP="00F438CE">
            <w:pPr>
              <w:spacing w:before="40" w:after="40"/>
              <w:jc w:val="center"/>
              <w:rPr>
                <w:rFonts w:ascii="Arial" w:hAnsi="Arial" w:cs="Arial"/>
                <w:b/>
                <w:sz w:val="14"/>
                <w:szCs w:val="14"/>
              </w:rPr>
            </w:pPr>
            <w:r w:rsidRPr="00F77DF9">
              <w:rPr>
                <w:rFonts w:ascii="Arial" w:hAnsi="Arial" w:cs="Arial"/>
                <w:b/>
                <w:sz w:val="14"/>
                <w:szCs w:val="14"/>
              </w:rPr>
              <w:t>7.54%</w:t>
            </w:r>
          </w:p>
        </w:tc>
        <w:tc>
          <w:tcPr>
            <w:tcW w:w="1323" w:type="dxa"/>
          </w:tcPr>
          <w:p w:rsidR="00F438CE" w:rsidRPr="00F77DF9" w:rsidRDefault="006E5ABF" w:rsidP="00F438CE">
            <w:pPr>
              <w:spacing w:before="40" w:after="40"/>
              <w:jc w:val="center"/>
              <w:rPr>
                <w:rFonts w:ascii="Arial" w:hAnsi="Arial" w:cs="Arial"/>
                <w:b/>
                <w:sz w:val="14"/>
                <w:szCs w:val="14"/>
              </w:rPr>
            </w:pPr>
            <w:r w:rsidRPr="00F77DF9">
              <w:rPr>
                <w:rFonts w:ascii="Arial" w:hAnsi="Arial" w:cs="Arial"/>
                <w:b/>
                <w:sz w:val="14"/>
                <w:szCs w:val="14"/>
              </w:rPr>
              <w:t>80,687</w:t>
            </w:r>
          </w:p>
        </w:tc>
        <w:tc>
          <w:tcPr>
            <w:tcW w:w="800" w:type="dxa"/>
          </w:tcPr>
          <w:p w:rsidR="00F438CE" w:rsidRPr="00F77DF9" w:rsidRDefault="00D47597" w:rsidP="00F438CE">
            <w:pPr>
              <w:spacing w:before="40" w:after="40"/>
              <w:jc w:val="center"/>
              <w:rPr>
                <w:rFonts w:ascii="Arial" w:hAnsi="Arial" w:cs="Arial"/>
                <w:b/>
                <w:sz w:val="14"/>
                <w:szCs w:val="14"/>
              </w:rPr>
            </w:pPr>
            <w:r w:rsidRPr="00F77DF9">
              <w:rPr>
                <w:rFonts w:ascii="Arial" w:hAnsi="Arial" w:cs="Arial"/>
                <w:b/>
                <w:sz w:val="14"/>
                <w:szCs w:val="14"/>
              </w:rPr>
              <w:t>7.63%</w:t>
            </w:r>
          </w:p>
        </w:tc>
      </w:tr>
      <w:tr w:rsidR="00D47597" w:rsidRPr="00EB7B59" w:rsidTr="00596AC0">
        <w:tc>
          <w:tcPr>
            <w:tcW w:w="2311" w:type="dxa"/>
          </w:tcPr>
          <w:p w:rsidR="00F438CE" w:rsidRPr="00F77DF9" w:rsidRDefault="00F438CE" w:rsidP="00F438CE">
            <w:pPr>
              <w:spacing w:before="40" w:after="40"/>
              <w:jc w:val="center"/>
              <w:rPr>
                <w:rFonts w:ascii="Arial" w:hAnsi="Arial" w:cs="Arial"/>
                <w:b/>
                <w:sz w:val="14"/>
                <w:szCs w:val="14"/>
              </w:rPr>
            </w:pPr>
            <w:r w:rsidRPr="00F77DF9">
              <w:rPr>
                <w:rFonts w:ascii="Arial" w:hAnsi="Arial" w:cs="Arial"/>
                <w:b/>
                <w:sz w:val="14"/>
                <w:szCs w:val="14"/>
              </w:rPr>
              <w:t>MC</w:t>
            </w:r>
          </w:p>
        </w:tc>
        <w:tc>
          <w:tcPr>
            <w:tcW w:w="1313" w:type="dxa"/>
          </w:tcPr>
          <w:p w:rsidR="00F438CE" w:rsidRPr="00F77DF9" w:rsidRDefault="006E5ABF" w:rsidP="00F438CE">
            <w:pPr>
              <w:spacing w:before="40" w:after="40"/>
              <w:jc w:val="center"/>
              <w:rPr>
                <w:rFonts w:ascii="Arial" w:hAnsi="Arial" w:cs="Arial"/>
                <w:b/>
                <w:sz w:val="14"/>
                <w:szCs w:val="14"/>
              </w:rPr>
            </w:pPr>
            <w:r w:rsidRPr="00F77DF9">
              <w:rPr>
                <w:rFonts w:ascii="Arial" w:hAnsi="Arial" w:cs="Arial"/>
                <w:b/>
                <w:sz w:val="14"/>
                <w:szCs w:val="14"/>
              </w:rPr>
              <w:t>86,274</w:t>
            </w:r>
          </w:p>
        </w:tc>
        <w:tc>
          <w:tcPr>
            <w:tcW w:w="772" w:type="dxa"/>
          </w:tcPr>
          <w:p w:rsidR="00F438CE" w:rsidRPr="00F77DF9" w:rsidRDefault="00D47597" w:rsidP="00F438CE">
            <w:pPr>
              <w:spacing w:before="40" w:after="40"/>
              <w:jc w:val="center"/>
              <w:rPr>
                <w:rFonts w:ascii="Arial" w:hAnsi="Arial" w:cs="Arial"/>
                <w:b/>
                <w:sz w:val="14"/>
                <w:szCs w:val="14"/>
              </w:rPr>
            </w:pPr>
            <w:r w:rsidRPr="00F77DF9">
              <w:rPr>
                <w:rFonts w:ascii="Arial" w:hAnsi="Arial" w:cs="Arial"/>
                <w:b/>
                <w:sz w:val="14"/>
                <w:szCs w:val="14"/>
              </w:rPr>
              <w:t>8.45%</w:t>
            </w:r>
          </w:p>
        </w:tc>
        <w:tc>
          <w:tcPr>
            <w:tcW w:w="1506" w:type="dxa"/>
          </w:tcPr>
          <w:p w:rsidR="00F438CE" w:rsidRPr="00F77DF9" w:rsidRDefault="006E5ABF" w:rsidP="00F438CE">
            <w:pPr>
              <w:spacing w:before="40" w:after="40"/>
              <w:jc w:val="center"/>
              <w:rPr>
                <w:rFonts w:ascii="Arial" w:hAnsi="Arial" w:cs="Arial"/>
                <w:b/>
                <w:sz w:val="14"/>
                <w:szCs w:val="14"/>
              </w:rPr>
            </w:pPr>
            <w:r w:rsidRPr="00F77DF9">
              <w:rPr>
                <w:rFonts w:ascii="Arial" w:hAnsi="Arial" w:cs="Arial"/>
                <w:b/>
                <w:sz w:val="14"/>
                <w:szCs w:val="14"/>
              </w:rPr>
              <w:t>82,274</w:t>
            </w:r>
          </w:p>
        </w:tc>
        <w:tc>
          <w:tcPr>
            <w:tcW w:w="803" w:type="dxa"/>
          </w:tcPr>
          <w:p w:rsidR="00F438CE" w:rsidRPr="00F77DF9" w:rsidRDefault="00D47597" w:rsidP="00F438CE">
            <w:pPr>
              <w:spacing w:before="40" w:after="40"/>
              <w:jc w:val="center"/>
              <w:rPr>
                <w:rFonts w:ascii="Arial" w:hAnsi="Arial" w:cs="Arial"/>
                <w:b/>
                <w:sz w:val="14"/>
                <w:szCs w:val="14"/>
              </w:rPr>
            </w:pPr>
            <w:r w:rsidRPr="00F77DF9">
              <w:rPr>
                <w:rFonts w:ascii="Arial" w:hAnsi="Arial" w:cs="Arial"/>
                <w:b/>
                <w:sz w:val="14"/>
                <w:szCs w:val="14"/>
              </w:rPr>
              <w:t>7.99%</w:t>
            </w:r>
          </w:p>
        </w:tc>
        <w:tc>
          <w:tcPr>
            <w:tcW w:w="1323" w:type="dxa"/>
          </w:tcPr>
          <w:p w:rsidR="00F438CE" w:rsidRPr="00F77DF9" w:rsidRDefault="0000663F" w:rsidP="00F438CE">
            <w:pPr>
              <w:spacing w:before="40" w:after="40"/>
              <w:jc w:val="center"/>
              <w:rPr>
                <w:rFonts w:ascii="Arial" w:hAnsi="Arial" w:cs="Arial"/>
                <w:b/>
                <w:sz w:val="14"/>
                <w:szCs w:val="14"/>
              </w:rPr>
            </w:pPr>
            <w:r w:rsidRPr="00F77DF9">
              <w:rPr>
                <w:rFonts w:ascii="Arial" w:hAnsi="Arial" w:cs="Arial"/>
                <w:b/>
                <w:sz w:val="14"/>
                <w:szCs w:val="14"/>
              </w:rPr>
              <w:t>58,651</w:t>
            </w:r>
          </w:p>
        </w:tc>
        <w:tc>
          <w:tcPr>
            <w:tcW w:w="800" w:type="dxa"/>
          </w:tcPr>
          <w:p w:rsidR="00F438CE" w:rsidRPr="00F77DF9" w:rsidRDefault="00D47597" w:rsidP="00F438CE">
            <w:pPr>
              <w:spacing w:before="40" w:after="40"/>
              <w:jc w:val="center"/>
              <w:rPr>
                <w:rFonts w:ascii="Arial" w:hAnsi="Arial" w:cs="Arial"/>
                <w:b/>
                <w:sz w:val="14"/>
                <w:szCs w:val="14"/>
              </w:rPr>
            </w:pPr>
            <w:r w:rsidRPr="00F77DF9">
              <w:rPr>
                <w:rFonts w:ascii="Arial" w:hAnsi="Arial" w:cs="Arial"/>
                <w:b/>
                <w:sz w:val="14"/>
                <w:szCs w:val="14"/>
              </w:rPr>
              <w:t>5.55%</w:t>
            </w:r>
          </w:p>
        </w:tc>
      </w:tr>
      <w:tr w:rsidR="00D47597" w:rsidRPr="00EB7B59" w:rsidTr="00596AC0">
        <w:tc>
          <w:tcPr>
            <w:tcW w:w="2311" w:type="dxa"/>
            <w:tcBorders>
              <w:bottom w:val="single" w:sz="4" w:space="0" w:color="A6A6A6" w:themeColor="background1" w:themeShade="A6"/>
            </w:tcBorders>
          </w:tcPr>
          <w:p w:rsidR="00F438CE" w:rsidRPr="00F77DF9" w:rsidRDefault="00F438CE" w:rsidP="00F438CE">
            <w:pPr>
              <w:spacing w:before="40" w:after="40"/>
              <w:jc w:val="center"/>
              <w:rPr>
                <w:rFonts w:ascii="Arial" w:hAnsi="Arial" w:cs="Arial"/>
                <w:b/>
                <w:sz w:val="14"/>
                <w:szCs w:val="14"/>
              </w:rPr>
            </w:pPr>
            <w:r w:rsidRPr="00F77DF9">
              <w:rPr>
                <w:rFonts w:ascii="Arial" w:hAnsi="Arial" w:cs="Arial"/>
                <w:b/>
                <w:sz w:val="14"/>
                <w:szCs w:val="14"/>
              </w:rPr>
              <w:t>MORENA</w:t>
            </w:r>
          </w:p>
        </w:tc>
        <w:tc>
          <w:tcPr>
            <w:tcW w:w="1313" w:type="dxa"/>
          </w:tcPr>
          <w:p w:rsidR="00F438CE" w:rsidRPr="00F77DF9" w:rsidRDefault="006E5ABF" w:rsidP="00F438CE">
            <w:pPr>
              <w:spacing w:before="40" w:after="40"/>
              <w:jc w:val="center"/>
              <w:rPr>
                <w:rFonts w:ascii="Arial" w:hAnsi="Arial" w:cs="Arial"/>
                <w:b/>
                <w:sz w:val="14"/>
                <w:szCs w:val="14"/>
              </w:rPr>
            </w:pPr>
            <w:r w:rsidRPr="00F77DF9">
              <w:rPr>
                <w:rFonts w:ascii="Arial" w:hAnsi="Arial" w:cs="Arial"/>
                <w:b/>
                <w:sz w:val="14"/>
                <w:szCs w:val="14"/>
              </w:rPr>
              <w:t>530,219</w:t>
            </w:r>
          </w:p>
        </w:tc>
        <w:tc>
          <w:tcPr>
            <w:tcW w:w="772" w:type="dxa"/>
          </w:tcPr>
          <w:p w:rsidR="00F438CE" w:rsidRPr="00F77DF9" w:rsidRDefault="00D47597" w:rsidP="00F438CE">
            <w:pPr>
              <w:spacing w:before="40" w:after="40"/>
              <w:jc w:val="center"/>
              <w:rPr>
                <w:rFonts w:ascii="Arial" w:hAnsi="Arial" w:cs="Arial"/>
                <w:b/>
                <w:sz w:val="14"/>
                <w:szCs w:val="14"/>
              </w:rPr>
            </w:pPr>
            <w:r w:rsidRPr="00F77DF9">
              <w:rPr>
                <w:rFonts w:ascii="Arial" w:hAnsi="Arial" w:cs="Arial"/>
                <w:b/>
                <w:sz w:val="14"/>
                <w:szCs w:val="14"/>
              </w:rPr>
              <w:t>51.91%</w:t>
            </w:r>
          </w:p>
        </w:tc>
        <w:tc>
          <w:tcPr>
            <w:tcW w:w="1506" w:type="dxa"/>
          </w:tcPr>
          <w:p w:rsidR="00F438CE" w:rsidRPr="00F77DF9" w:rsidRDefault="006E5ABF" w:rsidP="00F438CE">
            <w:pPr>
              <w:spacing w:before="40" w:after="40"/>
              <w:jc w:val="center"/>
              <w:rPr>
                <w:rFonts w:ascii="Arial" w:hAnsi="Arial" w:cs="Arial"/>
                <w:b/>
                <w:sz w:val="14"/>
                <w:szCs w:val="14"/>
              </w:rPr>
            </w:pPr>
            <w:r w:rsidRPr="00F77DF9">
              <w:rPr>
                <w:rFonts w:ascii="Arial" w:hAnsi="Arial" w:cs="Arial"/>
                <w:b/>
                <w:sz w:val="14"/>
                <w:szCs w:val="14"/>
              </w:rPr>
              <w:t>621,086</w:t>
            </w:r>
          </w:p>
        </w:tc>
        <w:tc>
          <w:tcPr>
            <w:tcW w:w="803" w:type="dxa"/>
          </w:tcPr>
          <w:p w:rsidR="00F438CE" w:rsidRPr="00F77DF9" w:rsidRDefault="00D47597" w:rsidP="00F438CE">
            <w:pPr>
              <w:spacing w:before="40" w:after="40"/>
              <w:jc w:val="center"/>
              <w:rPr>
                <w:rFonts w:ascii="Arial" w:hAnsi="Arial" w:cs="Arial"/>
                <w:b/>
                <w:sz w:val="14"/>
                <w:szCs w:val="14"/>
              </w:rPr>
            </w:pPr>
            <w:r w:rsidRPr="00F77DF9">
              <w:rPr>
                <w:rFonts w:ascii="Arial" w:hAnsi="Arial" w:cs="Arial"/>
                <w:b/>
                <w:sz w:val="14"/>
                <w:szCs w:val="14"/>
              </w:rPr>
              <w:t>60.28%</w:t>
            </w:r>
          </w:p>
        </w:tc>
        <w:tc>
          <w:tcPr>
            <w:tcW w:w="1323" w:type="dxa"/>
          </w:tcPr>
          <w:p w:rsidR="00F438CE" w:rsidRPr="00F77DF9" w:rsidRDefault="006E5ABF" w:rsidP="00F438CE">
            <w:pPr>
              <w:spacing w:before="40" w:after="40"/>
              <w:jc w:val="center"/>
              <w:rPr>
                <w:rFonts w:ascii="Arial" w:hAnsi="Arial" w:cs="Arial"/>
                <w:b/>
                <w:sz w:val="14"/>
                <w:szCs w:val="14"/>
              </w:rPr>
            </w:pPr>
            <w:r w:rsidRPr="00F77DF9">
              <w:rPr>
                <w:rFonts w:ascii="Arial" w:hAnsi="Arial" w:cs="Arial"/>
                <w:b/>
                <w:sz w:val="14"/>
                <w:szCs w:val="14"/>
              </w:rPr>
              <w:t>726,205</w:t>
            </w:r>
          </w:p>
        </w:tc>
        <w:tc>
          <w:tcPr>
            <w:tcW w:w="800" w:type="dxa"/>
          </w:tcPr>
          <w:p w:rsidR="00F438CE" w:rsidRPr="00F77DF9" w:rsidRDefault="00D47597" w:rsidP="00F438CE">
            <w:pPr>
              <w:spacing w:before="40" w:after="40"/>
              <w:jc w:val="center"/>
              <w:rPr>
                <w:rFonts w:ascii="Arial" w:hAnsi="Arial" w:cs="Arial"/>
                <w:b/>
                <w:sz w:val="14"/>
                <w:szCs w:val="14"/>
              </w:rPr>
            </w:pPr>
            <w:r w:rsidRPr="00F77DF9">
              <w:rPr>
                <w:rFonts w:ascii="Arial" w:hAnsi="Arial" w:cs="Arial"/>
                <w:b/>
                <w:sz w:val="14"/>
                <w:szCs w:val="14"/>
              </w:rPr>
              <w:t>68.66%</w:t>
            </w:r>
          </w:p>
        </w:tc>
      </w:tr>
      <w:tr w:rsidR="00D47597" w:rsidRPr="00EB7B59" w:rsidTr="00596AC0">
        <w:tc>
          <w:tcPr>
            <w:tcW w:w="2311"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6E5ABF" w:rsidRPr="00F77DF9" w:rsidRDefault="006E5ABF" w:rsidP="00F438CE">
            <w:pPr>
              <w:spacing w:before="40" w:after="40"/>
              <w:jc w:val="center"/>
              <w:rPr>
                <w:rFonts w:ascii="Arial" w:hAnsi="Arial" w:cs="Arial"/>
                <w:b/>
                <w:sz w:val="14"/>
                <w:szCs w:val="14"/>
              </w:rPr>
            </w:pPr>
            <w:r w:rsidRPr="00F77DF9">
              <w:rPr>
                <w:rFonts w:ascii="Arial" w:hAnsi="Arial" w:cs="Arial"/>
                <w:b/>
                <w:sz w:val="14"/>
                <w:szCs w:val="14"/>
              </w:rPr>
              <w:t>CAND. INDEPENDIENTES</w:t>
            </w:r>
          </w:p>
        </w:tc>
        <w:tc>
          <w:tcPr>
            <w:tcW w:w="1313" w:type="dxa"/>
            <w:tcBorders>
              <w:left w:val="single" w:sz="4" w:space="0" w:color="A6A6A6" w:themeColor="background1" w:themeShade="A6"/>
              <w:bottom w:val="single" w:sz="4" w:space="0" w:color="A6A6A6" w:themeColor="background1" w:themeShade="A6"/>
            </w:tcBorders>
          </w:tcPr>
          <w:p w:rsidR="006E5ABF" w:rsidRPr="00F77DF9" w:rsidRDefault="006E5ABF" w:rsidP="00F438CE">
            <w:pPr>
              <w:spacing w:before="40" w:after="40"/>
              <w:jc w:val="center"/>
              <w:rPr>
                <w:rFonts w:ascii="Arial" w:hAnsi="Arial" w:cs="Arial"/>
                <w:b/>
                <w:sz w:val="14"/>
                <w:szCs w:val="14"/>
              </w:rPr>
            </w:pPr>
            <w:r w:rsidRPr="00F77DF9">
              <w:rPr>
                <w:rFonts w:ascii="Arial" w:hAnsi="Arial" w:cs="Arial"/>
                <w:b/>
                <w:sz w:val="14"/>
                <w:szCs w:val="14"/>
              </w:rPr>
              <w:t>35,500</w:t>
            </w:r>
          </w:p>
        </w:tc>
        <w:tc>
          <w:tcPr>
            <w:tcW w:w="772" w:type="dxa"/>
          </w:tcPr>
          <w:p w:rsidR="006E5ABF" w:rsidRPr="00F77DF9" w:rsidRDefault="00D47597" w:rsidP="00F438CE">
            <w:pPr>
              <w:spacing w:before="40" w:after="40"/>
              <w:jc w:val="center"/>
              <w:rPr>
                <w:rFonts w:ascii="Arial" w:hAnsi="Arial" w:cs="Arial"/>
                <w:b/>
                <w:sz w:val="14"/>
                <w:szCs w:val="14"/>
              </w:rPr>
            </w:pPr>
            <w:r w:rsidRPr="00F77DF9">
              <w:rPr>
                <w:rFonts w:ascii="Arial" w:hAnsi="Arial" w:cs="Arial"/>
                <w:b/>
                <w:sz w:val="14"/>
                <w:szCs w:val="14"/>
              </w:rPr>
              <w:t>3.48%</w:t>
            </w:r>
          </w:p>
        </w:tc>
        <w:tc>
          <w:tcPr>
            <w:tcW w:w="1506" w:type="dxa"/>
          </w:tcPr>
          <w:p w:rsidR="006E5ABF" w:rsidRPr="00F77DF9" w:rsidRDefault="006E5ABF" w:rsidP="00F438CE">
            <w:pPr>
              <w:spacing w:before="40" w:after="40"/>
              <w:jc w:val="center"/>
              <w:rPr>
                <w:rFonts w:ascii="Arial" w:hAnsi="Arial" w:cs="Arial"/>
                <w:b/>
                <w:sz w:val="14"/>
                <w:szCs w:val="14"/>
              </w:rPr>
            </w:pPr>
            <w:r w:rsidRPr="00F77DF9">
              <w:rPr>
                <w:rFonts w:ascii="Arial" w:hAnsi="Arial" w:cs="Arial"/>
                <w:b/>
                <w:sz w:val="14"/>
                <w:szCs w:val="14"/>
              </w:rPr>
              <w:t>12,782</w:t>
            </w:r>
          </w:p>
        </w:tc>
        <w:tc>
          <w:tcPr>
            <w:tcW w:w="803" w:type="dxa"/>
          </w:tcPr>
          <w:p w:rsidR="006E5ABF" w:rsidRPr="00F77DF9" w:rsidRDefault="00D47597" w:rsidP="00F438CE">
            <w:pPr>
              <w:spacing w:before="40" w:after="40"/>
              <w:jc w:val="center"/>
              <w:rPr>
                <w:rFonts w:ascii="Arial" w:hAnsi="Arial" w:cs="Arial"/>
                <w:b/>
                <w:sz w:val="14"/>
                <w:szCs w:val="14"/>
              </w:rPr>
            </w:pPr>
            <w:r w:rsidRPr="00F77DF9">
              <w:rPr>
                <w:rFonts w:ascii="Arial" w:hAnsi="Arial" w:cs="Arial"/>
                <w:b/>
                <w:sz w:val="14"/>
                <w:szCs w:val="14"/>
              </w:rPr>
              <w:t>1.24%</w:t>
            </w:r>
          </w:p>
        </w:tc>
        <w:tc>
          <w:tcPr>
            <w:tcW w:w="1323" w:type="dxa"/>
          </w:tcPr>
          <w:p w:rsidR="006E5ABF" w:rsidRPr="00F77DF9" w:rsidRDefault="006E5ABF" w:rsidP="00F438CE">
            <w:pPr>
              <w:spacing w:before="40" w:after="40"/>
              <w:jc w:val="center"/>
              <w:rPr>
                <w:rFonts w:ascii="Arial" w:hAnsi="Arial" w:cs="Arial"/>
                <w:b/>
                <w:sz w:val="14"/>
                <w:szCs w:val="14"/>
              </w:rPr>
            </w:pPr>
            <w:r w:rsidRPr="00F77DF9">
              <w:rPr>
                <w:rFonts w:ascii="Arial" w:hAnsi="Arial" w:cs="Arial"/>
                <w:b/>
                <w:sz w:val="14"/>
                <w:szCs w:val="14"/>
              </w:rPr>
              <w:t>-</w:t>
            </w:r>
          </w:p>
        </w:tc>
        <w:tc>
          <w:tcPr>
            <w:tcW w:w="800" w:type="dxa"/>
          </w:tcPr>
          <w:p w:rsidR="006E5ABF" w:rsidRPr="00F77DF9" w:rsidRDefault="006E5ABF" w:rsidP="00F438CE">
            <w:pPr>
              <w:spacing w:before="40" w:after="40"/>
              <w:jc w:val="center"/>
              <w:rPr>
                <w:rFonts w:ascii="Arial" w:hAnsi="Arial" w:cs="Arial"/>
                <w:b/>
                <w:sz w:val="14"/>
                <w:szCs w:val="14"/>
              </w:rPr>
            </w:pPr>
            <w:r w:rsidRPr="00F77DF9">
              <w:rPr>
                <w:rFonts w:ascii="Arial" w:hAnsi="Arial" w:cs="Arial"/>
                <w:b/>
                <w:sz w:val="14"/>
                <w:szCs w:val="14"/>
              </w:rPr>
              <w:t>-</w:t>
            </w:r>
          </w:p>
        </w:tc>
      </w:tr>
      <w:tr w:rsidR="00D47597" w:rsidRPr="00EB7B59" w:rsidTr="00596AC0">
        <w:tc>
          <w:tcPr>
            <w:tcW w:w="2311" w:type="dxa"/>
            <w:tcBorders>
              <w:top w:val="single" w:sz="4" w:space="0" w:color="A6A6A6" w:themeColor="background1" w:themeShade="A6"/>
              <w:left w:val="nil"/>
              <w:bottom w:val="nil"/>
              <w:right w:val="single" w:sz="4" w:space="0" w:color="A6A6A6" w:themeColor="background1" w:themeShade="A6"/>
            </w:tcBorders>
          </w:tcPr>
          <w:p w:rsidR="006E5ABF" w:rsidRPr="00F77DF9" w:rsidRDefault="006E5ABF" w:rsidP="006E5ABF">
            <w:pPr>
              <w:spacing w:before="40" w:after="40"/>
              <w:jc w:val="right"/>
              <w:rPr>
                <w:rFonts w:ascii="Arial" w:hAnsi="Arial" w:cs="Arial"/>
                <w:b/>
                <w:spacing w:val="-4"/>
                <w:sz w:val="14"/>
                <w:szCs w:val="14"/>
              </w:rPr>
            </w:pPr>
            <w:r w:rsidRPr="00F77DF9">
              <w:rPr>
                <w:rFonts w:ascii="Arial" w:hAnsi="Arial" w:cs="Arial"/>
                <w:b/>
                <w:spacing w:val="-4"/>
                <w:sz w:val="14"/>
                <w:szCs w:val="14"/>
              </w:rPr>
              <w:t>VOTACIÓN VÁLIDA EMITIDA</w:t>
            </w:r>
          </w:p>
        </w:tc>
        <w:tc>
          <w:tcPr>
            <w:tcW w:w="131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rsidR="006E5ABF" w:rsidRPr="00F77DF9" w:rsidRDefault="006E5ABF" w:rsidP="00F438CE">
            <w:pPr>
              <w:spacing w:before="40" w:after="40"/>
              <w:jc w:val="center"/>
              <w:rPr>
                <w:rFonts w:ascii="Arial" w:hAnsi="Arial" w:cs="Arial"/>
                <w:b/>
                <w:sz w:val="14"/>
                <w:szCs w:val="14"/>
              </w:rPr>
            </w:pPr>
            <w:r w:rsidRPr="00F77DF9">
              <w:rPr>
                <w:rFonts w:ascii="Arial" w:hAnsi="Arial" w:cs="Arial"/>
                <w:b/>
                <w:sz w:val="14"/>
                <w:szCs w:val="14"/>
              </w:rPr>
              <w:t>1,021,423</w:t>
            </w:r>
          </w:p>
        </w:tc>
        <w:tc>
          <w:tcPr>
            <w:tcW w:w="772" w:type="dxa"/>
            <w:tcBorders>
              <w:left w:val="single" w:sz="4" w:space="0" w:color="A6A6A6" w:themeColor="background1" w:themeShade="A6"/>
            </w:tcBorders>
            <w:shd w:val="clear" w:color="auto" w:fill="D9D9D9" w:themeFill="background1" w:themeFillShade="D9"/>
          </w:tcPr>
          <w:p w:rsidR="006E5ABF" w:rsidRPr="00F77DF9" w:rsidRDefault="00D47597" w:rsidP="00F438CE">
            <w:pPr>
              <w:spacing w:before="40" w:after="40"/>
              <w:jc w:val="center"/>
              <w:rPr>
                <w:rFonts w:ascii="Arial" w:hAnsi="Arial" w:cs="Arial"/>
                <w:b/>
                <w:sz w:val="14"/>
                <w:szCs w:val="14"/>
              </w:rPr>
            </w:pPr>
            <w:r w:rsidRPr="00F77DF9">
              <w:rPr>
                <w:rFonts w:ascii="Arial" w:hAnsi="Arial" w:cs="Arial"/>
                <w:b/>
                <w:sz w:val="14"/>
                <w:szCs w:val="14"/>
              </w:rPr>
              <w:t>100%</w:t>
            </w:r>
          </w:p>
        </w:tc>
        <w:tc>
          <w:tcPr>
            <w:tcW w:w="1506" w:type="dxa"/>
            <w:shd w:val="clear" w:color="auto" w:fill="D9D9D9" w:themeFill="background1" w:themeFillShade="D9"/>
          </w:tcPr>
          <w:p w:rsidR="006E5ABF" w:rsidRPr="00F77DF9" w:rsidRDefault="006E5ABF" w:rsidP="00F438CE">
            <w:pPr>
              <w:spacing w:before="40" w:after="40"/>
              <w:jc w:val="center"/>
              <w:rPr>
                <w:rFonts w:ascii="Arial" w:hAnsi="Arial" w:cs="Arial"/>
                <w:b/>
                <w:sz w:val="14"/>
                <w:szCs w:val="14"/>
              </w:rPr>
            </w:pPr>
            <w:r w:rsidRPr="00F77DF9">
              <w:rPr>
                <w:rFonts w:ascii="Arial" w:hAnsi="Arial" w:cs="Arial"/>
                <w:b/>
                <w:sz w:val="14"/>
                <w:szCs w:val="14"/>
              </w:rPr>
              <w:t>1,030,331</w:t>
            </w:r>
          </w:p>
        </w:tc>
        <w:tc>
          <w:tcPr>
            <w:tcW w:w="803" w:type="dxa"/>
            <w:shd w:val="clear" w:color="auto" w:fill="D9D9D9" w:themeFill="background1" w:themeFillShade="D9"/>
          </w:tcPr>
          <w:p w:rsidR="006E5ABF" w:rsidRPr="00F77DF9" w:rsidRDefault="00D47597" w:rsidP="00F438CE">
            <w:pPr>
              <w:spacing w:before="40" w:after="40"/>
              <w:jc w:val="center"/>
              <w:rPr>
                <w:rFonts w:ascii="Arial" w:hAnsi="Arial" w:cs="Arial"/>
                <w:b/>
                <w:sz w:val="14"/>
                <w:szCs w:val="14"/>
              </w:rPr>
            </w:pPr>
            <w:r w:rsidRPr="00F77DF9">
              <w:rPr>
                <w:rFonts w:ascii="Arial" w:hAnsi="Arial" w:cs="Arial"/>
                <w:b/>
                <w:sz w:val="14"/>
                <w:szCs w:val="14"/>
              </w:rPr>
              <w:t>100%</w:t>
            </w:r>
          </w:p>
        </w:tc>
        <w:tc>
          <w:tcPr>
            <w:tcW w:w="1323" w:type="dxa"/>
            <w:shd w:val="clear" w:color="auto" w:fill="D9D9D9" w:themeFill="background1" w:themeFillShade="D9"/>
          </w:tcPr>
          <w:p w:rsidR="006E5ABF" w:rsidRPr="00F77DF9" w:rsidRDefault="006E5ABF" w:rsidP="00F438CE">
            <w:pPr>
              <w:spacing w:before="40" w:after="40"/>
              <w:jc w:val="center"/>
              <w:rPr>
                <w:rFonts w:ascii="Arial" w:hAnsi="Arial" w:cs="Arial"/>
                <w:b/>
                <w:sz w:val="14"/>
                <w:szCs w:val="14"/>
              </w:rPr>
            </w:pPr>
            <w:r w:rsidRPr="00F77DF9">
              <w:rPr>
                <w:rFonts w:ascii="Arial" w:hAnsi="Arial" w:cs="Arial"/>
                <w:b/>
                <w:sz w:val="14"/>
                <w:szCs w:val="14"/>
              </w:rPr>
              <w:t>1,057,688</w:t>
            </w:r>
          </w:p>
        </w:tc>
        <w:tc>
          <w:tcPr>
            <w:tcW w:w="800" w:type="dxa"/>
            <w:shd w:val="clear" w:color="auto" w:fill="D9D9D9" w:themeFill="background1" w:themeFillShade="D9"/>
          </w:tcPr>
          <w:p w:rsidR="006E5ABF" w:rsidRPr="00F77DF9" w:rsidRDefault="00D47597" w:rsidP="00F438CE">
            <w:pPr>
              <w:spacing w:before="40" w:after="40"/>
              <w:jc w:val="center"/>
              <w:rPr>
                <w:rFonts w:ascii="Arial" w:hAnsi="Arial" w:cs="Arial"/>
                <w:b/>
                <w:sz w:val="14"/>
                <w:szCs w:val="14"/>
              </w:rPr>
            </w:pPr>
            <w:r w:rsidRPr="00F77DF9">
              <w:rPr>
                <w:rFonts w:ascii="Arial" w:hAnsi="Arial" w:cs="Arial"/>
                <w:b/>
                <w:sz w:val="14"/>
                <w:szCs w:val="14"/>
              </w:rPr>
              <w:t>100%</w:t>
            </w:r>
          </w:p>
        </w:tc>
      </w:tr>
    </w:tbl>
    <w:p w:rsidR="00596AC0" w:rsidRPr="00EB7B59" w:rsidRDefault="00596AC0" w:rsidP="00596AC0">
      <w:pPr>
        <w:pStyle w:val="Ttulo2"/>
        <w:rPr>
          <w:rFonts w:ascii="Arial" w:hAnsi="Arial" w:cs="Arial"/>
          <w:sz w:val="23"/>
        </w:rPr>
      </w:pPr>
      <w:r w:rsidRPr="00EB7B59">
        <w:rPr>
          <w:rFonts w:ascii="Arial" w:hAnsi="Arial" w:cs="Arial"/>
          <w:sz w:val="23"/>
        </w:rPr>
        <w:lastRenderedPageBreak/>
        <w:t>Designación de Consejeras Electorales</w:t>
      </w:r>
    </w:p>
    <w:p w:rsidR="00596AC0" w:rsidRPr="00EB7B59" w:rsidRDefault="00596AC0" w:rsidP="00596AC0">
      <w:pPr>
        <w:rPr>
          <w:rFonts w:ascii="Arial" w:hAnsi="Arial" w:cs="Arial"/>
          <w:sz w:val="23"/>
          <w:szCs w:val="23"/>
        </w:rPr>
      </w:pPr>
      <w:r w:rsidRPr="00EB7B59">
        <w:rPr>
          <w:rFonts w:ascii="Arial" w:hAnsi="Arial" w:cs="Arial"/>
          <w:sz w:val="23"/>
          <w:szCs w:val="23"/>
        </w:rPr>
        <w:t>El 26 de septiembre de 2024, el Consejo General del INE, mediante acuerdo INE/CG/2243/2024 designó a las Consejerías Electorales de los Organismos Públicos Locales de las entidades de Baja California Sur, Campeche, Ciudad de México, Colima, Estado de México, Guanajuato, Guerrero, Jalisco, Michoacán, Morelos, Nuevo León, Oaxaca, Querétaro, San Luis Potosí, Sonora, Tabasco, Tlaxcala, Veracruz, Yucatán y Zacatecas.</w:t>
      </w:r>
    </w:p>
    <w:p w:rsidR="00596AC0" w:rsidRPr="00EB7B59" w:rsidRDefault="00596AC0" w:rsidP="00596AC0">
      <w:pPr>
        <w:rPr>
          <w:rFonts w:ascii="Arial" w:hAnsi="Arial" w:cs="Arial"/>
          <w:sz w:val="23"/>
          <w:szCs w:val="23"/>
        </w:rPr>
      </w:pPr>
      <w:r w:rsidRPr="00EB7B59">
        <w:rPr>
          <w:rFonts w:ascii="Arial" w:hAnsi="Arial" w:cs="Arial"/>
          <w:sz w:val="23"/>
          <w:szCs w:val="23"/>
        </w:rPr>
        <w:t>En el caso de la entidad, se designaron a las ciudadanas: Licda. Ángela Guadalupe Araujo Segura,</w:t>
      </w:r>
      <w:r w:rsidR="00EB7B59" w:rsidRPr="00EB7B59">
        <w:rPr>
          <w:rFonts w:ascii="Arial" w:hAnsi="Arial" w:cs="Arial"/>
          <w:sz w:val="23"/>
          <w:szCs w:val="23"/>
        </w:rPr>
        <w:t xml:space="preserve"> Licda.</w:t>
      </w:r>
      <w:r w:rsidRPr="00EB7B59">
        <w:rPr>
          <w:rFonts w:ascii="Arial" w:hAnsi="Arial" w:cs="Arial"/>
          <w:sz w:val="23"/>
          <w:szCs w:val="23"/>
        </w:rPr>
        <w:t xml:space="preserve"> Monserrat Martínez </w:t>
      </w:r>
      <w:proofErr w:type="spellStart"/>
      <w:r w:rsidRPr="00EB7B59">
        <w:rPr>
          <w:rFonts w:ascii="Arial" w:hAnsi="Arial" w:cs="Arial"/>
          <w:sz w:val="23"/>
          <w:szCs w:val="23"/>
        </w:rPr>
        <w:t>Beaurregard</w:t>
      </w:r>
      <w:proofErr w:type="spellEnd"/>
      <w:r w:rsidRPr="00EB7B59">
        <w:rPr>
          <w:rFonts w:ascii="Arial" w:hAnsi="Arial" w:cs="Arial"/>
          <w:sz w:val="23"/>
          <w:szCs w:val="23"/>
        </w:rPr>
        <w:t xml:space="preserve"> y Mtra. Ruth </w:t>
      </w:r>
      <w:proofErr w:type="spellStart"/>
      <w:r w:rsidRPr="00EB7B59">
        <w:rPr>
          <w:rFonts w:ascii="Arial" w:hAnsi="Arial" w:cs="Arial"/>
          <w:sz w:val="23"/>
          <w:szCs w:val="23"/>
        </w:rPr>
        <w:t>Lizette</w:t>
      </w:r>
      <w:proofErr w:type="spellEnd"/>
      <w:r w:rsidRPr="00EB7B59">
        <w:rPr>
          <w:rFonts w:ascii="Arial" w:hAnsi="Arial" w:cs="Arial"/>
          <w:sz w:val="23"/>
          <w:szCs w:val="23"/>
        </w:rPr>
        <w:t xml:space="preserve"> Toledo Peral, como </w:t>
      </w:r>
      <w:r w:rsidRPr="00EB7B59">
        <w:rPr>
          <w:rFonts w:ascii="Arial" w:hAnsi="Arial" w:cs="Arial"/>
          <w:sz w:val="23"/>
          <w:szCs w:val="23"/>
        </w:rPr>
        <w:tab/>
        <w:t>Consejeras Electorales por un período de 7 años.</w:t>
      </w:r>
    </w:p>
    <w:p w:rsidR="00632E28" w:rsidRPr="00EB7B59" w:rsidRDefault="00632E28" w:rsidP="00632E28">
      <w:pPr>
        <w:pStyle w:val="Ttulo1"/>
        <w:rPr>
          <w:rFonts w:ascii="Arial" w:hAnsi="Arial" w:cs="Arial"/>
          <w:sz w:val="24"/>
        </w:rPr>
      </w:pPr>
      <w:r w:rsidRPr="00EB7B59">
        <w:rPr>
          <w:rFonts w:ascii="Arial" w:hAnsi="Arial" w:cs="Arial"/>
          <w:sz w:val="24"/>
        </w:rPr>
        <w:t>Considerando</w:t>
      </w:r>
    </w:p>
    <w:p w:rsidR="00632E28" w:rsidRPr="00EB7B59" w:rsidRDefault="00632E28" w:rsidP="00632E28">
      <w:pPr>
        <w:pStyle w:val="Ttulo2"/>
        <w:rPr>
          <w:rFonts w:ascii="Arial" w:hAnsi="Arial" w:cs="Arial"/>
          <w:sz w:val="23"/>
        </w:rPr>
      </w:pPr>
      <w:r w:rsidRPr="00EB7B59">
        <w:rPr>
          <w:rFonts w:ascii="Arial" w:hAnsi="Arial" w:cs="Arial"/>
          <w:sz w:val="23"/>
        </w:rPr>
        <w:t xml:space="preserve">Fines del Instituto </w:t>
      </w:r>
    </w:p>
    <w:p w:rsidR="00632E28" w:rsidRPr="00EB7B59" w:rsidRDefault="00632E28" w:rsidP="00632E28">
      <w:pPr>
        <w:rPr>
          <w:rFonts w:ascii="Arial" w:hAnsi="Arial" w:cs="Arial"/>
          <w:sz w:val="23"/>
          <w:szCs w:val="23"/>
        </w:rPr>
      </w:pPr>
      <w:r w:rsidRPr="00EB7B59">
        <w:rPr>
          <w:rFonts w:ascii="Arial" w:hAnsi="Arial" w:cs="Arial"/>
          <w:sz w:val="23"/>
          <w:szCs w:val="23"/>
        </w:rPr>
        <w:t>Que, de conformidad con los artículos 9 apartado C, fracción I de la Constitución Local, 3 numeral 3, 100 y 102 numeral 1 de la Ley Electoral,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rsidR="00632E28" w:rsidRPr="00EB7B59" w:rsidRDefault="00632E28" w:rsidP="00632E28">
      <w:pPr>
        <w:rPr>
          <w:rFonts w:ascii="Arial" w:hAnsi="Arial" w:cs="Arial"/>
          <w:sz w:val="23"/>
          <w:szCs w:val="23"/>
        </w:rPr>
      </w:pPr>
      <w:r w:rsidRPr="00EB7B59">
        <w:rPr>
          <w:rFonts w:ascii="Arial" w:hAnsi="Arial" w:cs="Arial"/>
          <w:sz w:val="23"/>
          <w:szCs w:val="23"/>
        </w:rPr>
        <w:t xml:space="preserve">De acuerdo con el artículo 101 de la Ley Electoral, el Instituto tiene como finalidades: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las y los integrantes de los poderes Legislativo, Ejecutivo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w:t>
      </w:r>
      <w:r w:rsidRPr="00EB7B59">
        <w:rPr>
          <w:rFonts w:ascii="Arial" w:hAnsi="Arial" w:cs="Arial"/>
          <w:sz w:val="23"/>
          <w:szCs w:val="23"/>
        </w:rPr>
        <w:lastRenderedPageBreak/>
        <w:t>de los ejercicios de consultas populares y demás formas de participación ciudadana, de conformidad con lo que dispongan las leyes.</w:t>
      </w:r>
    </w:p>
    <w:p w:rsidR="00632E28" w:rsidRPr="00EB7B59" w:rsidRDefault="00632E28" w:rsidP="00632E28">
      <w:pPr>
        <w:pStyle w:val="Ttulo2"/>
        <w:rPr>
          <w:rFonts w:ascii="Arial" w:hAnsi="Arial" w:cs="Arial"/>
          <w:sz w:val="23"/>
        </w:rPr>
      </w:pPr>
      <w:r w:rsidRPr="00EB7B59">
        <w:rPr>
          <w:rFonts w:ascii="Arial" w:hAnsi="Arial" w:cs="Arial"/>
          <w:sz w:val="23"/>
        </w:rPr>
        <w:t xml:space="preserve">Órgano Superior de Dirección del Instituto </w:t>
      </w:r>
    </w:p>
    <w:p w:rsidR="00632E28" w:rsidRPr="00EB7B59" w:rsidRDefault="00632E28" w:rsidP="00632E28">
      <w:pPr>
        <w:rPr>
          <w:rFonts w:ascii="Arial" w:hAnsi="Arial" w:cs="Arial"/>
          <w:sz w:val="23"/>
          <w:szCs w:val="23"/>
        </w:rPr>
      </w:pPr>
      <w:r w:rsidRPr="00EB7B59">
        <w:rPr>
          <w:rFonts w:ascii="Arial" w:hAnsi="Arial" w:cs="Arial"/>
          <w:sz w:val="23"/>
          <w:szCs w:val="23"/>
        </w:rPr>
        <w:t>Que, de acuerdo con el artículo 106 de la Ley Electoral, el Consejo Estatal es el órgano superior de dirección, responsable de vigilar el cumplimiento de las disposiciones constitucionales y legales en materia electoral, así como de velar que los principios de certeza, legalidad, independencia, máxima publicidad, imparcialidad, objetividad y paridad de género, guíen todas las actividades del Instituto.</w:t>
      </w:r>
    </w:p>
    <w:p w:rsidR="00632E28" w:rsidRPr="00EB7B59" w:rsidRDefault="00632E28" w:rsidP="00632E28">
      <w:pPr>
        <w:pStyle w:val="Ttulo2"/>
        <w:rPr>
          <w:rFonts w:ascii="Arial" w:hAnsi="Arial" w:cs="Arial"/>
          <w:sz w:val="23"/>
        </w:rPr>
      </w:pPr>
      <w:r w:rsidRPr="00EB7B59">
        <w:rPr>
          <w:rFonts w:ascii="Arial" w:hAnsi="Arial" w:cs="Arial"/>
          <w:sz w:val="23"/>
        </w:rPr>
        <w:t>Integración del Órgano de Dirección Superior</w:t>
      </w:r>
    </w:p>
    <w:p w:rsidR="00632E28" w:rsidRPr="00EB7B59" w:rsidRDefault="00632E28" w:rsidP="00632E28">
      <w:pPr>
        <w:rPr>
          <w:rFonts w:ascii="Arial" w:hAnsi="Arial" w:cs="Arial"/>
          <w:sz w:val="23"/>
          <w:szCs w:val="23"/>
        </w:rPr>
      </w:pPr>
      <w:r w:rsidRPr="00EB7B59">
        <w:rPr>
          <w:rFonts w:ascii="Arial" w:hAnsi="Arial" w:cs="Arial"/>
          <w:sz w:val="23"/>
          <w:szCs w:val="23"/>
        </w:rPr>
        <w:t>Que, los artículos 99 de la Ley General y 107 numeral 1 de la Ley Electoral, disponen que el Consejo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rsidR="00632E28" w:rsidRPr="00EB7B59" w:rsidRDefault="00632E28" w:rsidP="00632E28">
      <w:pPr>
        <w:pStyle w:val="Ttulo2"/>
        <w:rPr>
          <w:rFonts w:ascii="Arial" w:hAnsi="Arial" w:cs="Arial"/>
          <w:sz w:val="23"/>
        </w:rPr>
      </w:pPr>
      <w:r w:rsidRPr="00EB7B59">
        <w:rPr>
          <w:rFonts w:ascii="Arial" w:hAnsi="Arial" w:cs="Arial"/>
          <w:sz w:val="23"/>
        </w:rPr>
        <w:t>Competencia del Consejo Estatal</w:t>
      </w:r>
    </w:p>
    <w:p w:rsidR="00160354" w:rsidRPr="00EB7B59" w:rsidRDefault="00632E28" w:rsidP="00632E28">
      <w:pPr>
        <w:rPr>
          <w:rFonts w:ascii="Arial" w:hAnsi="Arial" w:cs="Arial"/>
          <w:sz w:val="23"/>
          <w:szCs w:val="23"/>
        </w:rPr>
      </w:pPr>
      <w:r w:rsidRPr="00EB7B59">
        <w:rPr>
          <w:rFonts w:ascii="Arial" w:hAnsi="Arial" w:cs="Arial"/>
          <w:sz w:val="23"/>
          <w:szCs w:val="23"/>
        </w:rPr>
        <w:t xml:space="preserve">Que, de conformidad con el artículo 115 numeral 1, fracción X de la Ley Electoral, corresponde al Consejo Estatal </w:t>
      </w:r>
      <w:r w:rsidR="00160354" w:rsidRPr="00EB7B59">
        <w:rPr>
          <w:rFonts w:ascii="Arial" w:hAnsi="Arial" w:cs="Arial"/>
          <w:sz w:val="23"/>
          <w:szCs w:val="23"/>
        </w:rPr>
        <w:t>garantizar los derechos y el acceso a las prerrogativas de los Partidos Políticos, de las agrupaciones políticas y de las candidatas y candida</w:t>
      </w:r>
      <w:r w:rsidR="00DC387C" w:rsidRPr="00EB7B59">
        <w:rPr>
          <w:rFonts w:ascii="Arial" w:hAnsi="Arial" w:cs="Arial"/>
          <w:sz w:val="23"/>
          <w:szCs w:val="23"/>
        </w:rPr>
        <w:t>tos, en estricto apego a la Ley.</w:t>
      </w:r>
    </w:p>
    <w:p w:rsidR="00632E28" w:rsidRDefault="00632E28" w:rsidP="00632E28">
      <w:pPr>
        <w:rPr>
          <w:rFonts w:ascii="Arial" w:hAnsi="Arial" w:cs="Arial"/>
          <w:sz w:val="23"/>
          <w:szCs w:val="23"/>
        </w:rPr>
      </w:pPr>
      <w:r w:rsidRPr="00EB7B59">
        <w:rPr>
          <w:rFonts w:ascii="Arial" w:hAnsi="Arial" w:cs="Arial"/>
          <w:sz w:val="23"/>
          <w:szCs w:val="23"/>
        </w:rPr>
        <w:t>Acorde a lo anterior, el numeral 2 del artículo mencionado señala que, para el debido ejercicio de las facultades y atribuciones del Instituto, derivados de caso fortuito o causa de fuerza mayor; o en situaciones de falta o insuficiencia de previsión normativa o reglamentaria, el Consejo Estatal podrá dictar los acuerdos necesarios que resulten pertinentes para garantizar el oportuno y adecuado cumplimiento de las funciones que corresponda, siempre en apego a sus facultades y a los principios rectores de la función electoral.</w:t>
      </w:r>
    </w:p>
    <w:p w:rsidR="00EB7B59" w:rsidRDefault="00EB7B59" w:rsidP="00632E28">
      <w:pPr>
        <w:rPr>
          <w:rFonts w:ascii="Arial" w:hAnsi="Arial" w:cs="Arial"/>
          <w:sz w:val="23"/>
          <w:szCs w:val="23"/>
        </w:rPr>
      </w:pPr>
    </w:p>
    <w:p w:rsidR="00F77DF9" w:rsidRDefault="00F77DF9" w:rsidP="00632E28">
      <w:pPr>
        <w:rPr>
          <w:rFonts w:ascii="Arial" w:hAnsi="Arial" w:cs="Arial"/>
          <w:sz w:val="23"/>
          <w:szCs w:val="23"/>
        </w:rPr>
      </w:pPr>
    </w:p>
    <w:p w:rsidR="004659F1" w:rsidRPr="00EB7B59" w:rsidRDefault="004659F1" w:rsidP="004659F1">
      <w:pPr>
        <w:pStyle w:val="Ttulo2"/>
        <w:rPr>
          <w:rFonts w:ascii="Arial" w:hAnsi="Arial" w:cs="Arial"/>
          <w:sz w:val="23"/>
        </w:rPr>
      </w:pPr>
      <w:r w:rsidRPr="00EB7B59">
        <w:rPr>
          <w:rFonts w:ascii="Arial" w:hAnsi="Arial" w:cs="Arial"/>
          <w:sz w:val="23"/>
        </w:rPr>
        <w:lastRenderedPageBreak/>
        <w:t>Fines de los partidos políticos</w:t>
      </w:r>
    </w:p>
    <w:p w:rsidR="004659F1" w:rsidRPr="00EB7B59" w:rsidRDefault="004659F1" w:rsidP="004659F1">
      <w:pPr>
        <w:rPr>
          <w:rFonts w:ascii="Arial" w:hAnsi="Arial" w:cs="Arial"/>
          <w:sz w:val="23"/>
          <w:szCs w:val="23"/>
        </w:rPr>
      </w:pPr>
      <w:r w:rsidRPr="00EB7B59">
        <w:rPr>
          <w:rFonts w:ascii="Arial" w:hAnsi="Arial" w:cs="Arial"/>
          <w:sz w:val="23"/>
          <w:szCs w:val="23"/>
        </w:rPr>
        <w:t xml:space="preserve">Que, en términos de los artículos 41 base I de la Constitución Federal, 9 apartado A, fracción I párrafo segundo de la Constitución Local, </w:t>
      </w:r>
      <w:r w:rsidR="000A536B" w:rsidRPr="00EB7B59">
        <w:rPr>
          <w:rFonts w:ascii="Arial" w:hAnsi="Arial" w:cs="Arial"/>
          <w:sz w:val="23"/>
          <w:szCs w:val="23"/>
        </w:rPr>
        <w:t>3 numeral 1</w:t>
      </w:r>
      <w:r w:rsidRPr="00EB7B59">
        <w:rPr>
          <w:rFonts w:ascii="Arial" w:hAnsi="Arial" w:cs="Arial"/>
          <w:sz w:val="23"/>
          <w:szCs w:val="23"/>
        </w:rPr>
        <w:t xml:space="preserve"> de la Ley de Partidos y 33 numeral 4 de la Ley Electoral, los partidos políticos son entidades de interés público con personalidad jurídica y patrimonio propio, con registro legal ante el INE o ante los organismos electorales, que tienen como fin promover la participación del pueblo en la vida democrática, contribuir a la integración de los órganos de representación política y, como organizaciones ciudadanas, hacer posible el acceso de éstas al ejercicio del poder público de acuerdo con los programas, principios e ideas que postulan y mediante el sufragio universal, libre, secreto, directo, personal e intransferible, incluso a través de distintas formas de participación o asociación, con el fin de postular candidaturas.</w:t>
      </w:r>
    </w:p>
    <w:p w:rsidR="004659F1" w:rsidRPr="00EB7B59" w:rsidRDefault="004659F1" w:rsidP="004659F1">
      <w:pPr>
        <w:pStyle w:val="Ttulo2"/>
        <w:rPr>
          <w:rFonts w:ascii="Arial" w:hAnsi="Arial" w:cs="Arial"/>
          <w:sz w:val="23"/>
        </w:rPr>
      </w:pPr>
      <w:r w:rsidRPr="00EB7B59">
        <w:rPr>
          <w:rFonts w:ascii="Arial" w:hAnsi="Arial" w:cs="Arial"/>
          <w:sz w:val="23"/>
        </w:rPr>
        <w:t>Participación de partidos políticos nacionales en elecciones locales</w:t>
      </w:r>
    </w:p>
    <w:p w:rsidR="00632E28" w:rsidRPr="00EB7B59" w:rsidRDefault="004659F1" w:rsidP="004659F1">
      <w:pPr>
        <w:rPr>
          <w:rFonts w:ascii="Arial" w:hAnsi="Arial" w:cs="Arial"/>
          <w:sz w:val="23"/>
          <w:szCs w:val="23"/>
        </w:rPr>
      </w:pPr>
      <w:r w:rsidRPr="00EB7B59">
        <w:rPr>
          <w:rFonts w:ascii="Arial" w:hAnsi="Arial" w:cs="Arial"/>
          <w:sz w:val="23"/>
          <w:szCs w:val="23"/>
        </w:rPr>
        <w:t>Que, los artículos 34 numeral 1 y 35 numeral 1 de la Ley Electoral disponen que se consideran partidos políticos nacionales aquellos que cuenten con registro ante el INE, y partidos políticos locales aquellos que cuenten con el registro correspondiente ante el Instituto, los cuales tendrán derecho a participar en las elecciones locales, cuando acrediten previamente ante el Consejo Estatal que se encuentran registrados, presentando la constancia respectiva.</w:t>
      </w:r>
    </w:p>
    <w:p w:rsidR="00BB039C" w:rsidRPr="00EB7B59" w:rsidRDefault="00BB039C" w:rsidP="00BE3D2F">
      <w:pPr>
        <w:pStyle w:val="Ttulo2"/>
        <w:rPr>
          <w:rFonts w:ascii="Arial" w:hAnsi="Arial" w:cs="Arial"/>
          <w:sz w:val="23"/>
        </w:rPr>
      </w:pPr>
      <w:r w:rsidRPr="00EB7B59">
        <w:rPr>
          <w:rFonts w:ascii="Arial" w:hAnsi="Arial" w:cs="Arial"/>
          <w:sz w:val="23"/>
        </w:rPr>
        <w:t xml:space="preserve">Requisitos para </w:t>
      </w:r>
      <w:r w:rsidR="00373D03" w:rsidRPr="00EB7B59">
        <w:rPr>
          <w:rFonts w:ascii="Arial" w:hAnsi="Arial" w:cs="Arial"/>
          <w:sz w:val="23"/>
        </w:rPr>
        <w:t>el acceso a los derechos y prerrogativas</w:t>
      </w:r>
    </w:p>
    <w:p w:rsidR="00BB039C" w:rsidRDefault="00BB039C" w:rsidP="004659F1">
      <w:pPr>
        <w:rPr>
          <w:rFonts w:ascii="Arial" w:hAnsi="Arial" w:cs="Arial"/>
          <w:sz w:val="23"/>
          <w:szCs w:val="23"/>
        </w:rPr>
      </w:pPr>
      <w:r w:rsidRPr="00EB7B59">
        <w:rPr>
          <w:rFonts w:ascii="Arial" w:hAnsi="Arial" w:cs="Arial"/>
          <w:sz w:val="23"/>
          <w:szCs w:val="23"/>
        </w:rPr>
        <w:t>Q</w:t>
      </w:r>
      <w:r w:rsidR="00373D03" w:rsidRPr="00EB7B59">
        <w:rPr>
          <w:rFonts w:ascii="Arial" w:hAnsi="Arial" w:cs="Arial"/>
          <w:sz w:val="23"/>
          <w:szCs w:val="23"/>
        </w:rPr>
        <w:t>ue, en términos del artículo 34 numeral 2 de la Ley Electoral, s</w:t>
      </w:r>
      <w:r w:rsidRPr="00EB7B59">
        <w:rPr>
          <w:rFonts w:ascii="Arial" w:hAnsi="Arial" w:cs="Arial"/>
          <w:sz w:val="23"/>
          <w:szCs w:val="23"/>
        </w:rPr>
        <w:t xml:space="preserve">ólo los </w:t>
      </w:r>
      <w:r w:rsidR="00373D03" w:rsidRPr="00EB7B59">
        <w:rPr>
          <w:rFonts w:ascii="Arial" w:hAnsi="Arial" w:cs="Arial"/>
          <w:sz w:val="23"/>
          <w:szCs w:val="23"/>
        </w:rPr>
        <w:t xml:space="preserve">partidos políticos nacionales y locales </w:t>
      </w:r>
      <w:r w:rsidRPr="00EB7B59">
        <w:rPr>
          <w:rFonts w:ascii="Arial" w:hAnsi="Arial" w:cs="Arial"/>
          <w:sz w:val="23"/>
          <w:szCs w:val="23"/>
        </w:rPr>
        <w:t>que cuenten con registro y, en su caso, hayan alcanzado por lo menos el tres por ciento de la votación válida emitida en la elección anterior de acuerdo a lo que marca la Ley, tienen personalidad jurídica, gozan de los derechos y las prerrogativas y quedan sujetos a las obligaciones que establecen la Constitución Local y esta Ley.</w:t>
      </w:r>
    </w:p>
    <w:p w:rsidR="008F20EC" w:rsidRPr="00EB7B59" w:rsidRDefault="008F20EC" w:rsidP="008F20EC">
      <w:pPr>
        <w:pStyle w:val="Ttulo2"/>
        <w:rPr>
          <w:rFonts w:ascii="Arial" w:hAnsi="Arial" w:cs="Arial"/>
          <w:sz w:val="23"/>
        </w:rPr>
      </w:pPr>
      <w:r w:rsidRPr="00EB7B59">
        <w:rPr>
          <w:rFonts w:ascii="Arial" w:hAnsi="Arial" w:cs="Arial"/>
          <w:sz w:val="23"/>
        </w:rPr>
        <w:t xml:space="preserve">Partidos que no alcanzaron el umbral del tres por ciento de la votación </w:t>
      </w:r>
    </w:p>
    <w:p w:rsidR="008F20EC" w:rsidRPr="00EB7B59" w:rsidRDefault="008F20EC" w:rsidP="004659F1">
      <w:pPr>
        <w:rPr>
          <w:rFonts w:ascii="Arial" w:hAnsi="Arial" w:cs="Arial"/>
          <w:sz w:val="23"/>
          <w:szCs w:val="23"/>
        </w:rPr>
      </w:pPr>
      <w:r w:rsidRPr="00EB7B59">
        <w:rPr>
          <w:rFonts w:ascii="Arial" w:hAnsi="Arial" w:cs="Arial"/>
          <w:sz w:val="23"/>
          <w:szCs w:val="23"/>
        </w:rPr>
        <w:t xml:space="preserve">Que, de acuerdo con los resultados obtenidos en los cómputos distritales correspondientes a las elecciones a la Gubernatura, diputaciones y presidencias municipales y regidurías; y considerando las modificaciones determinadas por los órganos jurisdiccionales, se advierte que el Partido Acción Nacional no alcanzó por lo </w:t>
      </w:r>
      <w:r w:rsidRPr="00EB7B59">
        <w:rPr>
          <w:rFonts w:ascii="Arial" w:hAnsi="Arial" w:cs="Arial"/>
          <w:sz w:val="23"/>
          <w:szCs w:val="23"/>
        </w:rPr>
        <w:lastRenderedPageBreak/>
        <w:t>menos el tres por ciento de la votación válida emitida en alguna de las elecciones, circunstancia que lo coloca en el supuesto previsto en los artículos 34, numeral 2 y 48 numeral 1 de la Ley Electoral al haber obtenido el siguiente porcentaje:</w:t>
      </w:r>
    </w:p>
    <w:tbl>
      <w:tblPr>
        <w:tblStyle w:val="Tablaconcuadrcula"/>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2387"/>
        <w:gridCol w:w="1316"/>
        <w:gridCol w:w="771"/>
        <w:gridCol w:w="1542"/>
        <w:gridCol w:w="802"/>
        <w:gridCol w:w="1340"/>
        <w:gridCol w:w="670"/>
      </w:tblGrid>
      <w:tr w:rsidR="00BE25BB" w:rsidRPr="00EB7B59" w:rsidTr="00FE54A8">
        <w:tc>
          <w:tcPr>
            <w:tcW w:w="2405" w:type="dxa"/>
            <w:shd w:val="clear" w:color="auto" w:fill="993366"/>
          </w:tcPr>
          <w:p w:rsidR="00BE25BB" w:rsidRPr="00EB7B59" w:rsidRDefault="00BE25BB" w:rsidP="00FE54A8">
            <w:pPr>
              <w:spacing w:before="40" w:after="40"/>
              <w:jc w:val="center"/>
              <w:rPr>
                <w:rFonts w:ascii="Arial" w:hAnsi="Arial" w:cs="Arial"/>
                <w:b/>
                <w:color w:val="FFFFFF" w:themeColor="background1"/>
                <w:sz w:val="16"/>
              </w:rPr>
            </w:pPr>
            <w:r w:rsidRPr="00EB7B59">
              <w:rPr>
                <w:rFonts w:ascii="Arial" w:hAnsi="Arial" w:cs="Arial"/>
                <w:b/>
                <w:color w:val="FFFFFF" w:themeColor="background1"/>
                <w:sz w:val="16"/>
              </w:rPr>
              <w:t>Partido político</w:t>
            </w:r>
          </w:p>
        </w:tc>
        <w:tc>
          <w:tcPr>
            <w:tcW w:w="1316" w:type="dxa"/>
            <w:shd w:val="clear" w:color="auto" w:fill="993366"/>
          </w:tcPr>
          <w:p w:rsidR="00BE25BB" w:rsidRPr="00EB7B59" w:rsidRDefault="00BE25BB" w:rsidP="00FE54A8">
            <w:pPr>
              <w:spacing w:before="40" w:after="40"/>
              <w:jc w:val="center"/>
              <w:rPr>
                <w:rFonts w:ascii="Arial" w:hAnsi="Arial" w:cs="Arial"/>
                <w:b/>
                <w:color w:val="FFFFFF" w:themeColor="background1"/>
                <w:sz w:val="16"/>
              </w:rPr>
            </w:pPr>
            <w:r w:rsidRPr="00EB7B59">
              <w:rPr>
                <w:rFonts w:ascii="Arial" w:hAnsi="Arial" w:cs="Arial"/>
                <w:b/>
                <w:color w:val="FFFFFF" w:themeColor="background1"/>
                <w:sz w:val="16"/>
              </w:rPr>
              <w:t>Ayuntamiento</w:t>
            </w:r>
          </w:p>
        </w:tc>
        <w:tc>
          <w:tcPr>
            <w:tcW w:w="772" w:type="dxa"/>
            <w:shd w:val="clear" w:color="auto" w:fill="993366"/>
          </w:tcPr>
          <w:p w:rsidR="00BE25BB" w:rsidRPr="00EB7B59" w:rsidRDefault="00BE25BB" w:rsidP="00FE54A8">
            <w:pPr>
              <w:spacing w:before="40" w:after="40"/>
              <w:jc w:val="center"/>
              <w:rPr>
                <w:rFonts w:ascii="Arial" w:hAnsi="Arial" w:cs="Arial"/>
                <w:b/>
                <w:color w:val="FFFFFF" w:themeColor="background1"/>
                <w:sz w:val="16"/>
              </w:rPr>
            </w:pPr>
            <w:r w:rsidRPr="00EB7B59">
              <w:rPr>
                <w:rFonts w:ascii="Arial" w:hAnsi="Arial" w:cs="Arial"/>
                <w:b/>
                <w:color w:val="FFFFFF" w:themeColor="background1"/>
                <w:sz w:val="16"/>
              </w:rPr>
              <w:t>%</w:t>
            </w:r>
          </w:p>
        </w:tc>
        <w:tc>
          <w:tcPr>
            <w:tcW w:w="1545" w:type="dxa"/>
            <w:shd w:val="clear" w:color="auto" w:fill="993366"/>
          </w:tcPr>
          <w:p w:rsidR="00BE25BB" w:rsidRPr="00EB7B59" w:rsidRDefault="00BE25BB" w:rsidP="00FE54A8">
            <w:pPr>
              <w:spacing w:before="40" w:after="40"/>
              <w:jc w:val="center"/>
              <w:rPr>
                <w:rFonts w:ascii="Arial" w:hAnsi="Arial" w:cs="Arial"/>
                <w:b/>
                <w:color w:val="FFFFFF" w:themeColor="background1"/>
                <w:sz w:val="16"/>
              </w:rPr>
            </w:pPr>
            <w:r w:rsidRPr="00EB7B59">
              <w:rPr>
                <w:rFonts w:ascii="Arial" w:hAnsi="Arial" w:cs="Arial"/>
                <w:b/>
                <w:color w:val="FFFFFF" w:themeColor="background1"/>
                <w:sz w:val="16"/>
              </w:rPr>
              <w:t>Diputaciones</w:t>
            </w:r>
          </w:p>
        </w:tc>
        <w:tc>
          <w:tcPr>
            <w:tcW w:w="803" w:type="dxa"/>
            <w:shd w:val="clear" w:color="auto" w:fill="993366"/>
          </w:tcPr>
          <w:p w:rsidR="00BE25BB" w:rsidRPr="00EB7B59" w:rsidRDefault="00BE25BB" w:rsidP="00FE54A8">
            <w:pPr>
              <w:spacing w:before="40" w:after="40"/>
              <w:jc w:val="center"/>
              <w:rPr>
                <w:rFonts w:ascii="Arial" w:hAnsi="Arial" w:cs="Arial"/>
                <w:b/>
                <w:color w:val="FFFFFF" w:themeColor="background1"/>
                <w:sz w:val="16"/>
              </w:rPr>
            </w:pPr>
            <w:r w:rsidRPr="00EB7B59">
              <w:rPr>
                <w:rFonts w:ascii="Arial" w:hAnsi="Arial" w:cs="Arial"/>
                <w:b/>
                <w:color w:val="FFFFFF" w:themeColor="background1"/>
                <w:sz w:val="16"/>
              </w:rPr>
              <w:t>%</w:t>
            </w:r>
          </w:p>
        </w:tc>
        <w:tc>
          <w:tcPr>
            <w:tcW w:w="1342" w:type="dxa"/>
            <w:shd w:val="clear" w:color="auto" w:fill="993366"/>
          </w:tcPr>
          <w:p w:rsidR="00BE25BB" w:rsidRPr="00EB7B59" w:rsidRDefault="00BE25BB" w:rsidP="00FE54A8">
            <w:pPr>
              <w:spacing w:before="40" w:after="40"/>
              <w:jc w:val="center"/>
              <w:rPr>
                <w:rFonts w:ascii="Arial" w:hAnsi="Arial" w:cs="Arial"/>
                <w:b/>
                <w:color w:val="FFFFFF" w:themeColor="background1"/>
                <w:sz w:val="16"/>
              </w:rPr>
            </w:pPr>
            <w:r w:rsidRPr="00EB7B59">
              <w:rPr>
                <w:rFonts w:ascii="Arial" w:hAnsi="Arial" w:cs="Arial"/>
                <w:b/>
                <w:color w:val="FFFFFF" w:themeColor="background1"/>
                <w:sz w:val="16"/>
              </w:rPr>
              <w:t>Gubernatura</w:t>
            </w:r>
          </w:p>
        </w:tc>
        <w:tc>
          <w:tcPr>
            <w:tcW w:w="645" w:type="dxa"/>
            <w:shd w:val="clear" w:color="auto" w:fill="993366"/>
          </w:tcPr>
          <w:p w:rsidR="00BE25BB" w:rsidRPr="00EB7B59" w:rsidRDefault="00BE25BB" w:rsidP="00FE54A8">
            <w:pPr>
              <w:spacing w:before="40" w:after="40"/>
              <w:jc w:val="center"/>
              <w:rPr>
                <w:rFonts w:ascii="Arial" w:hAnsi="Arial" w:cs="Arial"/>
                <w:b/>
                <w:color w:val="FFFFFF" w:themeColor="background1"/>
                <w:sz w:val="16"/>
              </w:rPr>
            </w:pPr>
            <w:r w:rsidRPr="00EB7B59">
              <w:rPr>
                <w:rFonts w:ascii="Arial" w:hAnsi="Arial" w:cs="Arial"/>
                <w:b/>
                <w:color w:val="FFFFFF" w:themeColor="background1"/>
                <w:sz w:val="16"/>
              </w:rPr>
              <w:t>%</w:t>
            </w:r>
          </w:p>
        </w:tc>
      </w:tr>
      <w:tr w:rsidR="00BE25BB" w:rsidRPr="00EB7B59" w:rsidTr="00FE54A8">
        <w:tc>
          <w:tcPr>
            <w:tcW w:w="2405" w:type="dxa"/>
          </w:tcPr>
          <w:p w:rsidR="00BE25BB" w:rsidRPr="00EB7B59" w:rsidRDefault="00BE25BB" w:rsidP="00FE54A8">
            <w:pPr>
              <w:spacing w:before="40" w:after="40"/>
              <w:jc w:val="center"/>
              <w:rPr>
                <w:rFonts w:ascii="Arial" w:hAnsi="Arial" w:cs="Arial"/>
                <w:b/>
                <w:sz w:val="16"/>
              </w:rPr>
            </w:pPr>
            <w:r w:rsidRPr="00EB7B59">
              <w:rPr>
                <w:rFonts w:ascii="Arial" w:hAnsi="Arial" w:cs="Arial"/>
                <w:b/>
                <w:sz w:val="16"/>
              </w:rPr>
              <w:t>PAN</w:t>
            </w:r>
          </w:p>
        </w:tc>
        <w:tc>
          <w:tcPr>
            <w:tcW w:w="1316" w:type="dxa"/>
          </w:tcPr>
          <w:p w:rsidR="00BE25BB" w:rsidRPr="00EB7B59" w:rsidRDefault="00BE25BB" w:rsidP="00FE54A8">
            <w:pPr>
              <w:spacing w:before="40" w:after="40"/>
              <w:jc w:val="center"/>
              <w:rPr>
                <w:rFonts w:ascii="Arial" w:hAnsi="Arial" w:cs="Arial"/>
                <w:b/>
                <w:sz w:val="16"/>
              </w:rPr>
            </w:pPr>
            <w:r w:rsidRPr="00EB7B59">
              <w:rPr>
                <w:rFonts w:ascii="Arial" w:hAnsi="Arial" w:cs="Arial"/>
                <w:b/>
                <w:sz w:val="16"/>
              </w:rPr>
              <w:t>18,667</w:t>
            </w:r>
          </w:p>
        </w:tc>
        <w:tc>
          <w:tcPr>
            <w:tcW w:w="772" w:type="dxa"/>
          </w:tcPr>
          <w:p w:rsidR="00BE25BB" w:rsidRPr="00EB7B59" w:rsidRDefault="00BE25BB" w:rsidP="00FE54A8">
            <w:pPr>
              <w:spacing w:before="40" w:after="40"/>
              <w:jc w:val="center"/>
              <w:rPr>
                <w:rFonts w:ascii="Arial" w:hAnsi="Arial" w:cs="Arial"/>
                <w:b/>
                <w:sz w:val="16"/>
              </w:rPr>
            </w:pPr>
            <w:r w:rsidRPr="00EB7B59">
              <w:rPr>
                <w:rFonts w:ascii="Arial" w:hAnsi="Arial" w:cs="Arial"/>
                <w:b/>
                <w:sz w:val="16"/>
              </w:rPr>
              <w:t>1.83%</w:t>
            </w:r>
          </w:p>
        </w:tc>
        <w:tc>
          <w:tcPr>
            <w:tcW w:w="1545" w:type="dxa"/>
          </w:tcPr>
          <w:p w:rsidR="00BE25BB" w:rsidRPr="00EB7B59" w:rsidRDefault="00BE25BB" w:rsidP="00FE54A8">
            <w:pPr>
              <w:spacing w:before="40" w:after="40"/>
              <w:jc w:val="center"/>
              <w:rPr>
                <w:rFonts w:ascii="Arial" w:hAnsi="Arial" w:cs="Arial"/>
                <w:b/>
                <w:sz w:val="16"/>
              </w:rPr>
            </w:pPr>
            <w:r w:rsidRPr="00EB7B59">
              <w:rPr>
                <w:rFonts w:ascii="Arial" w:hAnsi="Arial" w:cs="Arial"/>
                <w:b/>
                <w:sz w:val="16"/>
              </w:rPr>
              <w:t>23,611</w:t>
            </w:r>
          </w:p>
        </w:tc>
        <w:tc>
          <w:tcPr>
            <w:tcW w:w="803" w:type="dxa"/>
          </w:tcPr>
          <w:p w:rsidR="00BE25BB" w:rsidRPr="00EB7B59" w:rsidRDefault="00BE25BB" w:rsidP="00FE54A8">
            <w:pPr>
              <w:spacing w:before="40" w:after="40"/>
              <w:jc w:val="center"/>
              <w:rPr>
                <w:rFonts w:ascii="Arial" w:hAnsi="Arial" w:cs="Arial"/>
                <w:b/>
                <w:sz w:val="16"/>
              </w:rPr>
            </w:pPr>
            <w:r w:rsidRPr="00EB7B59">
              <w:rPr>
                <w:rFonts w:ascii="Arial" w:hAnsi="Arial" w:cs="Arial"/>
                <w:b/>
                <w:sz w:val="16"/>
              </w:rPr>
              <w:t>2.29%</w:t>
            </w:r>
          </w:p>
        </w:tc>
        <w:tc>
          <w:tcPr>
            <w:tcW w:w="1342" w:type="dxa"/>
          </w:tcPr>
          <w:p w:rsidR="00BE25BB" w:rsidRPr="00EB7B59" w:rsidRDefault="00BE25BB" w:rsidP="00FE54A8">
            <w:pPr>
              <w:spacing w:before="40" w:after="40"/>
              <w:jc w:val="center"/>
              <w:rPr>
                <w:rFonts w:ascii="Arial" w:hAnsi="Arial" w:cs="Arial"/>
                <w:b/>
                <w:sz w:val="16"/>
              </w:rPr>
            </w:pPr>
            <w:r w:rsidRPr="00EB7B59">
              <w:rPr>
                <w:rFonts w:ascii="Arial" w:hAnsi="Arial" w:cs="Arial"/>
                <w:b/>
                <w:sz w:val="16"/>
              </w:rPr>
              <w:t>18,765</w:t>
            </w:r>
          </w:p>
        </w:tc>
        <w:tc>
          <w:tcPr>
            <w:tcW w:w="645" w:type="dxa"/>
          </w:tcPr>
          <w:p w:rsidR="00BE25BB" w:rsidRPr="00EB7B59" w:rsidRDefault="00BE25BB" w:rsidP="00FE54A8">
            <w:pPr>
              <w:spacing w:before="40" w:after="40"/>
              <w:jc w:val="center"/>
              <w:rPr>
                <w:rFonts w:ascii="Arial" w:hAnsi="Arial" w:cs="Arial"/>
                <w:b/>
                <w:sz w:val="16"/>
              </w:rPr>
            </w:pPr>
            <w:r w:rsidRPr="00EB7B59">
              <w:rPr>
                <w:rFonts w:ascii="Arial" w:hAnsi="Arial" w:cs="Arial"/>
                <w:b/>
                <w:sz w:val="16"/>
              </w:rPr>
              <w:t>1.77%</w:t>
            </w:r>
          </w:p>
        </w:tc>
      </w:tr>
    </w:tbl>
    <w:p w:rsidR="009376F6" w:rsidRPr="00EB7B59" w:rsidRDefault="009376F6" w:rsidP="009376F6">
      <w:pPr>
        <w:rPr>
          <w:rFonts w:ascii="Arial" w:hAnsi="Arial" w:cs="Arial"/>
          <w:sz w:val="23"/>
          <w:szCs w:val="23"/>
        </w:rPr>
      </w:pPr>
      <w:r w:rsidRPr="00EB7B59">
        <w:rPr>
          <w:rFonts w:ascii="Arial" w:hAnsi="Arial" w:cs="Arial"/>
          <w:sz w:val="23"/>
          <w:szCs w:val="23"/>
        </w:rPr>
        <w:t xml:space="preserve">Lo anterior, </w:t>
      </w:r>
      <w:r w:rsidR="00F3473A" w:rsidRPr="00EB7B59">
        <w:rPr>
          <w:rFonts w:ascii="Arial" w:hAnsi="Arial" w:cs="Arial"/>
          <w:sz w:val="23"/>
          <w:szCs w:val="23"/>
        </w:rPr>
        <w:t>considerando</w:t>
      </w:r>
      <w:r w:rsidRPr="00EB7B59">
        <w:rPr>
          <w:rFonts w:ascii="Arial" w:hAnsi="Arial" w:cs="Arial"/>
          <w:sz w:val="23"/>
          <w:szCs w:val="23"/>
        </w:rPr>
        <w:t>, que el artículo 15 numeral 1 fracción II de la Ley Electoral establece que</w:t>
      </w:r>
      <w:r w:rsidR="00F3473A" w:rsidRPr="00EB7B59">
        <w:rPr>
          <w:rFonts w:ascii="Arial" w:hAnsi="Arial" w:cs="Arial"/>
          <w:sz w:val="23"/>
          <w:szCs w:val="23"/>
        </w:rPr>
        <w:t>,</w:t>
      </w:r>
      <w:r w:rsidRPr="00EB7B59">
        <w:rPr>
          <w:rFonts w:ascii="Arial" w:hAnsi="Arial" w:cs="Arial"/>
          <w:sz w:val="23"/>
          <w:szCs w:val="23"/>
        </w:rPr>
        <w:t xml:space="preserve"> la votación válida emitida es la que resulta de restar de la votación total emitida, los votos a favor de las candidaturas no registradas y los votos nulos.</w:t>
      </w:r>
    </w:p>
    <w:p w:rsidR="009376F6" w:rsidRPr="00EB7B59" w:rsidRDefault="009376F6" w:rsidP="009376F6">
      <w:pPr>
        <w:pStyle w:val="Ttulo2"/>
        <w:rPr>
          <w:rFonts w:ascii="Arial" w:hAnsi="Arial" w:cs="Arial"/>
          <w:sz w:val="23"/>
        </w:rPr>
      </w:pPr>
      <w:r w:rsidRPr="00EB7B59">
        <w:rPr>
          <w:rFonts w:ascii="Arial" w:hAnsi="Arial" w:cs="Arial"/>
          <w:sz w:val="23"/>
        </w:rPr>
        <w:t>Pérdida de acreditación del Partido Acción Nacional</w:t>
      </w:r>
    </w:p>
    <w:p w:rsidR="00F55844" w:rsidRPr="00EB7B59" w:rsidRDefault="00175651" w:rsidP="009376F6">
      <w:pPr>
        <w:rPr>
          <w:rFonts w:ascii="Arial" w:hAnsi="Arial" w:cs="Arial"/>
          <w:sz w:val="23"/>
          <w:szCs w:val="23"/>
        </w:rPr>
      </w:pPr>
      <w:r w:rsidRPr="00EB7B59">
        <w:rPr>
          <w:rFonts w:ascii="Arial" w:hAnsi="Arial" w:cs="Arial"/>
          <w:sz w:val="23"/>
          <w:szCs w:val="23"/>
        </w:rPr>
        <w:t xml:space="preserve">Que, </w:t>
      </w:r>
      <w:r w:rsidR="00F55844" w:rsidRPr="00EB7B59">
        <w:rPr>
          <w:rFonts w:ascii="Arial" w:hAnsi="Arial" w:cs="Arial"/>
          <w:sz w:val="23"/>
          <w:szCs w:val="23"/>
        </w:rPr>
        <w:t>en virtud de los resultados obtenidos por el Partido Acción Nacional en el reciente Proceso Electoral, este órgano electoral considera que se actualiza la hipótesis prevista en el artículo 34 numeral 2 de la Ley Electoral, lo que implica la pérdida de acreditación del instituto político mencionado.</w:t>
      </w:r>
    </w:p>
    <w:p w:rsidR="009376F6" w:rsidRPr="00EB7B59" w:rsidRDefault="00F55844" w:rsidP="009376F6">
      <w:pPr>
        <w:rPr>
          <w:rFonts w:ascii="Arial" w:hAnsi="Arial" w:cs="Arial"/>
          <w:sz w:val="23"/>
          <w:szCs w:val="23"/>
        </w:rPr>
      </w:pPr>
      <w:r w:rsidRPr="00EB7B59">
        <w:rPr>
          <w:rFonts w:ascii="Arial" w:hAnsi="Arial" w:cs="Arial"/>
          <w:sz w:val="23"/>
          <w:szCs w:val="23"/>
        </w:rPr>
        <w:t>En efecto,</w:t>
      </w:r>
      <w:r w:rsidR="009376F6" w:rsidRPr="00EB7B59">
        <w:rPr>
          <w:rFonts w:ascii="Arial" w:hAnsi="Arial" w:cs="Arial"/>
          <w:sz w:val="23"/>
          <w:szCs w:val="23"/>
        </w:rPr>
        <w:t xml:space="preserve"> </w:t>
      </w:r>
      <w:r w:rsidRPr="00EB7B59">
        <w:rPr>
          <w:rFonts w:ascii="Arial" w:hAnsi="Arial" w:cs="Arial"/>
          <w:sz w:val="23"/>
          <w:szCs w:val="23"/>
        </w:rPr>
        <w:t xml:space="preserve">el dispositivo mencionado dispone que, </w:t>
      </w:r>
      <w:r w:rsidR="009376F6" w:rsidRPr="00EB7B59">
        <w:rPr>
          <w:rFonts w:ascii="Arial" w:hAnsi="Arial" w:cs="Arial"/>
          <w:sz w:val="23"/>
          <w:szCs w:val="23"/>
        </w:rPr>
        <w:t xml:space="preserve">para que un partido político nacional o local, </w:t>
      </w:r>
      <w:r w:rsidR="00704046" w:rsidRPr="00EB7B59">
        <w:rPr>
          <w:rFonts w:ascii="Arial" w:hAnsi="Arial" w:cs="Arial"/>
          <w:sz w:val="23"/>
          <w:szCs w:val="23"/>
        </w:rPr>
        <w:t xml:space="preserve">tenga personería y </w:t>
      </w:r>
      <w:r w:rsidR="009376F6" w:rsidRPr="00EB7B59">
        <w:rPr>
          <w:rFonts w:ascii="Arial" w:hAnsi="Arial" w:cs="Arial"/>
          <w:sz w:val="23"/>
          <w:szCs w:val="23"/>
        </w:rPr>
        <w:t>goce de los derechos y prerrogativas que establece la Constitución Local y la ley</w:t>
      </w:r>
      <w:r w:rsidR="00645420" w:rsidRPr="00EB7B59">
        <w:rPr>
          <w:rFonts w:ascii="Arial" w:hAnsi="Arial" w:cs="Arial"/>
          <w:sz w:val="23"/>
          <w:szCs w:val="23"/>
        </w:rPr>
        <w:t xml:space="preserve"> Electoral</w:t>
      </w:r>
      <w:r w:rsidR="009376F6" w:rsidRPr="00EB7B59">
        <w:rPr>
          <w:rFonts w:ascii="Arial" w:hAnsi="Arial" w:cs="Arial"/>
          <w:sz w:val="23"/>
          <w:szCs w:val="23"/>
        </w:rPr>
        <w:t xml:space="preserve">, deberán concurrir los siguientes elementos: a) que cuente con registro; y, b) que alcancen por lo menos el tres por ciento de la votación válida emitida en la elección anterior de acuerdo con lo que marca </w:t>
      </w:r>
      <w:r w:rsidR="00645420" w:rsidRPr="00EB7B59">
        <w:rPr>
          <w:rFonts w:ascii="Arial" w:hAnsi="Arial" w:cs="Arial"/>
          <w:sz w:val="23"/>
          <w:szCs w:val="23"/>
        </w:rPr>
        <w:t xml:space="preserve">dicha </w:t>
      </w:r>
      <w:r w:rsidR="009376F6" w:rsidRPr="00EB7B59">
        <w:rPr>
          <w:rFonts w:ascii="Arial" w:hAnsi="Arial" w:cs="Arial"/>
          <w:sz w:val="23"/>
          <w:szCs w:val="23"/>
        </w:rPr>
        <w:t>Ley.</w:t>
      </w:r>
    </w:p>
    <w:p w:rsidR="00704046" w:rsidRPr="00EB7B59" w:rsidRDefault="00704046" w:rsidP="00704046">
      <w:pPr>
        <w:rPr>
          <w:rFonts w:ascii="Arial" w:hAnsi="Arial" w:cs="Arial"/>
          <w:sz w:val="23"/>
          <w:szCs w:val="23"/>
        </w:rPr>
      </w:pPr>
      <w:r w:rsidRPr="00EB7B59">
        <w:rPr>
          <w:rFonts w:ascii="Arial" w:hAnsi="Arial" w:cs="Arial"/>
          <w:sz w:val="23"/>
          <w:szCs w:val="23"/>
        </w:rPr>
        <w:t>A partir de la interpretación sistemática, gramatical y funcional del artículo señalado, se advierte que, cuando un partido político, aún y cuando preserve su registro como partido político nacional, si no obtuvo el porcentaje de votación que le conceda un grado de representatividad, no tendrá personería y como consecuencia, no gozará de los derechos y prerrogativas que le conceden las disposiciones legales, en el ámbito local.</w:t>
      </w:r>
    </w:p>
    <w:p w:rsidR="00704046" w:rsidRPr="00EB7B59" w:rsidRDefault="0055245B" w:rsidP="00704046">
      <w:pPr>
        <w:rPr>
          <w:rFonts w:ascii="Arial" w:hAnsi="Arial" w:cs="Arial"/>
          <w:sz w:val="23"/>
          <w:szCs w:val="23"/>
        </w:rPr>
      </w:pPr>
      <w:r w:rsidRPr="00EB7B59">
        <w:rPr>
          <w:rFonts w:ascii="Arial" w:hAnsi="Arial" w:cs="Arial"/>
          <w:sz w:val="23"/>
          <w:szCs w:val="23"/>
        </w:rPr>
        <w:t>Es importante señalar que</w:t>
      </w:r>
      <w:r w:rsidR="00704046" w:rsidRPr="00EB7B59">
        <w:rPr>
          <w:rFonts w:ascii="Arial" w:hAnsi="Arial" w:cs="Arial"/>
          <w:sz w:val="23"/>
          <w:szCs w:val="23"/>
        </w:rPr>
        <w:t xml:space="preserve">, la acreditación de un partido político nacional en el ámbito de las entidades federativas, no tiene como fin darle existencia jurídica a tal ente, como sí lo hace el registro ante el </w:t>
      </w:r>
      <w:r w:rsidR="008E4130" w:rsidRPr="00EB7B59">
        <w:rPr>
          <w:rFonts w:ascii="Arial" w:hAnsi="Arial" w:cs="Arial"/>
          <w:sz w:val="23"/>
          <w:szCs w:val="23"/>
        </w:rPr>
        <w:t>INE</w:t>
      </w:r>
      <w:r w:rsidRPr="00EB7B59">
        <w:rPr>
          <w:rFonts w:ascii="Arial" w:hAnsi="Arial" w:cs="Arial"/>
          <w:sz w:val="23"/>
          <w:szCs w:val="23"/>
        </w:rPr>
        <w:t>,</w:t>
      </w:r>
      <w:r w:rsidR="00704046" w:rsidRPr="00EB7B59">
        <w:rPr>
          <w:rFonts w:ascii="Arial" w:hAnsi="Arial" w:cs="Arial"/>
          <w:sz w:val="23"/>
          <w:szCs w:val="23"/>
        </w:rPr>
        <w:t xml:space="preserve"> dado que única y exclusivamente tiene por objetivo que puedan participar en la vida política de cada entidad federativa.</w:t>
      </w:r>
      <w:r w:rsidRPr="00EB7B59">
        <w:rPr>
          <w:rFonts w:ascii="Arial" w:hAnsi="Arial" w:cs="Arial"/>
          <w:sz w:val="23"/>
          <w:szCs w:val="23"/>
        </w:rPr>
        <w:t xml:space="preserve"> </w:t>
      </w:r>
      <w:r w:rsidR="00704046" w:rsidRPr="00EB7B59">
        <w:rPr>
          <w:rFonts w:ascii="Arial" w:hAnsi="Arial" w:cs="Arial"/>
          <w:sz w:val="23"/>
          <w:szCs w:val="23"/>
        </w:rPr>
        <w:t xml:space="preserve">De ese modo, obtener la acreditación de un partido político nacional, ante la autoridad administrativa electoral local, trae consigo el goce y disfrute de los derechos que </w:t>
      </w:r>
      <w:r w:rsidRPr="00EB7B59">
        <w:rPr>
          <w:rFonts w:ascii="Arial" w:hAnsi="Arial" w:cs="Arial"/>
          <w:sz w:val="23"/>
          <w:szCs w:val="23"/>
        </w:rPr>
        <w:t xml:space="preserve">le conceden, entre otro, </w:t>
      </w:r>
      <w:r w:rsidR="00704046" w:rsidRPr="00EB7B59">
        <w:rPr>
          <w:rFonts w:ascii="Arial" w:hAnsi="Arial" w:cs="Arial"/>
          <w:sz w:val="23"/>
          <w:szCs w:val="23"/>
        </w:rPr>
        <w:t>el artículo 53</w:t>
      </w:r>
      <w:r w:rsidRPr="00EB7B59">
        <w:rPr>
          <w:rFonts w:ascii="Arial" w:hAnsi="Arial" w:cs="Arial"/>
          <w:sz w:val="23"/>
          <w:szCs w:val="23"/>
        </w:rPr>
        <w:t xml:space="preserve"> de la Ley Electoral.</w:t>
      </w:r>
    </w:p>
    <w:p w:rsidR="009376F6" w:rsidRPr="00EB7B59" w:rsidRDefault="00F55844" w:rsidP="00F55844">
      <w:pPr>
        <w:rPr>
          <w:rFonts w:ascii="Arial" w:hAnsi="Arial" w:cs="Arial"/>
          <w:sz w:val="23"/>
          <w:szCs w:val="23"/>
        </w:rPr>
      </w:pPr>
      <w:r w:rsidRPr="00EB7B59">
        <w:rPr>
          <w:rFonts w:ascii="Arial" w:hAnsi="Arial" w:cs="Arial"/>
          <w:sz w:val="23"/>
          <w:szCs w:val="23"/>
        </w:rPr>
        <w:lastRenderedPageBreak/>
        <w:t xml:space="preserve">Sobre esa base, es un hecho público y notorio que el Partido Acción Nacional mantiene su registro como partido político nacional, toda vez que alcanzó el porcentaje de votación que exige el artículo 94 de la Ley de Partidos. En todo caso, </w:t>
      </w:r>
      <w:r w:rsidR="009376F6" w:rsidRPr="00EB7B59">
        <w:rPr>
          <w:rFonts w:ascii="Arial" w:hAnsi="Arial" w:cs="Arial"/>
          <w:sz w:val="23"/>
          <w:szCs w:val="23"/>
        </w:rPr>
        <w:t xml:space="preserve">el registro de un partido político nacional, es un acto constitutivo que compete al </w:t>
      </w:r>
      <w:r w:rsidR="008E4130" w:rsidRPr="00EB7B59">
        <w:rPr>
          <w:rFonts w:ascii="Arial" w:hAnsi="Arial" w:cs="Arial"/>
          <w:sz w:val="23"/>
          <w:szCs w:val="23"/>
        </w:rPr>
        <w:t>INE</w:t>
      </w:r>
      <w:r w:rsidR="009376F6" w:rsidRPr="00EB7B59">
        <w:rPr>
          <w:rFonts w:ascii="Arial" w:hAnsi="Arial" w:cs="Arial"/>
          <w:sz w:val="23"/>
          <w:szCs w:val="23"/>
        </w:rPr>
        <w:t xml:space="preserve"> y que otorga la posibilidad al partido político de participar en los procesos electorales locales, para lo cual, se les debe otorgar la acreditación ante los organismos públicos locales electorales</w:t>
      </w:r>
      <w:r w:rsidR="00C61410" w:rsidRPr="00EB7B59">
        <w:rPr>
          <w:rFonts w:ascii="Arial" w:hAnsi="Arial" w:cs="Arial"/>
          <w:sz w:val="23"/>
          <w:szCs w:val="23"/>
        </w:rPr>
        <w:t>,</w:t>
      </w:r>
      <w:r w:rsidR="009376F6" w:rsidRPr="00EB7B59">
        <w:rPr>
          <w:rFonts w:ascii="Arial" w:hAnsi="Arial" w:cs="Arial"/>
          <w:sz w:val="23"/>
          <w:szCs w:val="23"/>
        </w:rPr>
        <w:t xml:space="preserve"> lo que implica un reconocimiento a la personalidad del propio partido político registrado.</w:t>
      </w:r>
    </w:p>
    <w:p w:rsidR="00A151E2" w:rsidRPr="00EB7B59" w:rsidRDefault="00A151E2" w:rsidP="00A151E2">
      <w:pPr>
        <w:rPr>
          <w:rFonts w:ascii="Arial" w:hAnsi="Arial" w:cs="Arial"/>
          <w:sz w:val="23"/>
          <w:szCs w:val="23"/>
        </w:rPr>
      </w:pPr>
      <w:r w:rsidRPr="00EB7B59">
        <w:rPr>
          <w:rFonts w:ascii="Arial" w:hAnsi="Arial" w:cs="Arial"/>
          <w:sz w:val="23"/>
          <w:szCs w:val="23"/>
        </w:rPr>
        <w:t>Sin embargo, como se mencionó, en el caso de la entidad, el Partido Acción Nacional no obtuvo el tres po</w:t>
      </w:r>
      <w:r w:rsidR="00527919" w:rsidRPr="00EB7B59">
        <w:rPr>
          <w:rFonts w:ascii="Arial" w:hAnsi="Arial" w:cs="Arial"/>
          <w:sz w:val="23"/>
          <w:szCs w:val="23"/>
        </w:rPr>
        <w:t xml:space="preserve">r ciento de la votación válida emitida </w:t>
      </w:r>
      <w:r w:rsidRPr="00EB7B59">
        <w:rPr>
          <w:rFonts w:ascii="Arial" w:hAnsi="Arial" w:cs="Arial"/>
          <w:sz w:val="23"/>
          <w:szCs w:val="23"/>
        </w:rPr>
        <w:t>que exige el artículo 3</w:t>
      </w:r>
      <w:r w:rsidR="00C00FA2" w:rsidRPr="00EB7B59">
        <w:rPr>
          <w:rFonts w:ascii="Arial" w:hAnsi="Arial" w:cs="Arial"/>
          <w:sz w:val="23"/>
          <w:szCs w:val="23"/>
        </w:rPr>
        <w:t>4 numeral 2 de la Ley Electoral.</w:t>
      </w:r>
    </w:p>
    <w:p w:rsidR="009376F6" w:rsidRPr="00EB7B59" w:rsidRDefault="00C00FA2" w:rsidP="009376F6">
      <w:pPr>
        <w:rPr>
          <w:rFonts w:ascii="Arial" w:hAnsi="Arial" w:cs="Arial"/>
          <w:sz w:val="23"/>
          <w:szCs w:val="23"/>
        </w:rPr>
      </w:pPr>
      <w:r w:rsidRPr="00EB7B59">
        <w:rPr>
          <w:rFonts w:ascii="Arial" w:hAnsi="Arial" w:cs="Arial"/>
          <w:sz w:val="23"/>
          <w:szCs w:val="23"/>
        </w:rPr>
        <w:t xml:space="preserve">En esas consideraciones y toda vez que el Partido Acción Nacional se ubica en la hipótesis prevista en el </w:t>
      </w:r>
      <w:r w:rsidR="009376F6" w:rsidRPr="00EB7B59">
        <w:rPr>
          <w:rFonts w:ascii="Arial" w:hAnsi="Arial" w:cs="Arial"/>
          <w:sz w:val="23"/>
          <w:szCs w:val="23"/>
        </w:rPr>
        <w:t xml:space="preserve">artículo 34, numeral 2 de la Ley Electoral, se determina la pérdida de acreditación </w:t>
      </w:r>
      <w:r w:rsidRPr="00EB7B59">
        <w:rPr>
          <w:rFonts w:ascii="Arial" w:hAnsi="Arial" w:cs="Arial"/>
          <w:sz w:val="23"/>
          <w:szCs w:val="23"/>
        </w:rPr>
        <w:t xml:space="preserve">de dicho instituto político </w:t>
      </w:r>
      <w:r w:rsidR="009376F6" w:rsidRPr="00EB7B59">
        <w:rPr>
          <w:rFonts w:ascii="Arial" w:hAnsi="Arial" w:cs="Arial"/>
          <w:sz w:val="23"/>
          <w:szCs w:val="23"/>
        </w:rPr>
        <w:t>ante este Consejo Estatal</w:t>
      </w:r>
      <w:r w:rsidRPr="00EB7B59">
        <w:rPr>
          <w:rFonts w:ascii="Arial" w:hAnsi="Arial" w:cs="Arial"/>
          <w:sz w:val="23"/>
          <w:szCs w:val="23"/>
        </w:rPr>
        <w:t>, ya que, si bien conserva su registro, no alcanzó</w:t>
      </w:r>
      <w:r w:rsidR="009376F6" w:rsidRPr="00EB7B59">
        <w:rPr>
          <w:rFonts w:ascii="Arial" w:hAnsi="Arial" w:cs="Arial"/>
          <w:sz w:val="23"/>
          <w:szCs w:val="23"/>
        </w:rPr>
        <w:t xml:space="preserve"> por lo menos el tres por ciento de la votación válida emitida en la elección anterior</w:t>
      </w:r>
      <w:r w:rsidRPr="00EB7B59">
        <w:rPr>
          <w:rFonts w:ascii="Arial" w:hAnsi="Arial" w:cs="Arial"/>
          <w:sz w:val="23"/>
          <w:szCs w:val="23"/>
        </w:rPr>
        <w:t>. En consecuencia, ya no goza</w:t>
      </w:r>
      <w:r w:rsidR="009376F6" w:rsidRPr="00EB7B59">
        <w:rPr>
          <w:rFonts w:ascii="Arial" w:hAnsi="Arial" w:cs="Arial"/>
          <w:sz w:val="23"/>
          <w:szCs w:val="23"/>
        </w:rPr>
        <w:t xml:space="preserve"> de los derechos y las prerrogativas que </w:t>
      </w:r>
      <w:r w:rsidRPr="00EB7B59">
        <w:rPr>
          <w:rFonts w:ascii="Arial" w:hAnsi="Arial" w:cs="Arial"/>
          <w:sz w:val="23"/>
          <w:szCs w:val="23"/>
        </w:rPr>
        <w:t xml:space="preserve">le otorga </w:t>
      </w:r>
      <w:r w:rsidR="009376F6" w:rsidRPr="00EB7B59">
        <w:rPr>
          <w:rFonts w:ascii="Arial" w:hAnsi="Arial" w:cs="Arial"/>
          <w:sz w:val="23"/>
          <w:szCs w:val="23"/>
        </w:rPr>
        <w:t>la Constitución Local y la propia Ley.</w:t>
      </w:r>
    </w:p>
    <w:p w:rsidR="00270C35" w:rsidRPr="00EB7B59" w:rsidRDefault="00E37BFC" w:rsidP="00270C35">
      <w:pPr>
        <w:rPr>
          <w:rFonts w:ascii="Arial" w:hAnsi="Arial" w:cs="Arial"/>
          <w:sz w:val="23"/>
          <w:szCs w:val="23"/>
        </w:rPr>
      </w:pPr>
      <w:r w:rsidRPr="00EB7B59">
        <w:rPr>
          <w:rFonts w:ascii="Arial" w:hAnsi="Arial" w:cs="Arial"/>
          <w:sz w:val="23"/>
          <w:szCs w:val="23"/>
        </w:rPr>
        <w:t xml:space="preserve">Además, </w:t>
      </w:r>
      <w:r w:rsidR="00270C35" w:rsidRPr="00EB7B59">
        <w:rPr>
          <w:rFonts w:ascii="Arial" w:hAnsi="Arial" w:cs="Arial"/>
          <w:sz w:val="23"/>
          <w:szCs w:val="23"/>
        </w:rPr>
        <w:t xml:space="preserve">conforme al criterio de la Sala Superior, </w:t>
      </w:r>
      <w:r w:rsidRPr="00EB7B59">
        <w:rPr>
          <w:rFonts w:ascii="Arial" w:hAnsi="Arial" w:cs="Arial"/>
          <w:sz w:val="23"/>
          <w:szCs w:val="23"/>
        </w:rPr>
        <w:t xml:space="preserve">dicho umbral de votación, </w:t>
      </w:r>
      <w:r w:rsidR="00270C35" w:rsidRPr="00EB7B59">
        <w:rPr>
          <w:rFonts w:ascii="Arial" w:hAnsi="Arial" w:cs="Arial"/>
          <w:sz w:val="23"/>
          <w:szCs w:val="23"/>
        </w:rPr>
        <w:t xml:space="preserve">se trata de una medida proporcional, acorde con el grado de representatividad y que, </w:t>
      </w:r>
      <w:r w:rsidR="00373C04" w:rsidRPr="00EB7B59">
        <w:rPr>
          <w:rFonts w:ascii="Arial" w:hAnsi="Arial" w:cs="Arial"/>
          <w:sz w:val="23"/>
          <w:szCs w:val="23"/>
        </w:rPr>
        <w:t>a partir d</w:t>
      </w:r>
      <w:r w:rsidR="00270C35" w:rsidRPr="00EB7B59">
        <w:rPr>
          <w:rFonts w:ascii="Arial" w:hAnsi="Arial" w:cs="Arial"/>
          <w:sz w:val="23"/>
          <w:szCs w:val="23"/>
        </w:rPr>
        <w:t xml:space="preserve">el hecho de no alcanzar la representatividad mínima exigida por el legislador, </w:t>
      </w:r>
      <w:r w:rsidR="00373C04" w:rsidRPr="00EB7B59">
        <w:rPr>
          <w:rFonts w:ascii="Arial" w:hAnsi="Arial" w:cs="Arial"/>
          <w:sz w:val="23"/>
          <w:szCs w:val="23"/>
        </w:rPr>
        <w:t xml:space="preserve">es </w:t>
      </w:r>
      <w:r w:rsidR="00270C35" w:rsidRPr="00EB7B59">
        <w:rPr>
          <w:rFonts w:ascii="Arial" w:hAnsi="Arial" w:cs="Arial"/>
          <w:sz w:val="23"/>
          <w:szCs w:val="23"/>
        </w:rPr>
        <w:t xml:space="preserve">consecuencia válida el que </w:t>
      </w:r>
      <w:r w:rsidR="00CA17F3" w:rsidRPr="00EB7B59">
        <w:rPr>
          <w:rFonts w:ascii="Arial" w:hAnsi="Arial" w:cs="Arial"/>
          <w:sz w:val="23"/>
          <w:szCs w:val="23"/>
        </w:rPr>
        <w:t xml:space="preserve">un instituto político </w:t>
      </w:r>
      <w:r w:rsidR="00270C35" w:rsidRPr="00EB7B59">
        <w:rPr>
          <w:rFonts w:ascii="Arial" w:hAnsi="Arial" w:cs="Arial"/>
          <w:sz w:val="23"/>
          <w:szCs w:val="23"/>
        </w:rPr>
        <w:t>no tenga derecho a las prerrogativas previstas en la legislación correspondiente</w:t>
      </w:r>
      <w:r w:rsidR="00270C35" w:rsidRPr="00EB7B59">
        <w:rPr>
          <w:rStyle w:val="Refdenotaalpie"/>
          <w:rFonts w:ascii="Arial" w:hAnsi="Arial" w:cs="Arial"/>
          <w:sz w:val="23"/>
          <w:szCs w:val="23"/>
        </w:rPr>
        <w:footnoteReference w:id="1"/>
      </w:r>
      <w:r w:rsidR="00270C35" w:rsidRPr="00EB7B59">
        <w:rPr>
          <w:rFonts w:ascii="Arial" w:hAnsi="Arial" w:cs="Arial"/>
          <w:sz w:val="23"/>
          <w:szCs w:val="23"/>
        </w:rPr>
        <w:t xml:space="preserve">. </w:t>
      </w:r>
    </w:p>
    <w:p w:rsidR="009376F6" w:rsidRPr="00EB7B59" w:rsidRDefault="009376F6" w:rsidP="009376F6">
      <w:pPr>
        <w:rPr>
          <w:rFonts w:ascii="Arial" w:hAnsi="Arial" w:cs="Arial"/>
          <w:sz w:val="23"/>
          <w:szCs w:val="23"/>
        </w:rPr>
      </w:pPr>
      <w:r w:rsidRPr="00EB7B59">
        <w:rPr>
          <w:rFonts w:ascii="Arial" w:hAnsi="Arial" w:cs="Arial"/>
          <w:sz w:val="23"/>
          <w:szCs w:val="23"/>
        </w:rPr>
        <w:t xml:space="preserve">Ahora bien, en términos del artículo 3, inciso a) de las Reglas </w:t>
      </w:r>
      <w:r w:rsidR="00EA4064" w:rsidRPr="00EB7B59">
        <w:rPr>
          <w:rFonts w:ascii="Arial" w:hAnsi="Arial" w:cs="Arial"/>
          <w:sz w:val="23"/>
          <w:szCs w:val="23"/>
        </w:rPr>
        <w:t>al procedimiento de liquidación de los Partidos Políticos Nacionales que no obtuvieron porcentaje mínimo de votación</w:t>
      </w:r>
      <w:r w:rsidR="003C584F" w:rsidRPr="00EB7B59">
        <w:rPr>
          <w:rStyle w:val="Refdenotaalpie"/>
          <w:rFonts w:ascii="Arial" w:hAnsi="Arial" w:cs="Arial"/>
          <w:sz w:val="23"/>
          <w:szCs w:val="23"/>
        </w:rPr>
        <w:footnoteReference w:id="2"/>
      </w:r>
      <w:r w:rsidRPr="00EB7B59">
        <w:rPr>
          <w:rFonts w:ascii="Arial" w:hAnsi="Arial" w:cs="Arial"/>
          <w:sz w:val="23"/>
          <w:szCs w:val="23"/>
        </w:rPr>
        <w:t>, es facultad de este organismo electoral interpretar y aplicar las normas referentes a la integración de remanentes económicos y los bienes muebles o inmuebles que hayan adquirido con financiamiento local, cuando los partidos políticos nacionales no alcancen el tres por ciento de la votación en las elecciones locales, y, por tanto, pierdan su acreditación a nivel local.</w:t>
      </w:r>
    </w:p>
    <w:p w:rsidR="009376F6" w:rsidRPr="00EB7B59" w:rsidRDefault="009376F6" w:rsidP="009376F6">
      <w:pPr>
        <w:rPr>
          <w:rFonts w:ascii="Arial" w:hAnsi="Arial" w:cs="Arial"/>
          <w:sz w:val="23"/>
          <w:szCs w:val="23"/>
        </w:rPr>
      </w:pPr>
      <w:r w:rsidRPr="00EB7B59">
        <w:rPr>
          <w:rFonts w:ascii="Arial" w:hAnsi="Arial" w:cs="Arial"/>
          <w:sz w:val="23"/>
          <w:szCs w:val="23"/>
        </w:rPr>
        <w:t xml:space="preserve">No obstante, la Ley Electoral no contiene disposición alguna relacionada con el destino de los remanentes económicos y bienes provenientes del financiamiento local, que </w:t>
      </w:r>
      <w:r w:rsidRPr="00EB7B59">
        <w:rPr>
          <w:rFonts w:ascii="Arial" w:hAnsi="Arial" w:cs="Arial"/>
          <w:sz w:val="23"/>
          <w:szCs w:val="23"/>
        </w:rPr>
        <w:lastRenderedPageBreak/>
        <w:t>reciben los partidos políticos nacionales que no alcanzaron el umbral del tres por ciento de la votación válida emitida en el último proceso electoral, lo que no es un obstáculo para que este Consejo Estatal determine lo conducente.</w:t>
      </w:r>
    </w:p>
    <w:p w:rsidR="009376F6" w:rsidRPr="00EB7B59" w:rsidRDefault="009376F6" w:rsidP="009376F6">
      <w:pPr>
        <w:rPr>
          <w:rFonts w:ascii="Arial" w:hAnsi="Arial" w:cs="Arial"/>
          <w:sz w:val="23"/>
          <w:szCs w:val="23"/>
        </w:rPr>
      </w:pPr>
      <w:r w:rsidRPr="00EB7B59">
        <w:rPr>
          <w:rFonts w:ascii="Arial" w:hAnsi="Arial" w:cs="Arial"/>
          <w:sz w:val="23"/>
          <w:szCs w:val="23"/>
        </w:rPr>
        <w:t>En ese contexto, de conformidad con el artículo 41, Base I de la Constitución Federal y  3 de la Ley de Partidos, éstos son entidades de interés público que tienen como fin promover la participación del pueblo en la vida democrática, contribuir a la integración de los órganos de representación política y, como organizaciones de ciudadanos, hacer posible el acceso de éstos al ejercicio del poder público; lo que significa que, a pesar de no haber alcanzado el umbral establecido por la Ley, su registro continúa produciendo los efectos legales, de ahí que, este Consejo Estatal deje subsistente los remanentes económicos del financiamiento público local que corresponden al presente ejercicio; y, en lo que respecta a los bienes provenientes de dicho financiamiento, éstos continuarán en posesión de los partidos políticos señalados, hasta en tanto continúe vigente su registro; pues en ambos casos, están encaminados al cumplimiento de sus fines constitucionales.</w:t>
      </w:r>
    </w:p>
    <w:p w:rsidR="009376F6" w:rsidRPr="00EB7B59" w:rsidRDefault="009376F6" w:rsidP="009376F6">
      <w:pPr>
        <w:rPr>
          <w:rFonts w:ascii="Arial" w:hAnsi="Arial" w:cs="Arial"/>
          <w:sz w:val="23"/>
          <w:szCs w:val="23"/>
        </w:rPr>
      </w:pPr>
      <w:r w:rsidRPr="00EB7B59">
        <w:rPr>
          <w:rFonts w:ascii="Arial" w:hAnsi="Arial" w:cs="Arial"/>
          <w:sz w:val="23"/>
          <w:szCs w:val="23"/>
        </w:rPr>
        <w:t xml:space="preserve">Asimismo, en términos del artículo 35, numeral 1 de la Ley Electoral, </w:t>
      </w:r>
      <w:r w:rsidR="00A52D00" w:rsidRPr="00EB7B59">
        <w:rPr>
          <w:rFonts w:ascii="Arial" w:hAnsi="Arial" w:cs="Arial"/>
          <w:sz w:val="23"/>
          <w:szCs w:val="23"/>
        </w:rPr>
        <w:t>el Partido</w:t>
      </w:r>
      <w:r w:rsidRPr="00EB7B59">
        <w:rPr>
          <w:rFonts w:ascii="Arial" w:hAnsi="Arial" w:cs="Arial"/>
          <w:sz w:val="23"/>
          <w:szCs w:val="23"/>
        </w:rPr>
        <w:t xml:space="preserve"> Acción Nacional</w:t>
      </w:r>
      <w:r w:rsidR="00A52D00" w:rsidRPr="00EB7B59">
        <w:rPr>
          <w:rFonts w:ascii="Arial" w:hAnsi="Arial" w:cs="Arial"/>
          <w:sz w:val="23"/>
          <w:szCs w:val="23"/>
        </w:rPr>
        <w:t xml:space="preserve"> tendrá</w:t>
      </w:r>
      <w:r w:rsidRPr="00EB7B59">
        <w:rPr>
          <w:rFonts w:ascii="Arial" w:hAnsi="Arial" w:cs="Arial"/>
          <w:sz w:val="23"/>
          <w:szCs w:val="23"/>
        </w:rPr>
        <w:t xml:space="preserve"> derecho a participar en las subsecuentes elecciones locales, cuando acredite ante </w:t>
      </w:r>
      <w:r w:rsidR="00A52D00" w:rsidRPr="00EB7B59">
        <w:rPr>
          <w:rFonts w:ascii="Arial" w:hAnsi="Arial" w:cs="Arial"/>
          <w:sz w:val="23"/>
          <w:szCs w:val="23"/>
        </w:rPr>
        <w:t xml:space="preserve">este </w:t>
      </w:r>
      <w:r w:rsidRPr="00EB7B59">
        <w:rPr>
          <w:rFonts w:ascii="Arial" w:hAnsi="Arial" w:cs="Arial"/>
          <w:sz w:val="23"/>
          <w:szCs w:val="23"/>
        </w:rPr>
        <w:t>Consejo Estatal y previo al inicio del Proceso Electoral subsecuente, que su registro continúa vigente, presentando la constancia respectiva.</w:t>
      </w:r>
    </w:p>
    <w:p w:rsidR="000A1C2C" w:rsidRPr="00EB7B59" w:rsidRDefault="003A734C" w:rsidP="009376F6">
      <w:pPr>
        <w:rPr>
          <w:rFonts w:ascii="Arial" w:hAnsi="Arial" w:cs="Arial"/>
          <w:sz w:val="23"/>
          <w:szCs w:val="23"/>
        </w:rPr>
      </w:pPr>
      <w:r w:rsidRPr="00EB7B59">
        <w:rPr>
          <w:rFonts w:ascii="Arial" w:hAnsi="Arial" w:cs="Arial"/>
          <w:sz w:val="23"/>
          <w:szCs w:val="23"/>
        </w:rPr>
        <w:t>Sobre la base de las consideraciones señaladas, este Consejo Estatal emite el siguiente:</w:t>
      </w:r>
    </w:p>
    <w:p w:rsidR="003A734C" w:rsidRPr="00EB7B59" w:rsidRDefault="003A734C" w:rsidP="007305FB">
      <w:pPr>
        <w:pStyle w:val="Ttulo1"/>
        <w:rPr>
          <w:rFonts w:ascii="Arial" w:hAnsi="Arial" w:cs="Arial"/>
          <w:sz w:val="24"/>
        </w:rPr>
      </w:pPr>
      <w:r w:rsidRPr="00EB7B59">
        <w:rPr>
          <w:rFonts w:ascii="Arial" w:hAnsi="Arial" w:cs="Arial"/>
          <w:sz w:val="24"/>
        </w:rPr>
        <w:t>Acuerdo</w:t>
      </w:r>
    </w:p>
    <w:p w:rsidR="003A734C" w:rsidRPr="00EB7B59" w:rsidRDefault="003A734C" w:rsidP="007577E3">
      <w:pPr>
        <w:rPr>
          <w:rFonts w:ascii="Arial" w:hAnsi="Arial" w:cs="Arial"/>
          <w:sz w:val="23"/>
          <w:szCs w:val="23"/>
        </w:rPr>
      </w:pPr>
      <w:r w:rsidRPr="00EB7B59">
        <w:rPr>
          <w:rFonts w:ascii="Arial" w:hAnsi="Arial" w:cs="Arial"/>
          <w:b/>
          <w:sz w:val="23"/>
          <w:szCs w:val="23"/>
        </w:rPr>
        <w:t>Primero.</w:t>
      </w:r>
      <w:r w:rsidRPr="00EB7B59">
        <w:rPr>
          <w:rFonts w:ascii="Arial" w:hAnsi="Arial" w:cs="Arial"/>
          <w:sz w:val="23"/>
          <w:szCs w:val="23"/>
        </w:rPr>
        <w:t xml:space="preserve"> </w:t>
      </w:r>
      <w:r w:rsidR="007305FB" w:rsidRPr="00EB7B59">
        <w:rPr>
          <w:rFonts w:ascii="Arial" w:hAnsi="Arial" w:cs="Arial"/>
          <w:sz w:val="23"/>
          <w:szCs w:val="23"/>
        </w:rPr>
        <w:t>De conformidad con el artículo 34 numeral 2 de la ley Electoral, s</w:t>
      </w:r>
      <w:r w:rsidRPr="00EB7B59">
        <w:rPr>
          <w:rFonts w:ascii="Arial" w:hAnsi="Arial" w:cs="Arial"/>
          <w:sz w:val="23"/>
          <w:szCs w:val="23"/>
        </w:rPr>
        <w:t xml:space="preserve">e determina la pérdida de acreditación del Partido Acción Nacional </w:t>
      </w:r>
      <w:r w:rsidR="00F0782E" w:rsidRPr="00EB7B59">
        <w:rPr>
          <w:rFonts w:ascii="Arial" w:hAnsi="Arial" w:cs="Arial"/>
          <w:sz w:val="23"/>
          <w:szCs w:val="23"/>
        </w:rPr>
        <w:t>a</w:t>
      </w:r>
      <w:r w:rsidRPr="00EB7B59">
        <w:rPr>
          <w:rFonts w:ascii="Arial" w:hAnsi="Arial" w:cs="Arial"/>
          <w:sz w:val="23"/>
          <w:szCs w:val="23"/>
        </w:rPr>
        <w:t>nte el Consejo Estatal del Instituto Electoral y de Participación Ciudadana de Tabasco, toda vez que no obtuvo por lo menos el tres por ciento de la votación válida emitida en la elección anterior</w:t>
      </w:r>
      <w:r w:rsidR="00A16991" w:rsidRPr="00EB7B59">
        <w:rPr>
          <w:rFonts w:ascii="Arial" w:hAnsi="Arial" w:cs="Arial"/>
          <w:sz w:val="23"/>
          <w:szCs w:val="23"/>
        </w:rPr>
        <w:t>;</w:t>
      </w:r>
      <w:r w:rsidRPr="00EB7B59">
        <w:rPr>
          <w:rFonts w:ascii="Arial" w:hAnsi="Arial" w:cs="Arial"/>
          <w:sz w:val="23"/>
          <w:szCs w:val="23"/>
        </w:rPr>
        <w:t xml:space="preserve"> en consecuencia, </w:t>
      </w:r>
      <w:r w:rsidR="007577E3" w:rsidRPr="00EB7B59">
        <w:rPr>
          <w:rFonts w:ascii="Arial" w:hAnsi="Arial" w:cs="Arial"/>
          <w:sz w:val="23"/>
          <w:szCs w:val="23"/>
        </w:rPr>
        <w:t xml:space="preserve">no será sujeto de </w:t>
      </w:r>
      <w:r w:rsidRPr="00EB7B59">
        <w:rPr>
          <w:rFonts w:ascii="Arial" w:hAnsi="Arial" w:cs="Arial"/>
          <w:sz w:val="23"/>
          <w:szCs w:val="23"/>
        </w:rPr>
        <w:t>los derechos y las prerrogativas que le ot</w:t>
      </w:r>
      <w:r w:rsidR="004A7930" w:rsidRPr="00EB7B59">
        <w:rPr>
          <w:rFonts w:ascii="Arial" w:hAnsi="Arial" w:cs="Arial"/>
          <w:sz w:val="23"/>
          <w:szCs w:val="23"/>
        </w:rPr>
        <w:t>orga la Constitución Local y las disposiciones legales</w:t>
      </w:r>
      <w:r w:rsidR="007577E3" w:rsidRPr="00EB7B59">
        <w:rPr>
          <w:rFonts w:ascii="Arial" w:hAnsi="Arial" w:cs="Arial"/>
          <w:sz w:val="23"/>
          <w:szCs w:val="23"/>
        </w:rPr>
        <w:t>, entre ellos, el acceso al financiamiento público local.</w:t>
      </w:r>
    </w:p>
    <w:p w:rsidR="007577E3" w:rsidRPr="00EB7B59" w:rsidRDefault="007577E3" w:rsidP="007577E3">
      <w:pPr>
        <w:rPr>
          <w:rFonts w:ascii="Arial" w:hAnsi="Arial" w:cs="Arial"/>
          <w:sz w:val="23"/>
          <w:szCs w:val="23"/>
        </w:rPr>
      </w:pPr>
      <w:r w:rsidRPr="00EB7B59">
        <w:rPr>
          <w:rFonts w:ascii="Arial" w:hAnsi="Arial" w:cs="Arial"/>
          <w:b/>
          <w:sz w:val="23"/>
          <w:szCs w:val="23"/>
        </w:rPr>
        <w:t>Segundo.</w:t>
      </w:r>
      <w:r w:rsidRPr="00EB7B59">
        <w:rPr>
          <w:rFonts w:ascii="Arial" w:hAnsi="Arial" w:cs="Arial"/>
          <w:sz w:val="23"/>
          <w:szCs w:val="23"/>
        </w:rPr>
        <w:t xml:space="preserve"> El Partido Acción Nacional, por conducto de su dirigencia y órganos administrativos correspondientes, queda obligado a presentar ante la autoridad </w:t>
      </w:r>
      <w:r w:rsidRPr="00EB7B59">
        <w:rPr>
          <w:rFonts w:ascii="Arial" w:hAnsi="Arial" w:cs="Arial"/>
          <w:sz w:val="23"/>
          <w:szCs w:val="23"/>
        </w:rPr>
        <w:lastRenderedPageBreak/>
        <w:t>competente, los informes relativos al financiamiento público local, así como las aclaraciones que al respecto se consideren pertinentes y cumplir las obligaciones que en materia de fiscalización establecen las disposiciones legales aplicables.</w:t>
      </w:r>
    </w:p>
    <w:p w:rsidR="008E56D9" w:rsidRPr="00EB7B59" w:rsidRDefault="008E56D9" w:rsidP="008E56D9">
      <w:pPr>
        <w:rPr>
          <w:rFonts w:ascii="Arial" w:hAnsi="Arial" w:cs="Arial"/>
          <w:sz w:val="23"/>
          <w:szCs w:val="23"/>
        </w:rPr>
      </w:pPr>
      <w:r w:rsidRPr="00EB7B59">
        <w:rPr>
          <w:rFonts w:ascii="Arial" w:hAnsi="Arial" w:cs="Arial"/>
          <w:b/>
          <w:sz w:val="23"/>
          <w:szCs w:val="23"/>
        </w:rPr>
        <w:t>Tercero.</w:t>
      </w:r>
      <w:r w:rsidRPr="00EB7B59">
        <w:rPr>
          <w:rFonts w:ascii="Arial" w:hAnsi="Arial" w:cs="Arial"/>
          <w:sz w:val="23"/>
          <w:szCs w:val="23"/>
        </w:rPr>
        <w:t xml:space="preserve"> Se instruye a la Secretaría Ejecutiva de este Instituto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rsidR="008E56D9" w:rsidRPr="00EB7B59" w:rsidRDefault="008E56D9" w:rsidP="008E56D9">
      <w:pPr>
        <w:rPr>
          <w:rFonts w:ascii="Arial" w:hAnsi="Arial" w:cs="Arial"/>
          <w:sz w:val="23"/>
          <w:szCs w:val="23"/>
        </w:rPr>
      </w:pPr>
      <w:r w:rsidRPr="00EB7B59">
        <w:rPr>
          <w:rFonts w:ascii="Arial" w:hAnsi="Arial" w:cs="Arial"/>
          <w:b/>
          <w:sz w:val="23"/>
          <w:szCs w:val="23"/>
        </w:rPr>
        <w:t xml:space="preserve">Cuarto. </w:t>
      </w:r>
      <w:r w:rsidRPr="00EB7B59">
        <w:rPr>
          <w:rFonts w:ascii="Arial" w:hAnsi="Arial" w:cs="Arial"/>
          <w:sz w:val="23"/>
          <w:szCs w:val="23"/>
        </w:rPr>
        <w:t>Publíquese en el Periódico Oficial del Estado, y en la página de internet del Instituto, de conformidad con lo dispuesto en el artículo 114 de la Ley Electoral y de Partidos Políticos del Estado de Tabasco.</w:t>
      </w:r>
    </w:p>
    <w:p w:rsidR="00EB7B59" w:rsidRPr="00DD3F6D" w:rsidRDefault="008E56D9" w:rsidP="00EB7B59">
      <w:pPr>
        <w:rPr>
          <w:rFonts w:ascii="Arial" w:hAnsi="Arial" w:cs="Arial"/>
          <w:sz w:val="23"/>
          <w:szCs w:val="23"/>
        </w:rPr>
      </w:pPr>
      <w:r w:rsidRPr="00EB7B59">
        <w:rPr>
          <w:rFonts w:ascii="Arial" w:hAnsi="Arial" w:cs="Arial"/>
          <w:sz w:val="23"/>
          <w:szCs w:val="23"/>
        </w:rPr>
        <w:t>El presente acuerdo fue</w:t>
      </w:r>
      <w:r w:rsidR="00201CAC">
        <w:rPr>
          <w:rFonts w:ascii="Arial" w:hAnsi="Arial" w:cs="Arial"/>
          <w:sz w:val="23"/>
          <w:szCs w:val="23"/>
        </w:rPr>
        <w:t xml:space="preserve"> aprobado</w:t>
      </w:r>
      <w:r w:rsidRPr="00EB7B59">
        <w:rPr>
          <w:rFonts w:ascii="Arial" w:hAnsi="Arial" w:cs="Arial"/>
          <w:sz w:val="23"/>
          <w:szCs w:val="23"/>
        </w:rPr>
        <w:t xml:space="preserve"> en sesión </w:t>
      </w:r>
      <w:r w:rsidR="0071393A">
        <w:rPr>
          <w:rFonts w:ascii="Arial" w:hAnsi="Arial" w:cs="Arial"/>
          <w:sz w:val="23"/>
          <w:szCs w:val="23"/>
        </w:rPr>
        <w:t>e</w:t>
      </w:r>
      <w:r w:rsidR="00201CAC">
        <w:rPr>
          <w:rFonts w:ascii="Arial" w:hAnsi="Arial" w:cs="Arial"/>
          <w:sz w:val="23"/>
          <w:szCs w:val="23"/>
        </w:rPr>
        <w:t>xtraordinaria</w:t>
      </w:r>
      <w:r w:rsidRPr="00EB7B59">
        <w:rPr>
          <w:rFonts w:ascii="Arial" w:hAnsi="Arial" w:cs="Arial"/>
          <w:sz w:val="23"/>
          <w:szCs w:val="23"/>
        </w:rPr>
        <w:t xml:space="preserve"> efectuada el </w:t>
      </w:r>
      <w:r w:rsidR="00201CAC">
        <w:rPr>
          <w:rFonts w:ascii="Arial" w:hAnsi="Arial" w:cs="Arial"/>
          <w:sz w:val="23"/>
          <w:szCs w:val="23"/>
        </w:rPr>
        <w:t>diecisiete</w:t>
      </w:r>
      <w:r w:rsidRPr="00EB7B59">
        <w:rPr>
          <w:rFonts w:ascii="Arial" w:hAnsi="Arial" w:cs="Arial"/>
          <w:sz w:val="23"/>
          <w:szCs w:val="23"/>
        </w:rPr>
        <w:t xml:space="preserve"> de </w:t>
      </w:r>
      <w:r w:rsidR="00201CAC">
        <w:rPr>
          <w:rFonts w:ascii="Arial" w:hAnsi="Arial" w:cs="Arial"/>
          <w:sz w:val="23"/>
          <w:szCs w:val="23"/>
        </w:rPr>
        <w:t>octubre</w:t>
      </w:r>
      <w:r w:rsidRPr="00EB7B59">
        <w:rPr>
          <w:rFonts w:ascii="Arial" w:hAnsi="Arial" w:cs="Arial"/>
          <w:sz w:val="23"/>
          <w:szCs w:val="23"/>
        </w:rPr>
        <w:t xml:space="preserve"> del año dos mil veinticuatro, por votación </w:t>
      </w:r>
      <w:r w:rsidR="00201CAC">
        <w:rPr>
          <w:rFonts w:ascii="Arial" w:hAnsi="Arial" w:cs="Arial"/>
          <w:sz w:val="23"/>
          <w:szCs w:val="23"/>
        </w:rPr>
        <w:t>unánime</w:t>
      </w:r>
      <w:r w:rsidRPr="00EB7B59">
        <w:rPr>
          <w:rFonts w:ascii="Arial" w:hAnsi="Arial" w:cs="Arial"/>
          <w:sz w:val="23"/>
          <w:szCs w:val="23"/>
        </w:rPr>
        <w:t xml:space="preserve"> de las y los Consejeros Electorales del Consejo Estatal del Instituto Electoral y de Participación Ciudadana de Tabasco:</w:t>
      </w:r>
      <w:r w:rsidR="00EB7B59" w:rsidRPr="00EB7B59">
        <w:rPr>
          <w:rFonts w:ascii="Arial" w:hAnsi="Arial" w:cs="Arial"/>
          <w:sz w:val="23"/>
          <w:szCs w:val="23"/>
        </w:rPr>
        <w:t xml:space="preserve"> </w:t>
      </w:r>
      <w:r w:rsidR="00EB7B59" w:rsidRPr="00DD3F6D">
        <w:rPr>
          <w:rFonts w:ascii="Arial" w:hAnsi="Arial" w:cs="Arial"/>
          <w:sz w:val="23"/>
          <w:szCs w:val="23"/>
        </w:rPr>
        <w:t xml:space="preserve">Mtra. Ruth </w:t>
      </w:r>
      <w:proofErr w:type="spellStart"/>
      <w:r w:rsidR="00EB7B59" w:rsidRPr="00DD3F6D">
        <w:rPr>
          <w:rFonts w:ascii="Arial" w:hAnsi="Arial" w:cs="Arial"/>
          <w:sz w:val="23"/>
          <w:szCs w:val="23"/>
        </w:rPr>
        <w:t>Lizette</w:t>
      </w:r>
      <w:proofErr w:type="spellEnd"/>
      <w:r w:rsidR="00EB7B59" w:rsidRPr="00DD3F6D">
        <w:rPr>
          <w:rFonts w:ascii="Arial" w:hAnsi="Arial" w:cs="Arial"/>
          <w:sz w:val="23"/>
          <w:szCs w:val="23"/>
        </w:rPr>
        <w:t xml:space="preserve"> Toledo Peral</w:t>
      </w:r>
      <w:r w:rsidR="00EB7B59">
        <w:rPr>
          <w:rFonts w:ascii="Arial" w:hAnsi="Arial" w:cs="Arial"/>
          <w:sz w:val="23"/>
          <w:szCs w:val="23"/>
        </w:rPr>
        <w:t>,</w:t>
      </w:r>
      <w:r w:rsidR="00EB7B59" w:rsidRPr="00DD3F6D">
        <w:rPr>
          <w:rFonts w:ascii="Arial" w:hAnsi="Arial" w:cs="Arial"/>
          <w:sz w:val="23"/>
          <w:szCs w:val="23"/>
        </w:rPr>
        <w:t xml:space="preserve"> Licda. María Elvia Magaña Sandoval, Licda. Ángela Guadalupe Araujo</w:t>
      </w:r>
      <w:r w:rsidR="00EB7B59" w:rsidRPr="00FD08D2">
        <w:rPr>
          <w:rFonts w:ascii="Arial" w:hAnsi="Arial" w:cs="Arial"/>
          <w:sz w:val="23"/>
          <w:szCs w:val="23"/>
        </w:rPr>
        <w:t xml:space="preserve"> </w:t>
      </w:r>
      <w:r w:rsidR="00EB7B59" w:rsidRPr="00DD3F6D">
        <w:rPr>
          <w:rFonts w:ascii="Arial" w:hAnsi="Arial" w:cs="Arial"/>
          <w:sz w:val="23"/>
          <w:szCs w:val="23"/>
        </w:rPr>
        <w:t>Segura</w:t>
      </w:r>
      <w:r w:rsidR="00EB7B59">
        <w:rPr>
          <w:rFonts w:ascii="Arial" w:hAnsi="Arial" w:cs="Arial"/>
          <w:sz w:val="23"/>
          <w:szCs w:val="23"/>
        </w:rPr>
        <w:t>,</w:t>
      </w:r>
      <w:r w:rsidR="00EB7B59" w:rsidRPr="00DD3F6D">
        <w:rPr>
          <w:rFonts w:ascii="Arial" w:hAnsi="Arial" w:cs="Arial"/>
          <w:sz w:val="23"/>
          <w:szCs w:val="23"/>
        </w:rPr>
        <w:t xml:space="preserve"> </w:t>
      </w:r>
      <w:proofErr w:type="spellStart"/>
      <w:r w:rsidR="00EB7B59" w:rsidRPr="00DD3F6D">
        <w:rPr>
          <w:rFonts w:ascii="Arial" w:hAnsi="Arial" w:cs="Arial"/>
          <w:sz w:val="23"/>
          <w:szCs w:val="23"/>
        </w:rPr>
        <w:t>Licda</w:t>
      </w:r>
      <w:proofErr w:type="spellEnd"/>
      <w:r w:rsidR="00EB7B59" w:rsidRPr="00DD3F6D">
        <w:rPr>
          <w:rFonts w:ascii="Arial" w:hAnsi="Arial" w:cs="Arial"/>
          <w:sz w:val="23"/>
          <w:szCs w:val="23"/>
        </w:rPr>
        <w:t xml:space="preserve"> Monserrat Martínez </w:t>
      </w:r>
      <w:proofErr w:type="spellStart"/>
      <w:r w:rsidR="00EB7B59" w:rsidRPr="00DD3F6D">
        <w:rPr>
          <w:rFonts w:ascii="Arial" w:hAnsi="Arial" w:cs="Arial"/>
          <w:sz w:val="23"/>
          <w:szCs w:val="23"/>
        </w:rPr>
        <w:t>Beaurregard</w:t>
      </w:r>
      <w:proofErr w:type="spellEnd"/>
      <w:r w:rsidR="00EB7B59" w:rsidRPr="00DD3F6D">
        <w:rPr>
          <w:rFonts w:ascii="Arial" w:hAnsi="Arial" w:cs="Arial"/>
          <w:sz w:val="23"/>
          <w:szCs w:val="23"/>
        </w:rPr>
        <w:t>,</w:t>
      </w:r>
      <w:r w:rsidR="00EB7B59">
        <w:rPr>
          <w:rFonts w:ascii="Arial" w:hAnsi="Arial" w:cs="Arial"/>
          <w:sz w:val="23"/>
          <w:szCs w:val="23"/>
        </w:rPr>
        <w:t xml:space="preserve"> </w:t>
      </w:r>
      <w:r w:rsidR="00EB7B59" w:rsidRPr="00DD3F6D">
        <w:rPr>
          <w:rFonts w:ascii="Arial" w:hAnsi="Arial" w:cs="Arial"/>
          <w:sz w:val="23"/>
          <w:szCs w:val="23"/>
        </w:rPr>
        <w:t>Lic. Vladimir Hernández Venegas</w:t>
      </w:r>
      <w:r w:rsidR="00EB7B59">
        <w:rPr>
          <w:rFonts w:ascii="Arial" w:hAnsi="Arial" w:cs="Arial"/>
          <w:sz w:val="23"/>
          <w:szCs w:val="23"/>
        </w:rPr>
        <w:t>,</w:t>
      </w:r>
      <w:r w:rsidR="00EB7B59" w:rsidRPr="00DD3F6D">
        <w:rPr>
          <w:rFonts w:ascii="Arial" w:hAnsi="Arial" w:cs="Arial"/>
          <w:sz w:val="23"/>
          <w:szCs w:val="23"/>
        </w:rPr>
        <w:t xml:space="preserve"> </w:t>
      </w:r>
      <w:r w:rsidR="00F97B9F">
        <w:rPr>
          <w:rFonts w:ascii="Arial" w:hAnsi="Arial" w:cs="Arial"/>
          <w:sz w:val="23"/>
          <w:szCs w:val="23"/>
        </w:rPr>
        <w:t>Lic</w:t>
      </w:r>
      <w:r w:rsidR="00EB7B59">
        <w:rPr>
          <w:rFonts w:ascii="Arial" w:hAnsi="Arial" w:cs="Arial"/>
          <w:sz w:val="23"/>
          <w:szCs w:val="23"/>
        </w:rPr>
        <w:t>. Hernán González Sala</w:t>
      </w:r>
      <w:r w:rsidR="00EB7B59" w:rsidRPr="00DD3F6D">
        <w:rPr>
          <w:rFonts w:ascii="Arial" w:hAnsi="Arial" w:cs="Arial"/>
          <w:sz w:val="23"/>
          <w:szCs w:val="23"/>
        </w:rPr>
        <w:t xml:space="preserve"> y la Consejera Presidenta</w:t>
      </w:r>
      <w:r w:rsidR="00EB7B59">
        <w:rPr>
          <w:rFonts w:ascii="Arial" w:hAnsi="Arial" w:cs="Arial"/>
          <w:sz w:val="23"/>
          <w:szCs w:val="23"/>
        </w:rPr>
        <w:t>,</w:t>
      </w:r>
      <w:r w:rsidR="00EB7B59" w:rsidRPr="00DD3074">
        <w:rPr>
          <w:rFonts w:ascii="Arial" w:hAnsi="Arial" w:cs="Arial"/>
          <w:sz w:val="23"/>
          <w:szCs w:val="23"/>
        </w:rPr>
        <w:t xml:space="preserve"> </w:t>
      </w:r>
      <w:r w:rsidR="00EB7B59" w:rsidRPr="00DD3F6D">
        <w:rPr>
          <w:rFonts w:ascii="Arial" w:hAnsi="Arial" w:cs="Arial"/>
          <w:sz w:val="23"/>
          <w:szCs w:val="23"/>
        </w:rPr>
        <w:t>Mtra. Elizabeth Nava Gutiérrez.</w:t>
      </w:r>
    </w:p>
    <w:p w:rsidR="008E56D9" w:rsidRPr="00EB7B59" w:rsidRDefault="008E56D9" w:rsidP="008E56D9">
      <w:pPr>
        <w:rPr>
          <w:rFonts w:ascii="Arial" w:hAnsi="Arial" w:cs="Arial"/>
          <w:sz w:val="23"/>
          <w:szCs w:val="23"/>
        </w:rPr>
      </w:pPr>
      <w:r w:rsidRPr="00EB7B59">
        <w:rPr>
          <w:rFonts w:ascii="Arial" w:hAnsi="Arial" w:cs="Arial"/>
          <w:sz w:val="23"/>
          <w:szCs w:val="23"/>
        </w:rPr>
        <w:t>.</w:t>
      </w:r>
    </w:p>
    <w:p w:rsidR="008E56D9" w:rsidRPr="00EB7B59" w:rsidRDefault="008E56D9" w:rsidP="008E56D9">
      <w:pPr>
        <w:rPr>
          <w:rFonts w:ascii="Arial" w:hAnsi="Arial" w:cs="Arial"/>
          <w:sz w:val="23"/>
          <w:szCs w:val="23"/>
        </w:rPr>
      </w:pPr>
      <w:bookmarkStart w:id="0" w:name="_GoBack"/>
      <w:bookmarkEnd w:id="0"/>
    </w:p>
    <w:p w:rsidR="008E56D9" w:rsidRPr="00EB7B59" w:rsidRDefault="008E56D9" w:rsidP="008E56D9">
      <w:pPr>
        <w:rPr>
          <w:rFonts w:ascii="Arial" w:hAnsi="Arial" w:cs="Arial"/>
          <w:sz w:val="23"/>
          <w:szCs w:val="23"/>
        </w:rPr>
      </w:pPr>
    </w:p>
    <w:tbl>
      <w:tblPr>
        <w:tblStyle w:val="Tablaconcuadrcula"/>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78"/>
        <w:gridCol w:w="4400"/>
      </w:tblGrid>
      <w:tr w:rsidR="008E56D9" w:rsidRPr="00EB7B59" w:rsidTr="00851E12">
        <w:tc>
          <w:tcPr>
            <w:tcW w:w="4395" w:type="dxa"/>
          </w:tcPr>
          <w:p w:rsidR="008E56D9" w:rsidRPr="00EB7B59" w:rsidRDefault="008E56D9" w:rsidP="00851E12">
            <w:pPr>
              <w:widowControl w:val="0"/>
              <w:spacing w:before="0" w:after="0"/>
              <w:jc w:val="center"/>
              <w:rPr>
                <w:rFonts w:ascii="Arial" w:hAnsi="Arial" w:cs="Arial"/>
                <w:b/>
                <w:spacing w:val="-10"/>
                <w:sz w:val="23"/>
                <w:szCs w:val="23"/>
              </w:rPr>
            </w:pPr>
            <w:r w:rsidRPr="00EB7B59">
              <w:rPr>
                <w:rFonts w:ascii="Arial" w:hAnsi="Arial" w:cs="Arial"/>
                <w:b/>
                <w:spacing w:val="-10"/>
                <w:sz w:val="23"/>
                <w:szCs w:val="23"/>
              </w:rPr>
              <w:t>MTRA. ELIZABETH NAVA GUTIÉRREZ</w:t>
            </w:r>
          </w:p>
          <w:p w:rsidR="008E56D9" w:rsidRPr="00EB7B59" w:rsidRDefault="008E56D9" w:rsidP="00851E12">
            <w:pPr>
              <w:widowControl w:val="0"/>
              <w:spacing w:before="0" w:after="0"/>
              <w:jc w:val="center"/>
              <w:rPr>
                <w:rFonts w:ascii="Arial" w:hAnsi="Arial" w:cs="Arial"/>
                <w:b/>
                <w:sz w:val="23"/>
                <w:szCs w:val="23"/>
              </w:rPr>
            </w:pPr>
            <w:r w:rsidRPr="00EB7B59">
              <w:rPr>
                <w:rFonts w:ascii="Arial" w:hAnsi="Arial" w:cs="Arial"/>
                <w:b/>
                <w:spacing w:val="-10"/>
                <w:sz w:val="23"/>
                <w:szCs w:val="23"/>
              </w:rPr>
              <w:t>CONSEJERA PRESIDENTA</w:t>
            </w:r>
          </w:p>
        </w:tc>
        <w:tc>
          <w:tcPr>
            <w:tcW w:w="278" w:type="dxa"/>
          </w:tcPr>
          <w:p w:rsidR="008E56D9" w:rsidRPr="00EB7B59" w:rsidRDefault="008E56D9" w:rsidP="00851E12">
            <w:pPr>
              <w:widowControl w:val="0"/>
              <w:spacing w:before="0" w:after="0"/>
              <w:rPr>
                <w:rFonts w:ascii="Arial" w:hAnsi="Arial" w:cs="Arial"/>
                <w:b/>
                <w:sz w:val="23"/>
                <w:szCs w:val="23"/>
              </w:rPr>
            </w:pPr>
          </w:p>
        </w:tc>
        <w:tc>
          <w:tcPr>
            <w:tcW w:w="4400" w:type="dxa"/>
          </w:tcPr>
          <w:p w:rsidR="008E56D9" w:rsidRPr="00EB7B59" w:rsidRDefault="008E56D9" w:rsidP="00851E12">
            <w:pPr>
              <w:widowControl w:val="0"/>
              <w:spacing w:before="0" w:after="0"/>
              <w:jc w:val="center"/>
              <w:rPr>
                <w:rFonts w:ascii="Arial" w:hAnsi="Arial" w:cs="Arial"/>
                <w:b/>
                <w:spacing w:val="-10"/>
                <w:sz w:val="23"/>
                <w:szCs w:val="23"/>
              </w:rPr>
            </w:pPr>
            <w:r w:rsidRPr="00EB7B59">
              <w:rPr>
                <w:rFonts w:ascii="Arial" w:hAnsi="Arial" w:cs="Arial"/>
                <w:b/>
                <w:spacing w:val="-10"/>
                <w:sz w:val="23"/>
                <w:szCs w:val="23"/>
              </w:rPr>
              <w:t>LIC. JORGE ALBERTO ZAVALA FRÍAS</w:t>
            </w:r>
          </w:p>
          <w:p w:rsidR="008E56D9" w:rsidRPr="00EB7B59" w:rsidRDefault="008E56D9" w:rsidP="00851E12">
            <w:pPr>
              <w:widowControl w:val="0"/>
              <w:spacing w:before="0" w:after="0"/>
              <w:jc w:val="center"/>
              <w:rPr>
                <w:rFonts w:ascii="Arial" w:hAnsi="Arial" w:cs="Arial"/>
                <w:b/>
                <w:sz w:val="23"/>
                <w:szCs w:val="23"/>
              </w:rPr>
            </w:pPr>
            <w:r w:rsidRPr="00EB7B59">
              <w:rPr>
                <w:rFonts w:ascii="Arial" w:hAnsi="Arial" w:cs="Arial"/>
                <w:b/>
                <w:spacing w:val="-10"/>
                <w:sz w:val="23"/>
                <w:szCs w:val="23"/>
              </w:rPr>
              <w:t>SECRETARIO DEL CONSEJO</w:t>
            </w:r>
          </w:p>
        </w:tc>
      </w:tr>
    </w:tbl>
    <w:p w:rsidR="007577E3" w:rsidRPr="00EB7B59" w:rsidRDefault="007577E3" w:rsidP="007577E3">
      <w:pPr>
        <w:rPr>
          <w:rFonts w:ascii="Arial" w:hAnsi="Arial" w:cs="Arial"/>
          <w:sz w:val="23"/>
          <w:szCs w:val="23"/>
        </w:rPr>
      </w:pPr>
    </w:p>
    <w:p w:rsidR="00A1345B" w:rsidRPr="00EB7B59" w:rsidRDefault="00A1345B" w:rsidP="003A734C">
      <w:pPr>
        <w:rPr>
          <w:rFonts w:ascii="Arial" w:hAnsi="Arial" w:cs="Arial"/>
          <w:sz w:val="23"/>
          <w:szCs w:val="23"/>
        </w:rPr>
      </w:pPr>
    </w:p>
    <w:p w:rsidR="008F20EC" w:rsidRPr="00EB7B59" w:rsidRDefault="008F20EC" w:rsidP="004659F1">
      <w:pPr>
        <w:rPr>
          <w:rFonts w:ascii="Arial" w:hAnsi="Arial" w:cs="Arial"/>
          <w:sz w:val="23"/>
          <w:szCs w:val="23"/>
        </w:rPr>
      </w:pPr>
    </w:p>
    <w:sectPr w:rsidR="008F20EC" w:rsidRPr="00EB7B59" w:rsidSect="004B2596">
      <w:headerReference w:type="even" r:id="rId8"/>
      <w:headerReference w:type="default" r:id="rId9"/>
      <w:footerReference w:type="even" r:id="rId10"/>
      <w:footerReference w:type="default" r:id="rId11"/>
      <w:headerReference w:type="first" r:id="rId12"/>
      <w:footerReference w:type="first" r:id="rId13"/>
      <w:pgSz w:w="12240" w:h="15840" w:code="1"/>
      <w:pgMar w:top="2835" w:right="1701" w:bottom="1276"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5102" w:rsidRDefault="00775102" w:rsidP="00C00FA2">
      <w:pPr>
        <w:spacing w:before="0" w:after="0" w:line="240" w:lineRule="auto"/>
      </w:pPr>
      <w:r>
        <w:separator/>
      </w:r>
    </w:p>
  </w:endnote>
  <w:endnote w:type="continuationSeparator" w:id="0">
    <w:p w:rsidR="00775102" w:rsidRDefault="00775102" w:rsidP="00C00FA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675E7EA5-162B-4E28-A1E3-3FB986BCF670}"/>
    <w:embedBold r:id="rId2" w:fontKey="{C535E486-35E4-40D2-9FA7-89BE08B53540}"/>
  </w:font>
  <w:font w:name="Times New Roman">
    <w:panose1 w:val="02020603050405020304"/>
    <w:charset w:val="00"/>
    <w:family w:val="roman"/>
    <w:pitch w:val="variable"/>
    <w:sig w:usb0="E0002EFF" w:usb1="C000785B" w:usb2="00000009" w:usb3="00000000" w:csb0="000001FF" w:csb1="00000000"/>
  </w:font>
  <w:font w:name="Exo">
    <w:altName w:val="Times New Roman"/>
    <w:charset w:val="00"/>
    <w:family w:val="auto"/>
    <w:pitch w:val="variable"/>
    <w:sig w:usb0="A00000FF" w:usb1="4000204B" w:usb2="00000000" w:usb3="00000000" w:csb0="00000193" w:csb1="00000000"/>
    <w:embedRegular r:id="rId3" w:fontKey="{559EF305-6A31-486E-9601-8B92869DBDB3}"/>
    <w:embedBold r:id="rId4" w:fontKey="{AE0C2DA7-F9C8-4141-8512-5026528A1AA7}"/>
  </w:font>
  <w:font w:name="Calibri Light">
    <w:panose1 w:val="020F0302020204030204"/>
    <w:charset w:val="00"/>
    <w:family w:val="swiss"/>
    <w:pitch w:val="variable"/>
    <w:sig w:usb0="E4002EFF" w:usb1="C200247B" w:usb2="00000009" w:usb3="00000000" w:csb0="000001FF" w:csb1="00000000"/>
    <w:embedRegular r:id="rId5" w:fontKey="{68927B15-18C0-4EC2-ADE2-AFA3178A322E}"/>
    <w:embedItalic r:id="rId6" w:fontKey="{98041031-4682-4F33-8BA6-AEC5EF6C0BEC}"/>
  </w:font>
  <w:font w:name="Segoe UI">
    <w:panose1 w:val="020B0502040204020203"/>
    <w:charset w:val="00"/>
    <w:family w:val="swiss"/>
    <w:pitch w:val="variable"/>
    <w:sig w:usb0="E4002EFF" w:usb1="C000E47F" w:usb2="00000009" w:usb3="00000000" w:csb0="000001FF" w:csb1="00000000"/>
    <w:embedRegular r:id="rId7" w:fontKey="{E7D33061-9F4C-44F8-BC04-9B10EDB2A35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D85" w:rsidRDefault="00195D85">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993366"/>
        <w:sz w:val="20"/>
        <w:szCs w:val="20"/>
      </w:rPr>
      <w:id w:val="656811017"/>
      <w:docPartObj>
        <w:docPartGallery w:val="Page Numbers (Top of Page)"/>
        <w:docPartUnique/>
      </w:docPartObj>
    </w:sdtPr>
    <w:sdtEndPr/>
    <w:sdtContent>
      <w:p w:rsidR="000D6433" w:rsidRPr="00201CAC" w:rsidRDefault="000D6433" w:rsidP="000D6433">
        <w:pPr>
          <w:pStyle w:val="Piedepgina"/>
          <w:jc w:val="right"/>
          <w:rPr>
            <w:rFonts w:ascii="Arial" w:hAnsi="Arial" w:cs="Arial"/>
            <w:color w:val="993366"/>
            <w:sz w:val="20"/>
            <w:szCs w:val="20"/>
          </w:rPr>
        </w:pPr>
        <w:r w:rsidRPr="00201CAC">
          <w:rPr>
            <w:rFonts w:ascii="Arial" w:hAnsi="Arial" w:cs="Arial"/>
            <w:b/>
            <w:bCs/>
            <w:color w:val="993366"/>
          </w:rPr>
          <w:t xml:space="preserve">Página </w:t>
        </w:r>
        <w:r w:rsidRPr="00201CAC">
          <w:rPr>
            <w:rFonts w:ascii="Arial" w:hAnsi="Arial" w:cs="Arial"/>
            <w:b/>
            <w:bCs/>
            <w:color w:val="993366"/>
          </w:rPr>
          <w:fldChar w:fldCharType="begin"/>
        </w:r>
        <w:r w:rsidRPr="00201CAC">
          <w:rPr>
            <w:rFonts w:ascii="Arial" w:hAnsi="Arial" w:cs="Arial"/>
            <w:b/>
            <w:bCs/>
            <w:color w:val="993366"/>
          </w:rPr>
          <w:instrText>PAGE</w:instrText>
        </w:r>
        <w:r w:rsidRPr="00201CAC">
          <w:rPr>
            <w:rFonts w:ascii="Arial" w:hAnsi="Arial" w:cs="Arial"/>
            <w:b/>
            <w:bCs/>
            <w:color w:val="993366"/>
          </w:rPr>
          <w:fldChar w:fldCharType="separate"/>
        </w:r>
        <w:r w:rsidR="0071393A">
          <w:rPr>
            <w:rFonts w:ascii="Arial" w:hAnsi="Arial" w:cs="Arial"/>
            <w:b/>
            <w:bCs/>
            <w:noProof/>
            <w:color w:val="993366"/>
          </w:rPr>
          <w:t>10</w:t>
        </w:r>
        <w:r w:rsidRPr="00201CAC">
          <w:rPr>
            <w:rFonts w:ascii="Arial" w:hAnsi="Arial" w:cs="Arial"/>
            <w:b/>
            <w:bCs/>
            <w:color w:val="993366"/>
          </w:rPr>
          <w:fldChar w:fldCharType="end"/>
        </w:r>
        <w:r w:rsidRPr="00201CAC">
          <w:rPr>
            <w:rFonts w:ascii="Arial" w:hAnsi="Arial" w:cs="Arial"/>
            <w:b/>
            <w:bCs/>
            <w:color w:val="993366"/>
          </w:rPr>
          <w:t xml:space="preserve"> | </w:t>
        </w:r>
        <w:r w:rsidRPr="00201CAC">
          <w:rPr>
            <w:rFonts w:ascii="Arial" w:hAnsi="Arial" w:cs="Arial"/>
            <w:b/>
            <w:bCs/>
            <w:color w:val="993366"/>
          </w:rPr>
          <w:fldChar w:fldCharType="begin"/>
        </w:r>
        <w:r w:rsidRPr="00201CAC">
          <w:rPr>
            <w:rFonts w:ascii="Arial" w:hAnsi="Arial" w:cs="Arial"/>
            <w:b/>
            <w:bCs/>
            <w:color w:val="993366"/>
          </w:rPr>
          <w:instrText>NUMPAGES</w:instrText>
        </w:r>
        <w:r w:rsidRPr="00201CAC">
          <w:rPr>
            <w:rFonts w:ascii="Arial" w:hAnsi="Arial" w:cs="Arial"/>
            <w:b/>
            <w:bCs/>
            <w:color w:val="993366"/>
          </w:rPr>
          <w:fldChar w:fldCharType="separate"/>
        </w:r>
        <w:r w:rsidR="0071393A">
          <w:rPr>
            <w:rFonts w:ascii="Arial" w:hAnsi="Arial" w:cs="Arial"/>
            <w:b/>
            <w:bCs/>
            <w:noProof/>
            <w:color w:val="993366"/>
          </w:rPr>
          <w:t>10</w:t>
        </w:r>
        <w:r w:rsidRPr="00201CAC">
          <w:rPr>
            <w:rFonts w:ascii="Arial" w:hAnsi="Arial" w:cs="Arial"/>
            <w:b/>
            <w:bCs/>
            <w:color w:val="993366"/>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D85" w:rsidRDefault="00195D8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5102" w:rsidRDefault="00775102" w:rsidP="00C00FA2">
      <w:pPr>
        <w:spacing w:before="0" w:after="0" w:line="240" w:lineRule="auto"/>
      </w:pPr>
      <w:r>
        <w:separator/>
      </w:r>
    </w:p>
  </w:footnote>
  <w:footnote w:type="continuationSeparator" w:id="0">
    <w:p w:rsidR="00775102" w:rsidRDefault="00775102" w:rsidP="00C00FA2">
      <w:pPr>
        <w:spacing w:before="0" w:after="0" w:line="240" w:lineRule="auto"/>
      </w:pPr>
      <w:r>
        <w:continuationSeparator/>
      </w:r>
    </w:p>
  </w:footnote>
  <w:footnote w:id="1">
    <w:p w:rsidR="00270C35" w:rsidRPr="003C584F" w:rsidRDefault="00270C35" w:rsidP="00270C35">
      <w:pPr>
        <w:pStyle w:val="Textonotapie"/>
        <w:rPr>
          <w:rFonts w:ascii="Exo" w:hAnsi="Exo" w:cs="Arial"/>
          <w:sz w:val="14"/>
          <w:szCs w:val="16"/>
        </w:rPr>
      </w:pPr>
      <w:r w:rsidRPr="003C584F">
        <w:rPr>
          <w:rStyle w:val="Refdenotaalpie"/>
          <w:rFonts w:ascii="Exo" w:hAnsi="Exo" w:cs="Arial"/>
          <w:sz w:val="14"/>
          <w:szCs w:val="16"/>
        </w:rPr>
        <w:footnoteRef/>
      </w:r>
      <w:r w:rsidRPr="003C584F">
        <w:rPr>
          <w:rFonts w:ascii="Exo" w:hAnsi="Exo" w:cs="Arial"/>
          <w:sz w:val="14"/>
          <w:szCs w:val="16"/>
        </w:rPr>
        <w:t xml:space="preserve"> </w:t>
      </w:r>
      <w:r w:rsidRPr="003C584F">
        <w:rPr>
          <w:rFonts w:ascii="Exo" w:eastAsia="Times New Roman" w:hAnsi="Exo" w:cs="Arial"/>
          <w:caps/>
          <w:color w:val="000000"/>
          <w:sz w:val="14"/>
          <w:szCs w:val="16"/>
          <w:lang w:eastAsia="es-MX"/>
        </w:rPr>
        <w:t xml:space="preserve">SUP-JRC-12/2017, </w:t>
      </w:r>
      <w:r w:rsidRPr="003C584F">
        <w:rPr>
          <w:rFonts w:ascii="Exo" w:eastAsia="Times New Roman" w:hAnsi="Exo" w:cs="Arial"/>
          <w:color w:val="000000"/>
          <w:sz w:val="14"/>
          <w:szCs w:val="16"/>
          <w:lang w:eastAsia="es-MX"/>
        </w:rPr>
        <w:t>consultable en: https://www.te.gob.mx/sentenciashtml/convertir/expediente/sup-jrc-00012-2017</w:t>
      </w:r>
    </w:p>
  </w:footnote>
  <w:footnote w:id="2">
    <w:p w:rsidR="003C584F" w:rsidRPr="003C584F" w:rsidRDefault="003C584F">
      <w:pPr>
        <w:pStyle w:val="Textonotapie"/>
        <w:rPr>
          <w:rFonts w:ascii="Exo" w:hAnsi="Exo"/>
          <w:sz w:val="14"/>
          <w:szCs w:val="16"/>
          <w:lang w:val="es-ES"/>
        </w:rPr>
      </w:pPr>
      <w:r w:rsidRPr="003C584F">
        <w:rPr>
          <w:rStyle w:val="Refdenotaalpie"/>
          <w:rFonts w:ascii="Exo" w:hAnsi="Exo"/>
          <w:sz w:val="14"/>
          <w:szCs w:val="16"/>
        </w:rPr>
        <w:footnoteRef/>
      </w:r>
      <w:r w:rsidRPr="003C584F">
        <w:rPr>
          <w:rFonts w:ascii="Exo" w:hAnsi="Exo"/>
          <w:sz w:val="14"/>
          <w:szCs w:val="16"/>
        </w:rPr>
        <w:t xml:space="preserve"> </w:t>
      </w:r>
      <w:r w:rsidRPr="003C584F">
        <w:rPr>
          <w:rFonts w:ascii="Exo" w:hAnsi="Exo"/>
          <w:sz w:val="14"/>
          <w:szCs w:val="16"/>
          <w:lang w:val="es-ES"/>
        </w:rPr>
        <w:t>Aprobado por el INE mediante acuerdo INE/CG1260/2018.</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D85" w:rsidRDefault="00195D85">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361"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242"/>
      <w:gridCol w:w="1701"/>
    </w:tblGrid>
    <w:tr w:rsidR="00D92A87" w:rsidRPr="00EB7B59" w:rsidTr="00851E12">
      <w:tc>
        <w:tcPr>
          <w:tcW w:w="1418" w:type="dxa"/>
        </w:tcPr>
        <w:p w:rsidR="00D92A87" w:rsidRPr="00EB7B59" w:rsidRDefault="00D92A87" w:rsidP="00D92A87">
          <w:pPr>
            <w:pStyle w:val="Encabezado"/>
            <w:ind w:left="-170"/>
            <w:jc w:val="left"/>
            <w:rPr>
              <w:rFonts w:ascii="Arial" w:hAnsi="Arial" w:cs="Arial"/>
            </w:rPr>
          </w:pPr>
          <w:r w:rsidRPr="00EB7B59">
            <w:rPr>
              <w:rFonts w:ascii="Arial" w:hAnsi="Arial" w:cs="Arial"/>
              <w:b/>
              <w:noProof/>
              <w:sz w:val="32"/>
              <w:lang w:val="es-MX" w:eastAsia="es-MX"/>
            </w:rPr>
            <w:drawing>
              <wp:inline distT="0" distB="0" distL="0" distR="0" wp14:anchorId="35080EDC" wp14:editId="112ED5EE">
                <wp:extent cx="1014331" cy="1199403"/>
                <wp:effectExtent l="0" t="0" r="0" b="1270"/>
                <wp:docPr id="5" name="Imagen 5"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242" w:type="dxa"/>
        </w:tcPr>
        <w:p w:rsidR="00D92A87" w:rsidRPr="00EB7B59" w:rsidRDefault="00D92A87" w:rsidP="00D92A87">
          <w:pPr>
            <w:pStyle w:val="Encabezado"/>
            <w:spacing w:before="720"/>
            <w:jc w:val="center"/>
            <w:rPr>
              <w:rFonts w:ascii="Arial" w:hAnsi="Arial" w:cs="Arial"/>
              <w:b/>
              <w:bCs/>
              <w:sz w:val="25"/>
              <w:szCs w:val="25"/>
            </w:rPr>
          </w:pPr>
          <w:r w:rsidRPr="00EB7B59">
            <w:rPr>
              <w:rFonts w:ascii="Arial" w:hAnsi="Arial" w:cs="Arial"/>
              <w:b/>
              <w:bCs/>
              <w:sz w:val="25"/>
              <w:szCs w:val="25"/>
            </w:rPr>
            <w:t>INSTITUTO ELECTORAL Y DE PARTICIPACIÓN CIUDADANA DE TABASCO</w:t>
          </w:r>
        </w:p>
        <w:p w:rsidR="00D92A87" w:rsidRPr="00EB7B59" w:rsidRDefault="00D92A87" w:rsidP="00D92A87">
          <w:pPr>
            <w:pStyle w:val="Encabezado"/>
            <w:jc w:val="center"/>
            <w:rPr>
              <w:rFonts w:ascii="Arial" w:hAnsi="Arial" w:cs="Arial"/>
            </w:rPr>
          </w:pPr>
          <w:r w:rsidRPr="00EB7B59">
            <w:rPr>
              <w:rFonts w:ascii="Arial" w:hAnsi="Arial" w:cs="Arial"/>
              <w:sz w:val="26"/>
              <w:szCs w:val="26"/>
            </w:rPr>
            <w:t>CONSEJO ESTATAL</w:t>
          </w:r>
        </w:p>
      </w:tc>
      <w:tc>
        <w:tcPr>
          <w:tcW w:w="1701" w:type="dxa"/>
        </w:tcPr>
        <w:p w:rsidR="00D92A87" w:rsidRPr="00EB7B59" w:rsidRDefault="00D92A87" w:rsidP="00D92A87">
          <w:pPr>
            <w:pStyle w:val="Encabezado"/>
            <w:spacing w:before="480"/>
            <w:rPr>
              <w:rFonts w:ascii="Arial" w:hAnsi="Arial" w:cs="Arial"/>
            </w:rPr>
          </w:pPr>
          <w:r w:rsidRPr="00EB7B59">
            <w:rPr>
              <w:rFonts w:ascii="Arial" w:hAnsi="Arial" w:cs="Arial"/>
              <w:noProof/>
              <w:lang w:val="es-MX" w:eastAsia="es-MX"/>
            </w:rPr>
            <w:drawing>
              <wp:inline distT="0" distB="0" distL="0" distR="0" wp14:anchorId="4CD1D44A" wp14:editId="28CA0A01">
                <wp:extent cx="942975" cy="774065"/>
                <wp:effectExtent l="0" t="0" r="9525" b="6985"/>
                <wp:docPr id="6" name="Imagen 6"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41557" name="Imagen 1008241557" descr="Logotipo, Icono&#10;&#10;Descripción generada automáticamente"/>
                        <pic:cNvPicPr/>
                      </pic:nvPicPr>
                      <pic:blipFill>
                        <a:blip r:embed="rId2" cstate="print">
                          <a:extLst>
                            <a:ext uri="{28A0092B-C50C-407E-A947-70E740481C1C}">
                              <a14:useLocalDpi xmlns:a14="http://schemas.microsoft.com/office/drawing/2010/main" val="0"/>
                            </a:ext>
                          </a:extLst>
                        </a:blip>
                        <a:stretch>
                          <a:fillRect/>
                        </a:stretch>
                      </pic:blipFill>
                      <pic:spPr>
                        <a:xfrm>
                          <a:off x="0" y="0"/>
                          <a:ext cx="942975" cy="774065"/>
                        </a:xfrm>
                        <a:prstGeom prst="rect">
                          <a:avLst/>
                        </a:prstGeom>
                      </pic:spPr>
                    </pic:pic>
                  </a:graphicData>
                </a:graphic>
              </wp:inline>
            </w:drawing>
          </w:r>
        </w:p>
      </w:tc>
    </w:tr>
  </w:tbl>
  <w:p w:rsidR="00D92A87" w:rsidRPr="00201CAC" w:rsidRDefault="00201CAC" w:rsidP="00201CAC">
    <w:pPr>
      <w:pStyle w:val="Encabezado"/>
      <w:jc w:val="right"/>
      <w:rPr>
        <w:rFonts w:ascii="Arial" w:hAnsi="Arial" w:cs="Arial"/>
        <w:b/>
      </w:rPr>
    </w:pPr>
    <w:r w:rsidRPr="00201CAC">
      <w:rPr>
        <w:rFonts w:ascii="Arial" w:hAnsi="Arial" w:cs="Arial"/>
        <w:b/>
      </w:rPr>
      <w:t>CE/2024/091</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D85" w:rsidRDefault="00195D85">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831DA7"/>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5215306B"/>
    <w:multiLevelType w:val="multilevel"/>
    <w:tmpl w:val="1586F35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E28"/>
    <w:rsid w:val="0000663F"/>
    <w:rsid w:val="00007D85"/>
    <w:rsid w:val="00035558"/>
    <w:rsid w:val="00053A9F"/>
    <w:rsid w:val="000658C6"/>
    <w:rsid w:val="000A1C2C"/>
    <w:rsid w:val="000A536B"/>
    <w:rsid w:val="000D6433"/>
    <w:rsid w:val="00110E74"/>
    <w:rsid w:val="00115D78"/>
    <w:rsid w:val="00160354"/>
    <w:rsid w:val="00175651"/>
    <w:rsid w:val="00195D85"/>
    <w:rsid w:val="001A487B"/>
    <w:rsid w:val="001E7F88"/>
    <w:rsid w:val="00201CAC"/>
    <w:rsid w:val="00243602"/>
    <w:rsid w:val="00251463"/>
    <w:rsid w:val="00255946"/>
    <w:rsid w:val="00270C35"/>
    <w:rsid w:val="00280FD6"/>
    <w:rsid w:val="00301941"/>
    <w:rsid w:val="00373C04"/>
    <w:rsid w:val="00373D03"/>
    <w:rsid w:val="003A734C"/>
    <w:rsid w:val="003C584F"/>
    <w:rsid w:val="003F5A7B"/>
    <w:rsid w:val="00401455"/>
    <w:rsid w:val="004659F1"/>
    <w:rsid w:val="00467D66"/>
    <w:rsid w:val="00470E94"/>
    <w:rsid w:val="004A7930"/>
    <w:rsid w:val="004B2596"/>
    <w:rsid w:val="004E1ED4"/>
    <w:rsid w:val="004E60D4"/>
    <w:rsid w:val="00527919"/>
    <w:rsid w:val="0055245B"/>
    <w:rsid w:val="00596AC0"/>
    <w:rsid w:val="005B1632"/>
    <w:rsid w:val="005B4138"/>
    <w:rsid w:val="005C02CF"/>
    <w:rsid w:val="00631FD1"/>
    <w:rsid w:val="00632E28"/>
    <w:rsid w:val="00645420"/>
    <w:rsid w:val="00654D1D"/>
    <w:rsid w:val="00656C52"/>
    <w:rsid w:val="00675D40"/>
    <w:rsid w:val="006A6EF7"/>
    <w:rsid w:val="006D5BD4"/>
    <w:rsid w:val="006E5ABF"/>
    <w:rsid w:val="00704046"/>
    <w:rsid w:val="0071393A"/>
    <w:rsid w:val="007305FB"/>
    <w:rsid w:val="00747A9A"/>
    <w:rsid w:val="007577E3"/>
    <w:rsid w:val="00763335"/>
    <w:rsid w:val="007730ED"/>
    <w:rsid w:val="00775102"/>
    <w:rsid w:val="007950AD"/>
    <w:rsid w:val="007C789C"/>
    <w:rsid w:val="00801ECD"/>
    <w:rsid w:val="0081080A"/>
    <w:rsid w:val="00827FC5"/>
    <w:rsid w:val="00840BB0"/>
    <w:rsid w:val="00874664"/>
    <w:rsid w:val="00897745"/>
    <w:rsid w:val="008C723D"/>
    <w:rsid w:val="008E4130"/>
    <w:rsid w:val="008E56D9"/>
    <w:rsid w:val="008F20EC"/>
    <w:rsid w:val="009124E0"/>
    <w:rsid w:val="009376F6"/>
    <w:rsid w:val="009A3AFD"/>
    <w:rsid w:val="009B451E"/>
    <w:rsid w:val="009C6C16"/>
    <w:rsid w:val="009F5A48"/>
    <w:rsid w:val="00A027FF"/>
    <w:rsid w:val="00A1345B"/>
    <w:rsid w:val="00A151E2"/>
    <w:rsid w:val="00A16991"/>
    <w:rsid w:val="00A52D00"/>
    <w:rsid w:val="00A90C40"/>
    <w:rsid w:val="00AA1B81"/>
    <w:rsid w:val="00AA5183"/>
    <w:rsid w:val="00B10492"/>
    <w:rsid w:val="00B57D28"/>
    <w:rsid w:val="00BA585F"/>
    <w:rsid w:val="00BB039C"/>
    <w:rsid w:val="00BC76B3"/>
    <w:rsid w:val="00BD0739"/>
    <w:rsid w:val="00BE061E"/>
    <w:rsid w:val="00BE25BB"/>
    <w:rsid w:val="00BE3D2F"/>
    <w:rsid w:val="00BE6CC2"/>
    <w:rsid w:val="00C00FA2"/>
    <w:rsid w:val="00C22D7D"/>
    <w:rsid w:val="00C61410"/>
    <w:rsid w:val="00C64439"/>
    <w:rsid w:val="00C80B86"/>
    <w:rsid w:val="00C90B0E"/>
    <w:rsid w:val="00CA17F3"/>
    <w:rsid w:val="00CA19D5"/>
    <w:rsid w:val="00D27AB0"/>
    <w:rsid w:val="00D37E20"/>
    <w:rsid w:val="00D47597"/>
    <w:rsid w:val="00D6580D"/>
    <w:rsid w:val="00D92A87"/>
    <w:rsid w:val="00DC387C"/>
    <w:rsid w:val="00DE1693"/>
    <w:rsid w:val="00E37BFC"/>
    <w:rsid w:val="00E66F9B"/>
    <w:rsid w:val="00E737FE"/>
    <w:rsid w:val="00E852E9"/>
    <w:rsid w:val="00EA4064"/>
    <w:rsid w:val="00EB7B59"/>
    <w:rsid w:val="00F009D0"/>
    <w:rsid w:val="00F0782E"/>
    <w:rsid w:val="00F17F17"/>
    <w:rsid w:val="00F323C2"/>
    <w:rsid w:val="00F328C7"/>
    <w:rsid w:val="00F3473A"/>
    <w:rsid w:val="00F438CE"/>
    <w:rsid w:val="00F55844"/>
    <w:rsid w:val="00F77DF9"/>
    <w:rsid w:val="00F97B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8F931"/>
  <w15:chartTrackingRefBased/>
  <w15:docId w15:val="{71FADE73-A1FD-4C23-AE48-DE14378AE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2E28"/>
    <w:pPr>
      <w:spacing w:before="240" w:after="240" w:line="281" w:lineRule="auto"/>
      <w:jc w:val="both"/>
    </w:pPr>
    <w:rPr>
      <w:rFonts w:ascii="Exo" w:hAnsi="Exo"/>
      <w:sz w:val="24"/>
      <w:szCs w:val="24"/>
      <w:lang w:val="es-ES"/>
    </w:rPr>
  </w:style>
  <w:style w:type="paragraph" w:styleId="Ttulo1">
    <w:name w:val="heading 1"/>
    <w:basedOn w:val="Normal"/>
    <w:next w:val="Normal"/>
    <w:link w:val="Ttulo1Car"/>
    <w:uiPriority w:val="9"/>
    <w:qFormat/>
    <w:rsid w:val="00632E28"/>
    <w:pPr>
      <w:numPr>
        <w:numId w:val="2"/>
      </w:numPr>
      <w:spacing w:before="600" w:after="360"/>
      <w:jc w:val="center"/>
      <w:outlineLvl w:val="0"/>
    </w:pPr>
    <w:rPr>
      <w:b/>
      <w:sz w:val="28"/>
    </w:rPr>
  </w:style>
  <w:style w:type="paragraph" w:styleId="Ttulo2">
    <w:name w:val="heading 2"/>
    <w:basedOn w:val="Normal"/>
    <w:next w:val="Normal"/>
    <w:link w:val="Ttulo2Car"/>
    <w:uiPriority w:val="9"/>
    <w:unhideWhenUsed/>
    <w:qFormat/>
    <w:rsid w:val="00632E28"/>
    <w:pPr>
      <w:numPr>
        <w:ilvl w:val="1"/>
        <w:numId w:val="2"/>
      </w:numPr>
      <w:spacing w:before="480" w:line="276" w:lineRule="auto"/>
      <w:outlineLvl w:val="1"/>
    </w:pPr>
    <w:rPr>
      <w:b/>
      <w:szCs w:val="23"/>
    </w:rPr>
  </w:style>
  <w:style w:type="paragraph" w:styleId="Ttulo3">
    <w:name w:val="heading 3"/>
    <w:basedOn w:val="Normal"/>
    <w:next w:val="Normal"/>
    <w:link w:val="Ttulo3Car"/>
    <w:uiPriority w:val="9"/>
    <w:semiHidden/>
    <w:unhideWhenUsed/>
    <w:qFormat/>
    <w:rsid w:val="00632E28"/>
    <w:pPr>
      <w:keepNext/>
      <w:keepLines/>
      <w:numPr>
        <w:ilvl w:val="2"/>
        <w:numId w:val="2"/>
      </w:numPr>
      <w:spacing w:before="40" w:after="0" w:line="276" w:lineRule="auto"/>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semiHidden/>
    <w:unhideWhenUsed/>
    <w:qFormat/>
    <w:rsid w:val="00632E28"/>
    <w:pPr>
      <w:keepNext/>
      <w:keepLines/>
      <w:numPr>
        <w:ilvl w:val="3"/>
        <w:numId w:val="2"/>
      </w:numPr>
      <w:spacing w:before="40" w:after="0" w:line="276" w:lineRule="auto"/>
      <w:outlineLvl w:val="3"/>
    </w:pPr>
    <w:rPr>
      <w:rFonts w:asciiTheme="majorHAnsi" w:eastAsiaTheme="majorEastAsia" w:hAnsiTheme="majorHAnsi" w:cstheme="majorBidi"/>
      <w:i/>
      <w:iCs/>
      <w:color w:val="2E74B5" w:themeColor="accent1" w:themeShade="BF"/>
      <w:sz w:val="23"/>
      <w:szCs w:val="23"/>
    </w:rPr>
  </w:style>
  <w:style w:type="paragraph" w:styleId="Ttulo5">
    <w:name w:val="heading 5"/>
    <w:basedOn w:val="Normal"/>
    <w:next w:val="Normal"/>
    <w:link w:val="Ttulo5Car"/>
    <w:uiPriority w:val="9"/>
    <w:semiHidden/>
    <w:unhideWhenUsed/>
    <w:qFormat/>
    <w:rsid w:val="00632E28"/>
    <w:pPr>
      <w:keepNext/>
      <w:keepLines/>
      <w:numPr>
        <w:ilvl w:val="4"/>
        <w:numId w:val="2"/>
      </w:numPr>
      <w:spacing w:before="40" w:after="0" w:line="276" w:lineRule="auto"/>
      <w:outlineLvl w:val="4"/>
    </w:pPr>
    <w:rPr>
      <w:rFonts w:asciiTheme="majorHAnsi" w:eastAsiaTheme="majorEastAsia" w:hAnsiTheme="majorHAnsi" w:cstheme="majorBidi"/>
      <w:color w:val="2E74B5" w:themeColor="accent1" w:themeShade="BF"/>
      <w:sz w:val="23"/>
      <w:szCs w:val="23"/>
    </w:rPr>
  </w:style>
  <w:style w:type="paragraph" w:styleId="Ttulo6">
    <w:name w:val="heading 6"/>
    <w:basedOn w:val="Normal"/>
    <w:next w:val="Normal"/>
    <w:link w:val="Ttulo6Car"/>
    <w:uiPriority w:val="9"/>
    <w:semiHidden/>
    <w:unhideWhenUsed/>
    <w:qFormat/>
    <w:rsid w:val="00632E28"/>
    <w:pPr>
      <w:keepNext/>
      <w:keepLines/>
      <w:numPr>
        <w:ilvl w:val="5"/>
        <w:numId w:val="2"/>
      </w:numPr>
      <w:spacing w:before="40" w:after="0" w:line="276" w:lineRule="auto"/>
      <w:outlineLvl w:val="5"/>
    </w:pPr>
    <w:rPr>
      <w:rFonts w:asciiTheme="majorHAnsi" w:eastAsiaTheme="majorEastAsia" w:hAnsiTheme="majorHAnsi" w:cstheme="majorBidi"/>
      <w:color w:val="1F4D78" w:themeColor="accent1" w:themeShade="7F"/>
      <w:sz w:val="23"/>
      <w:szCs w:val="23"/>
    </w:rPr>
  </w:style>
  <w:style w:type="paragraph" w:styleId="Ttulo7">
    <w:name w:val="heading 7"/>
    <w:basedOn w:val="Normal"/>
    <w:next w:val="Normal"/>
    <w:link w:val="Ttulo7Car"/>
    <w:uiPriority w:val="9"/>
    <w:semiHidden/>
    <w:unhideWhenUsed/>
    <w:qFormat/>
    <w:rsid w:val="00632E28"/>
    <w:pPr>
      <w:keepNext/>
      <w:keepLines/>
      <w:numPr>
        <w:ilvl w:val="6"/>
        <w:numId w:val="2"/>
      </w:numPr>
      <w:spacing w:before="40" w:after="0" w:line="276" w:lineRule="auto"/>
      <w:outlineLvl w:val="6"/>
    </w:pPr>
    <w:rPr>
      <w:rFonts w:asciiTheme="majorHAnsi" w:eastAsiaTheme="majorEastAsia" w:hAnsiTheme="majorHAnsi" w:cstheme="majorBidi"/>
      <w:i/>
      <w:iCs/>
      <w:color w:val="1F4D78" w:themeColor="accent1" w:themeShade="7F"/>
      <w:sz w:val="23"/>
      <w:szCs w:val="23"/>
    </w:rPr>
  </w:style>
  <w:style w:type="paragraph" w:styleId="Ttulo8">
    <w:name w:val="heading 8"/>
    <w:basedOn w:val="Normal"/>
    <w:next w:val="Normal"/>
    <w:link w:val="Ttulo8Car"/>
    <w:uiPriority w:val="9"/>
    <w:semiHidden/>
    <w:unhideWhenUsed/>
    <w:qFormat/>
    <w:rsid w:val="00632E28"/>
    <w:pPr>
      <w:keepNext/>
      <w:keepLines/>
      <w:numPr>
        <w:ilvl w:val="7"/>
        <w:numId w:val="2"/>
      </w:numPr>
      <w:spacing w:before="40" w:after="0" w:line="276" w:lineRule="auto"/>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632E28"/>
    <w:pPr>
      <w:keepNext/>
      <w:keepLines/>
      <w:numPr>
        <w:ilvl w:val="8"/>
        <w:numId w:val="2"/>
      </w:numPr>
      <w:spacing w:before="40" w:after="0" w:line="276" w:lineRule="auto"/>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32E28"/>
    <w:rPr>
      <w:rFonts w:ascii="Exo" w:hAnsi="Exo"/>
      <w:b/>
      <w:sz w:val="28"/>
      <w:szCs w:val="24"/>
      <w:lang w:val="es-ES"/>
    </w:rPr>
  </w:style>
  <w:style w:type="character" w:customStyle="1" w:styleId="Ttulo2Car">
    <w:name w:val="Título 2 Car"/>
    <w:basedOn w:val="Fuentedeprrafopredeter"/>
    <w:link w:val="Ttulo2"/>
    <w:uiPriority w:val="9"/>
    <w:rsid w:val="00632E28"/>
    <w:rPr>
      <w:rFonts w:ascii="Exo" w:hAnsi="Exo"/>
      <w:b/>
      <w:sz w:val="24"/>
      <w:szCs w:val="23"/>
      <w:lang w:val="es-ES"/>
    </w:rPr>
  </w:style>
  <w:style w:type="character" w:customStyle="1" w:styleId="Ttulo3Car">
    <w:name w:val="Título 3 Car"/>
    <w:basedOn w:val="Fuentedeprrafopredeter"/>
    <w:link w:val="Ttulo3"/>
    <w:uiPriority w:val="9"/>
    <w:semiHidden/>
    <w:rsid w:val="00632E28"/>
    <w:rPr>
      <w:rFonts w:asciiTheme="majorHAnsi" w:eastAsiaTheme="majorEastAsia" w:hAnsiTheme="majorHAnsi" w:cstheme="majorBidi"/>
      <w:color w:val="1F4D78" w:themeColor="accent1" w:themeShade="7F"/>
      <w:sz w:val="24"/>
      <w:szCs w:val="24"/>
      <w:lang w:val="es-ES"/>
    </w:rPr>
  </w:style>
  <w:style w:type="character" w:customStyle="1" w:styleId="Ttulo4Car">
    <w:name w:val="Título 4 Car"/>
    <w:basedOn w:val="Fuentedeprrafopredeter"/>
    <w:link w:val="Ttulo4"/>
    <w:uiPriority w:val="9"/>
    <w:semiHidden/>
    <w:rsid w:val="00632E28"/>
    <w:rPr>
      <w:rFonts w:asciiTheme="majorHAnsi" w:eastAsiaTheme="majorEastAsia" w:hAnsiTheme="majorHAnsi" w:cstheme="majorBidi"/>
      <w:i/>
      <w:iCs/>
      <w:color w:val="2E74B5" w:themeColor="accent1" w:themeShade="BF"/>
      <w:sz w:val="23"/>
      <w:szCs w:val="23"/>
      <w:lang w:val="es-ES"/>
    </w:rPr>
  </w:style>
  <w:style w:type="character" w:customStyle="1" w:styleId="Ttulo5Car">
    <w:name w:val="Título 5 Car"/>
    <w:basedOn w:val="Fuentedeprrafopredeter"/>
    <w:link w:val="Ttulo5"/>
    <w:uiPriority w:val="9"/>
    <w:semiHidden/>
    <w:rsid w:val="00632E28"/>
    <w:rPr>
      <w:rFonts w:asciiTheme="majorHAnsi" w:eastAsiaTheme="majorEastAsia" w:hAnsiTheme="majorHAnsi" w:cstheme="majorBidi"/>
      <w:color w:val="2E74B5" w:themeColor="accent1" w:themeShade="BF"/>
      <w:sz w:val="23"/>
      <w:szCs w:val="23"/>
      <w:lang w:val="es-ES"/>
    </w:rPr>
  </w:style>
  <w:style w:type="character" w:customStyle="1" w:styleId="Ttulo6Car">
    <w:name w:val="Título 6 Car"/>
    <w:basedOn w:val="Fuentedeprrafopredeter"/>
    <w:link w:val="Ttulo6"/>
    <w:uiPriority w:val="9"/>
    <w:semiHidden/>
    <w:rsid w:val="00632E28"/>
    <w:rPr>
      <w:rFonts w:asciiTheme="majorHAnsi" w:eastAsiaTheme="majorEastAsia" w:hAnsiTheme="majorHAnsi" w:cstheme="majorBidi"/>
      <w:color w:val="1F4D78" w:themeColor="accent1" w:themeShade="7F"/>
      <w:sz w:val="23"/>
      <w:szCs w:val="23"/>
      <w:lang w:val="es-ES"/>
    </w:rPr>
  </w:style>
  <w:style w:type="character" w:customStyle="1" w:styleId="Ttulo7Car">
    <w:name w:val="Título 7 Car"/>
    <w:basedOn w:val="Fuentedeprrafopredeter"/>
    <w:link w:val="Ttulo7"/>
    <w:uiPriority w:val="9"/>
    <w:semiHidden/>
    <w:rsid w:val="00632E28"/>
    <w:rPr>
      <w:rFonts w:asciiTheme="majorHAnsi" w:eastAsiaTheme="majorEastAsia" w:hAnsiTheme="majorHAnsi" w:cstheme="majorBidi"/>
      <w:i/>
      <w:iCs/>
      <w:color w:val="1F4D78" w:themeColor="accent1" w:themeShade="7F"/>
      <w:sz w:val="23"/>
      <w:szCs w:val="23"/>
      <w:lang w:val="es-ES"/>
    </w:rPr>
  </w:style>
  <w:style w:type="character" w:customStyle="1" w:styleId="Ttulo8Car">
    <w:name w:val="Título 8 Car"/>
    <w:basedOn w:val="Fuentedeprrafopredeter"/>
    <w:link w:val="Ttulo8"/>
    <w:uiPriority w:val="9"/>
    <w:semiHidden/>
    <w:rsid w:val="00632E28"/>
    <w:rPr>
      <w:rFonts w:asciiTheme="majorHAnsi" w:eastAsiaTheme="majorEastAsia" w:hAnsiTheme="majorHAnsi" w:cstheme="majorBidi"/>
      <w:color w:val="272727" w:themeColor="text1" w:themeTint="D8"/>
      <w:sz w:val="21"/>
      <w:szCs w:val="21"/>
      <w:lang w:val="es-ES"/>
    </w:rPr>
  </w:style>
  <w:style w:type="character" w:customStyle="1" w:styleId="Ttulo9Car">
    <w:name w:val="Título 9 Car"/>
    <w:basedOn w:val="Fuentedeprrafopredeter"/>
    <w:link w:val="Ttulo9"/>
    <w:uiPriority w:val="9"/>
    <w:semiHidden/>
    <w:rsid w:val="00632E28"/>
    <w:rPr>
      <w:rFonts w:asciiTheme="majorHAnsi" w:eastAsiaTheme="majorEastAsia" w:hAnsiTheme="majorHAnsi" w:cstheme="majorBidi"/>
      <w:i/>
      <w:iCs/>
      <w:color w:val="272727" w:themeColor="text1" w:themeTint="D8"/>
      <w:sz w:val="21"/>
      <w:szCs w:val="21"/>
      <w:lang w:val="es-ES"/>
    </w:rPr>
  </w:style>
  <w:style w:type="table" w:styleId="Tablaconcuadrcula">
    <w:name w:val="Table Grid"/>
    <w:basedOn w:val="Tablanormal"/>
    <w:uiPriority w:val="39"/>
    <w:rsid w:val="005B41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C00FA2"/>
    <w:pPr>
      <w:spacing w:before="0" w:after="0" w:line="240" w:lineRule="auto"/>
      <w:jc w:val="left"/>
    </w:pPr>
    <w:rPr>
      <w:rFonts w:asciiTheme="minorHAnsi" w:hAnsiTheme="minorHAnsi"/>
      <w:sz w:val="20"/>
      <w:szCs w:val="20"/>
      <w:lang w:val="es-MX"/>
    </w:rPr>
  </w:style>
  <w:style w:type="character" w:customStyle="1" w:styleId="TextonotapieCar">
    <w:name w:val="Texto nota pie Car"/>
    <w:basedOn w:val="Fuentedeprrafopredeter"/>
    <w:link w:val="Textonotapie"/>
    <w:uiPriority w:val="99"/>
    <w:semiHidden/>
    <w:rsid w:val="00C00FA2"/>
    <w:rPr>
      <w:sz w:val="20"/>
      <w:szCs w:val="20"/>
    </w:rPr>
  </w:style>
  <w:style w:type="character" w:styleId="Refdenotaalpie">
    <w:name w:val="footnote reference"/>
    <w:basedOn w:val="Fuentedeprrafopredeter"/>
    <w:uiPriority w:val="99"/>
    <w:semiHidden/>
    <w:unhideWhenUsed/>
    <w:rsid w:val="00C00FA2"/>
    <w:rPr>
      <w:vertAlign w:val="superscript"/>
    </w:rPr>
  </w:style>
  <w:style w:type="paragraph" w:styleId="Encabezado">
    <w:name w:val="header"/>
    <w:basedOn w:val="Normal"/>
    <w:link w:val="EncabezadoCar"/>
    <w:uiPriority w:val="99"/>
    <w:unhideWhenUsed/>
    <w:rsid w:val="00D92A87"/>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D92A87"/>
    <w:rPr>
      <w:rFonts w:ascii="Exo" w:hAnsi="Exo"/>
      <w:sz w:val="24"/>
      <w:szCs w:val="24"/>
      <w:lang w:val="es-ES"/>
    </w:rPr>
  </w:style>
  <w:style w:type="paragraph" w:styleId="Piedepgina">
    <w:name w:val="footer"/>
    <w:basedOn w:val="Normal"/>
    <w:link w:val="PiedepginaCar"/>
    <w:uiPriority w:val="99"/>
    <w:unhideWhenUsed/>
    <w:rsid w:val="00D92A87"/>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D92A87"/>
    <w:rPr>
      <w:rFonts w:ascii="Exo" w:hAnsi="Exo"/>
      <w:sz w:val="24"/>
      <w:szCs w:val="24"/>
      <w:lang w:val="es-ES"/>
    </w:rPr>
  </w:style>
  <w:style w:type="paragraph" w:styleId="Textodeglobo">
    <w:name w:val="Balloon Text"/>
    <w:basedOn w:val="Normal"/>
    <w:link w:val="TextodegloboCar"/>
    <w:uiPriority w:val="99"/>
    <w:semiHidden/>
    <w:unhideWhenUsed/>
    <w:rsid w:val="00F97B9F"/>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97B9F"/>
    <w:rPr>
      <w:rFonts w:ascii="Segoe UI"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2A26F2-C988-46B5-B2A9-805FE5CD7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10</Pages>
  <Words>3030</Words>
  <Characters>16665</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Mayo</dc:creator>
  <cp:keywords/>
  <dc:description/>
  <cp:lastModifiedBy>Jaqueline del Carmen Carrillo Llergo</cp:lastModifiedBy>
  <cp:revision>123</cp:revision>
  <cp:lastPrinted>2024-10-17T23:01:00Z</cp:lastPrinted>
  <dcterms:created xsi:type="dcterms:W3CDTF">2024-10-08T16:25:00Z</dcterms:created>
  <dcterms:modified xsi:type="dcterms:W3CDTF">2024-10-17T23:03:00Z</dcterms:modified>
</cp:coreProperties>
</file>