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A" w:rsidRPr="007C4A06" w:rsidRDefault="008C56BE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  <w:r w:rsidRPr="007C4A06">
        <w:rPr>
          <w:b/>
          <w:spacing w:val="100"/>
          <w:sz w:val="28"/>
          <w:szCs w:val="24"/>
        </w:rPr>
        <w:t>INFORME</w:t>
      </w:r>
    </w:p>
    <w:p w:rsidR="007128BA" w:rsidRPr="00F215E4" w:rsidRDefault="00F6426A" w:rsidP="00F24532">
      <w:pPr>
        <w:spacing w:before="360" w:line="312" w:lineRule="auto"/>
        <w:rPr>
          <w:b/>
          <w:sz w:val="22"/>
        </w:rPr>
      </w:pPr>
      <w:r w:rsidRPr="00F215E4">
        <w:rPr>
          <w:b/>
          <w:sz w:val="22"/>
        </w:rPr>
        <w:t xml:space="preserve">QUE EN CUMPLIMIENTO A LO DISPUESTO POR EL ARTÍCULO 116, NUMERAL 1, FRACCIÓN X DE LA LEY ELECTORAL Y DE PARTIDOS POLÍTICOS DEL ESTADO DE TABASCO, RINDE LA PRESIDENCIA DEL CONSEJO, RESPECTO DE LOS TRABAJOS REALIZADOS POR LA JUNTA ESTATAL EJECUTIVA, CORRESPONDIENTE AL MES DE </w:t>
      </w:r>
      <w:r w:rsidR="00867EF4" w:rsidRPr="00F215E4">
        <w:rPr>
          <w:b/>
          <w:sz w:val="22"/>
        </w:rPr>
        <w:t>ENERO DE 2023</w:t>
      </w:r>
    </w:p>
    <w:p w:rsidR="00CE625D" w:rsidRDefault="008C56BE" w:rsidP="00CE625D">
      <w:pPr>
        <w:spacing w:line="312" w:lineRule="auto"/>
        <w:rPr>
          <w:sz w:val="22"/>
        </w:rPr>
      </w:pPr>
      <w:r w:rsidRPr="00F215E4">
        <w:rPr>
          <w:sz w:val="22"/>
        </w:rPr>
        <w:t xml:space="preserve">De conformidad con los artículos 118 y 119 de la Ley Electoral y de </w:t>
      </w:r>
      <w:r w:rsidR="00234FCF" w:rsidRPr="00F215E4">
        <w:rPr>
          <w:sz w:val="22"/>
        </w:rPr>
        <w:t>Partidos Políticos del Estado de Tabasco</w:t>
      </w:r>
      <w:r w:rsidRPr="00F215E4">
        <w:rPr>
          <w:sz w:val="22"/>
        </w:rPr>
        <w:t xml:space="preserve">, </w:t>
      </w:r>
      <w:r w:rsidR="00CE625D">
        <w:rPr>
          <w:sz w:val="22"/>
        </w:rPr>
        <w:t>se informa que, la Junta Estatal Ejecutiva, llevó a cabo la celebración de dos sesiones extraordinarias durante los días 21 y 22 de diciembre del año dos mil veintitrés; en ambas sesiones, el órgano electoral aprobó adecuaciones presupuestales al ejercicio correspondiente al año 2022 y modificaciones al Programa Institucional Anual.</w:t>
      </w:r>
    </w:p>
    <w:p w:rsidR="00F24532" w:rsidRPr="00F215E4" w:rsidRDefault="00C50B8A" w:rsidP="00CE625D">
      <w:pPr>
        <w:spacing w:line="312" w:lineRule="auto"/>
        <w:rPr>
          <w:sz w:val="22"/>
        </w:rPr>
      </w:pPr>
      <w:r>
        <w:rPr>
          <w:sz w:val="22"/>
        </w:rPr>
        <w:t>Por otra parte, el 18 de enero de la presente anualidad</w:t>
      </w:r>
      <w:r w:rsidR="00CE625D">
        <w:rPr>
          <w:sz w:val="22"/>
        </w:rPr>
        <w:t>, la Junta Estatal Ejecutiva</w:t>
      </w:r>
      <w:r>
        <w:rPr>
          <w:sz w:val="22"/>
        </w:rPr>
        <w:t xml:space="preserve">, efectuó sesión extraordinaria </w:t>
      </w:r>
      <w:r w:rsidR="00DC5C74" w:rsidRPr="00F215E4">
        <w:rPr>
          <w:sz w:val="22"/>
        </w:rPr>
        <w:t xml:space="preserve">en la que se </w:t>
      </w:r>
      <w:r w:rsidR="00F24532" w:rsidRPr="00F215E4">
        <w:rPr>
          <w:sz w:val="22"/>
        </w:rPr>
        <w:t xml:space="preserve">debatió </w:t>
      </w:r>
      <w:r w:rsidR="00DC5C74" w:rsidRPr="00F215E4">
        <w:rPr>
          <w:sz w:val="22"/>
        </w:rPr>
        <w:t xml:space="preserve">y </w:t>
      </w:r>
      <w:r w:rsidR="00F24532" w:rsidRPr="00F215E4">
        <w:rPr>
          <w:sz w:val="22"/>
        </w:rPr>
        <w:t>aprobó la renovación del servidor público que ocupa la encargaduría de despacho de la plaza vacante con categoría de Técnico “D” de Organización Electoral incorporada al Servicio Profesional Elect</w:t>
      </w:r>
      <w:r>
        <w:rPr>
          <w:sz w:val="22"/>
        </w:rPr>
        <w:t>oral Nacional de este Instituto y adscrita a la Dirección Ejecutiva de Organización Electoral y Educación Cívica.</w:t>
      </w:r>
    </w:p>
    <w:p w:rsidR="00C57EE3" w:rsidRDefault="00C57EE3" w:rsidP="00C57EE3">
      <w:pPr>
        <w:autoSpaceDE w:val="0"/>
        <w:autoSpaceDN w:val="0"/>
        <w:adjustRightInd w:val="0"/>
        <w:spacing w:line="312" w:lineRule="auto"/>
        <w:rPr>
          <w:sz w:val="22"/>
        </w:rPr>
      </w:pPr>
      <w:r w:rsidRPr="003546D4">
        <w:rPr>
          <w:sz w:val="22"/>
        </w:rPr>
        <w:t>Finalmente, el 3</w:t>
      </w:r>
      <w:r>
        <w:rPr>
          <w:sz w:val="22"/>
        </w:rPr>
        <w:t>0</w:t>
      </w:r>
      <w:r w:rsidRPr="003546D4">
        <w:rPr>
          <w:sz w:val="22"/>
        </w:rPr>
        <w:t xml:space="preserve"> de enero de la presente anualidad, la Junta Estatal Ejecutiva, a convocatoria de esta Presidencia, llev</w:t>
      </w:r>
      <w:r>
        <w:rPr>
          <w:sz w:val="22"/>
        </w:rPr>
        <w:t>ó</w:t>
      </w:r>
      <w:r w:rsidRPr="003546D4">
        <w:rPr>
          <w:sz w:val="22"/>
        </w:rPr>
        <w:t xml:space="preserve"> a cabo la sesión ordinaria correspondiente al mes de enero, en la que,</w:t>
      </w:r>
      <w:r>
        <w:rPr>
          <w:sz w:val="22"/>
        </w:rPr>
        <w:t xml:space="preserve"> se aprobó el calendario anual</w:t>
      </w:r>
      <w:bookmarkStart w:id="0" w:name="_GoBack"/>
      <w:bookmarkEnd w:id="0"/>
      <w:r>
        <w:rPr>
          <w:sz w:val="22"/>
        </w:rPr>
        <w:t xml:space="preserve"> de sesiones y</w:t>
      </w:r>
      <w:r w:rsidRPr="003546D4">
        <w:rPr>
          <w:sz w:val="22"/>
        </w:rPr>
        <w:t xml:space="preserve"> los integrantes del órgano electoral </w:t>
      </w:r>
      <w:r>
        <w:rPr>
          <w:sz w:val="22"/>
        </w:rPr>
        <w:t>rindieron</w:t>
      </w:r>
      <w:r w:rsidRPr="003546D4">
        <w:rPr>
          <w:sz w:val="22"/>
        </w:rPr>
        <w:t xml:space="preserve"> sus inf</w:t>
      </w:r>
      <w:r>
        <w:rPr>
          <w:sz w:val="22"/>
        </w:rPr>
        <w:t xml:space="preserve">ormes mensuales de actividades, asimismo, </w:t>
      </w:r>
      <w:r w:rsidRPr="003546D4">
        <w:rPr>
          <w:sz w:val="22"/>
        </w:rPr>
        <w:t>se</w:t>
      </w:r>
      <w:r>
        <w:rPr>
          <w:sz w:val="22"/>
        </w:rPr>
        <w:t xml:space="preserve"> sometió</w:t>
      </w:r>
      <w:r w:rsidRPr="003546D4">
        <w:rPr>
          <w:sz w:val="22"/>
        </w:rPr>
        <w:t xml:space="preserve"> a deliberación, el contenido de las actas </w:t>
      </w:r>
      <w:r>
        <w:rPr>
          <w:sz w:val="22"/>
        </w:rPr>
        <w:t>de las sesiones</w:t>
      </w:r>
      <w:r w:rsidRPr="003546D4">
        <w:rPr>
          <w:sz w:val="22"/>
        </w:rPr>
        <w:t xml:space="preserve"> antes mencionadas.</w:t>
      </w:r>
    </w:p>
    <w:p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92" w:rsidRDefault="00733192" w:rsidP="007D68A1">
      <w:pPr>
        <w:spacing w:before="0" w:after="0" w:line="240" w:lineRule="auto"/>
      </w:pPr>
      <w:r>
        <w:separator/>
      </w:r>
    </w:p>
  </w:endnote>
  <w:endnote w:type="continuationSeparator" w:id="0">
    <w:p w:rsidR="00733192" w:rsidRDefault="00733192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92" w:rsidRDefault="00733192" w:rsidP="007D68A1">
      <w:pPr>
        <w:spacing w:before="0" w:after="0" w:line="240" w:lineRule="auto"/>
      </w:pPr>
      <w:r>
        <w:separator/>
      </w:r>
    </w:p>
  </w:footnote>
  <w:footnote w:type="continuationSeparator" w:id="0">
    <w:p w:rsidR="00733192" w:rsidRDefault="00733192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:rsidTr="00907833">
      <w:tc>
        <w:tcPr>
          <w:tcW w:w="1418" w:type="dxa"/>
        </w:tcPr>
        <w:p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362B2A3B" wp14:editId="30FFF6CC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66ABB005" wp14:editId="638CADB2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47D4"/>
    <w:rsid w:val="00032A7A"/>
    <w:rsid w:val="000470C5"/>
    <w:rsid w:val="000E2C26"/>
    <w:rsid w:val="000E30F3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C0F6E"/>
    <w:rsid w:val="00324E28"/>
    <w:rsid w:val="00331F56"/>
    <w:rsid w:val="00333A50"/>
    <w:rsid w:val="003546D4"/>
    <w:rsid w:val="003653F7"/>
    <w:rsid w:val="00365707"/>
    <w:rsid w:val="00375A47"/>
    <w:rsid w:val="003947F2"/>
    <w:rsid w:val="003F6736"/>
    <w:rsid w:val="004645B1"/>
    <w:rsid w:val="004A02E0"/>
    <w:rsid w:val="00504A4B"/>
    <w:rsid w:val="005169FD"/>
    <w:rsid w:val="005470AA"/>
    <w:rsid w:val="00565B33"/>
    <w:rsid w:val="00571888"/>
    <w:rsid w:val="00581584"/>
    <w:rsid w:val="005A2ACF"/>
    <w:rsid w:val="005B6D27"/>
    <w:rsid w:val="005C43EE"/>
    <w:rsid w:val="005D1718"/>
    <w:rsid w:val="005F66A1"/>
    <w:rsid w:val="00600156"/>
    <w:rsid w:val="006211B1"/>
    <w:rsid w:val="00673B65"/>
    <w:rsid w:val="006A50C6"/>
    <w:rsid w:val="007128BA"/>
    <w:rsid w:val="00732347"/>
    <w:rsid w:val="00733192"/>
    <w:rsid w:val="00746DF5"/>
    <w:rsid w:val="0076424F"/>
    <w:rsid w:val="007C06DB"/>
    <w:rsid w:val="007C4A06"/>
    <w:rsid w:val="007D68A1"/>
    <w:rsid w:val="00867EF4"/>
    <w:rsid w:val="00894A04"/>
    <w:rsid w:val="008C56BE"/>
    <w:rsid w:val="008D4650"/>
    <w:rsid w:val="008D6E3E"/>
    <w:rsid w:val="00997A47"/>
    <w:rsid w:val="009A1753"/>
    <w:rsid w:val="009A312C"/>
    <w:rsid w:val="009B52EF"/>
    <w:rsid w:val="009C004A"/>
    <w:rsid w:val="00A637E2"/>
    <w:rsid w:val="00A74457"/>
    <w:rsid w:val="00AA2F2D"/>
    <w:rsid w:val="00AD550A"/>
    <w:rsid w:val="00AE375C"/>
    <w:rsid w:val="00AF7CF3"/>
    <w:rsid w:val="00B432EC"/>
    <w:rsid w:val="00B56538"/>
    <w:rsid w:val="00B61538"/>
    <w:rsid w:val="00B92FC8"/>
    <w:rsid w:val="00BB55C2"/>
    <w:rsid w:val="00C02129"/>
    <w:rsid w:val="00C37931"/>
    <w:rsid w:val="00C50B8A"/>
    <w:rsid w:val="00C57EE3"/>
    <w:rsid w:val="00CC40BA"/>
    <w:rsid w:val="00CD0782"/>
    <w:rsid w:val="00CE625D"/>
    <w:rsid w:val="00D35F62"/>
    <w:rsid w:val="00D74A88"/>
    <w:rsid w:val="00D92AD6"/>
    <w:rsid w:val="00DA56D2"/>
    <w:rsid w:val="00DB0E18"/>
    <w:rsid w:val="00DB528A"/>
    <w:rsid w:val="00DC5C74"/>
    <w:rsid w:val="00E14895"/>
    <w:rsid w:val="00E649E1"/>
    <w:rsid w:val="00EB216F"/>
    <w:rsid w:val="00EC6B4D"/>
    <w:rsid w:val="00EE500E"/>
    <w:rsid w:val="00F215E4"/>
    <w:rsid w:val="00F24532"/>
    <w:rsid w:val="00F3357A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1F87B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Lic_ Carlos E. León Mayo</cp:lastModifiedBy>
  <cp:revision>44</cp:revision>
  <cp:lastPrinted>2023-01-31T19:01:00Z</cp:lastPrinted>
  <dcterms:created xsi:type="dcterms:W3CDTF">2022-12-12T23:20:00Z</dcterms:created>
  <dcterms:modified xsi:type="dcterms:W3CDTF">2023-01-31T19:28:00Z</dcterms:modified>
</cp:coreProperties>
</file>