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CC145" w14:textId="4C662110" w:rsidR="00C413FD" w:rsidRDefault="00C413FD" w:rsidP="00C413FD">
      <w:pPr>
        <w:pStyle w:val="Ttulo"/>
        <w:spacing w:after="240"/>
        <w:jc w:val="right"/>
      </w:pPr>
      <w:r>
        <w:t>CE/2023/005</w:t>
      </w:r>
    </w:p>
    <w:p w14:paraId="08F76F92" w14:textId="0DF68158" w:rsidR="007050DB" w:rsidRPr="009A09D4" w:rsidRDefault="00C413FD" w:rsidP="00B7341E">
      <w:pPr>
        <w:pStyle w:val="Ttulo"/>
      </w:pPr>
      <w:r>
        <w:t>A</w:t>
      </w:r>
      <w:r w:rsidR="007050DB" w:rsidRPr="009A09D4">
        <w:t xml:space="preserve">cuerdo que emite el Consejo Estatal del Instituto Electoral y de Participación Ciudadana de Tabasco, mediante el cual aprueba el Programa Anual de Trabajo </w:t>
      </w:r>
      <w:r w:rsidR="00A03B39" w:rsidRPr="009A09D4">
        <w:t xml:space="preserve">de </w:t>
      </w:r>
      <w:r w:rsidR="007050DB" w:rsidRPr="009A09D4">
        <w:t xml:space="preserve">la Comisión </w:t>
      </w:r>
      <w:r w:rsidR="00162B88">
        <w:t xml:space="preserve">Permanente </w:t>
      </w:r>
      <w:r w:rsidR="00162B88" w:rsidRPr="00162B88">
        <w:t>de Seguimiento del Servicio Profesional Electoral</w:t>
      </w:r>
      <w:r w:rsidR="00162B88">
        <w:t xml:space="preserve"> del propio Instituto</w:t>
      </w:r>
      <w:r w:rsidR="003F4119" w:rsidRPr="009A09D4">
        <w:t xml:space="preserve">, </w:t>
      </w:r>
      <w:r w:rsidR="007050DB" w:rsidRPr="009A09D4">
        <w:t>para el año 2023</w:t>
      </w:r>
    </w:p>
    <w:p w14:paraId="177FF168" w14:textId="77777777" w:rsidR="007050DB" w:rsidRPr="009A09D4" w:rsidRDefault="007050DB" w:rsidP="00B7341E">
      <w:r w:rsidRPr="009A09D4">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97A27" w:rsidRPr="00B7341E" w14:paraId="55D80576" w14:textId="77777777" w:rsidTr="00594B1C">
        <w:trPr>
          <w:trHeight w:val="624"/>
          <w:jc w:val="center"/>
        </w:trPr>
        <w:tc>
          <w:tcPr>
            <w:tcW w:w="2042" w:type="pct"/>
            <w:shd w:val="clear" w:color="auto" w:fill="auto"/>
            <w:vAlign w:val="center"/>
          </w:tcPr>
          <w:p w14:paraId="6C352B8E" w14:textId="77777777" w:rsidR="00497A27" w:rsidRPr="00B7341E" w:rsidRDefault="00497A27" w:rsidP="00B7341E">
            <w:pPr>
              <w:spacing w:before="60" w:after="60"/>
              <w:ind w:left="57"/>
              <w:jc w:val="right"/>
              <w:rPr>
                <w:b/>
                <w:sz w:val="22"/>
              </w:rPr>
            </w:pPr>
            <w:r w:rsidRPr="00B7341E">
              <w:rPr>
                <w:b/>
                <w:sz w:val="22"/>
              </w:rPr>
              <w:t>Comisión de Seguimiento:</w:t>
            </w:r>
          </w:p>
        </w:tc>
        <w:tc>
          <w:tcPr>
            <w:tcW w:w="2958" w:type="pct"/>
            <w:shd w:val="clear" w:color="auto" w:fill="auto"/>
            <w:vAlign w:val="center"/>
          </w:tcPr>
          <w:p w14:paraId="4ED4D40E" w14:textId="77777777" w:rsidR="00497A27" w:rsidRPr="00B7341E" w:rsidRDefault="00497A27" w:rsidP="00B7341E">
            <w:pPr>
              <w:spacing w:before="60" w:after="60"/>
              <w:ind w:left="57"/>
              <w:rPr>
                <w:sz w:val="22"/>
              </w:rPr>
            </w:pPr>
            <w:r w:rsidRPr="00B7341E">
              <w:rPr>
                <w:sz w:val="22"/>
              </w:rPr>
              <w:t>Comisión de Seguimiento del Servicio Profesional Electoral del Instituto Electoral y de Participación Ciudadana de Tabasco.</w:t>
            </w:r>
          </w:p>
        </w:tc>
      </w:tr>
      <w:tr w:rsidR="00497A27" w:rsidRPr="00B7341E" w14:paraId="5D79FD90" w14:textId="77777777" w:rsidTr="00594B1C">
        <w:trPr>
          <w:trHeight w:val="624"/>
          <w:jc w:val="center"/>
        </w:trPr>
        <w:tc>
          <w:tcPr>
            <w:tcW w:w="2042" w:type="pct"/>
            <w:shd w:val="clear" w:color="auto" w:fill="auto"/>
            <w:vAlign w:val="center"/>
          </w:tcPr>
          <w:p w14:paraId="5B565AAE" w14:textId="77777777" w:rsidR="00497A27" w:rsidRPr="00B7341E" w:rsidRDefault="00497A27" w:rsidP="00B7341E">
            <w:pPr>
              <w:spacing w:before="60" w:after="60"/>
              <w:ind w:left="57"/>
              <w:jc w:val="right"/>
              <w:rPr>
                <w:b/>
                <w:sz w:val="22"/>
              </w:rPr>
            </w:pPr>
            <w:r w:rsidRPr="00B7341E">
              <w:rPr>
                <w:b/>
                <w:sz w:val="22"/>
              </w:rPr>
              <w:t>Consejo Estatal:</w:t>
            </w:r>
          </w:p>
        </w:tc>
        <w:tc>
          <w:tcPr>
            <w:tcW w:w="2958" w:type="pct"/>
            <w:shd w:val="clear" w:color="auto" w:fill="auto"/>
            <w:vAlign w:val="center"/>
          </w:tcPr>
          <w:p w14:paraId="1AE1A4BF" w14:textId="77777777" w:rsidR="00497A27" w:rsidRPr="00B7341E" w:rsidRDefault="00497A27" w:rsidP="00B7341E">
            <w:pPr>
              <w:spacing w:before="60" w:after="60"/>
              <w:ind w:left="57"/>
              <w:rPr>
                <w:sz w:val="22"/>
              </w:rPr>
            </w:pPr>
            <w:r w:rsidRPr="00B7341E">
              <w:rPr>
                <w:sz w:val="22"/>
              </w:rPr>
              <w:t>Consejo Estatal del Instituto Electoral y de Participación Ciudadana de Tabasco.</w:t>
            </w:r>
          </w:p>
        </w:tc>
      </w:tr>
      <w:tr w:rsidR="00497A27" w:rsidRPr="00B7341E" w14:paraId="7165535A" w14:textId="77777777" w:rsidTr="00594B1C">
        <w:trPr>
          <w:trHeight w:val="624"/>
          <w:jc w:val="center"/>
        </w:trPr>
        <w:tc>
          <w:tcPr>
            <w:tcW w:w="2042" w:type="pct"/>
            <w:shd w:val="clear" w:color="auto" w:fill="auto"/>
            <w:vAlign w:val="center"/>
          </w:tcPr>
          <w:p w14:paraId="2C0176C6" w14:textId="77777777" w:rsidR="00497A27" w:rsidRPr="00B7341E" w:rsidRDefault="00497A27" w:rsidP="00B7341E">
            <w:pPr>
              <w:spacing w:before="60" w:after="60"/>
              <w:ind w:left="57"/>
              <w:jc w:val="right"/>
              <w:rPr>
                <w:b/>
                <w:sz w:val="22"/>
              </w:rPr>
            </w:pPr>
            <w:r w:rsidRPr="00B7341E">
              <w:rPr>
                <w:b/>
                <w:sz w:val="22"/>
              </w:rPr>
              <w:t>Constitución Federal:</w:t>
            </w:r>
          </w:p>
        </w:tc>
        <w:tc>
          <w:tcPr>
            <w:tcW w:w="2958" w:type="pct"/>
            <w:shd w:val="clear" w:color="auto" w:fill="auto"/>
            <w:vAlign w:val="center"/>
          </w:tcPr>
          <w:p w14:paraId="4F364E44" w14:textId="77777777" w:rsidR="00497A27" w:rsidRPr="00B7341E" w:rsidRDefault="00497A27" w:rsidP="00B7341E">
            <w:pPr>
              <w:spacing w:before="60" w:after="60"/>
              <w:ind w:left="57"/>
              <w:rPr>
                <w:sz w:val="22"/>
              </w:rPr>
            </w:pPr>
            <w:r w:rsidRPr="00B7341E">
              <w:rPr>
                <w:sz w:val="22"/>
              </w:rPr>
              <w:t>Constitución Política de los Estados Unidos Mexicanos.</w:t>
            </w:r>
          </w:p>
        </w:tc>
      </w:tr>
      <w:tr w:rsidR="00497A27" w:rsidRPr="00B7341E" w14:paraId="12B4525F" w14:textId="77777777" w:rsidTr="00594B1C">
        <w:trPr>
          <w:trHeight w:val="624"/>
          <w:jc w:val="center"/>
        </w:trPr>
        <w:tc>
          <w:tcPr>
            <w:tcW w:w="2042" w:type="pct"/>
            <w:shd w:val="clear" w:color="auto" w:fill="auto"/>
            <w:vAlign w:val="center"/>
          </w:tcPr>
          <w:p w14:paraId="573B9CEE" w14:textId="77777777" w:rsidR="00497A27" w:rsidRPr="00B7341E" w:rsidRDefault="00497A27" w:rsidP="00B7341E">
            <w:pPr>
              <w:spacing w:before="60" w:after="60"/>
              <w:ind w:left="57"/>
              <w:jc w:val="right"/>
              <w:rPr>
                <w:b/>
                <w:sz w:val="22"/>
              </w:rPr>
            </w:pPr>
            <w:r w:rsidRPr="00B7341E">
              <w:rPr>
                <w:b/>
                <w:sz w:val="22"/>
              </w:rPr>
              <w:t>Constitución Local:</w:t>
            </w:r>
          </w:p>
        </w:tc>
        <w:tc>
          <w:tcPr>
            <w:tcW w:w="2958" w:type="pct"/>
            <w:shd w:val="clear" w:color="auto" w:fill="auto"/>
            <w:vAlign w:val="center"/>
          </w:tcPr>
          <w:p w14:paraId="25002C68" w14:textId="77777777" w:rsidR="00497A27" w:rsidRPr="00B7341E" w:rsidRDefault="00497A27" w:rsidP="00B7341E">
            <w:pPr>
              <w:spacing w:before="60" w:after="60"/>
              <w:ind w:left="57"/>
              <w:rPr>
                <w:sz w:val="22"/>
              </w:rPr>
            </w:pPr>
            <w:r w:rsidRPr="00B7341E">
              <w:rPr>
                <w:sz w:val="22"/>
              </w:rPr>
              <w:t>Constitución Política del Estado Libre y Soberano de Tabasco.</w:t>
            </w:r>
          </w:p>
        </w:tc>
      </w:tr>
      <w:tr w:rsidR="00497A27" w:rsidRPr="00B7341E" w14:paraId="785EF95F" w14:textId="77777777" w:rsidTr="00594B1C">
        <w:trPr>
          <w:trHeight w:val="624"/>
          <w:jc w:val="center"/>
        </w:trPr>
        <w:tc>
          <w:tcPr>
            <w:tcW w:w="2042" w:type="pct"/>
            <w:shd w:val="clear" w:color="auto" w:fill="auto"/>
            <w:vAlign w:val="center"/>
          </w:tcPr>
          <w:p w14:paraId="2AC8D005" w14:textId="77777777" w:rsidR="00497A27" w:rsidRPr="00B7341E" w:rsidRDefault="00497A27" w:rsidP="00B7341E">
            <w:pPr>
              <w:spacing w:before="60" w:after="60"/>
              <w:ind w:left="57"/>
              <w:jc w:val="right"/>
              <w:rPr>
                <w:b/>
                <w:sz w:val="22"/>
              </w:rPr>
            </w:pPr>
            <w:r>
              <w:rPr>
                <w:b/>
                <w:sz w:val="22"/>
              </w:rPr>
              <w:t>Estatuto:</w:t>
            </w:r>
          </w:p>
        </w:tc>
        <w:tc>
          <w:tcPr>
            <w:tcW w:w="2958" w:type="pct"/>
            <w:shd w:val="clear" w:color="auto" w:fill="auto"/>
            <w:vAlign w:val="center"/>
          </w:tcPr>
          <w:p w14:paraId="74E10A8F" w14:textId="77777777" w:rsidR="00497A27" w:rsidRPr="00B7341E" w:rsidRDefault="00497A27" w:rsidP="00035CDF">
            <w:pPr>
              <w:spacing w:before="60" w:after="60"/>
              <w:ind w:left="57"/>
              <w:rPr>
                <w:sz w:val="22"/>
              </w:rPr>
            </w:pPr>
            <w:r w:rsidRPr="009231A8">
              <w:rPr>
                <w:sz w:val="22"/>
              </w:rPr>
              <w:t>Estatuto del Servicio Profesional</w:t>
            </w:r>
            <w:r>
              <w:rPr>
                <w:sz w:val="22"/>
              </w:rPr>
              <w:t xml:space="preserve"> Electoral Nacional y de la Rama Administrativa aprobado por el Instituto Nacional Electoral.</w:t>
            </w:r>
          </w:p>
        </w:tc>
      </w:tr>
      <w:tr w:rsidR="00497A27" w:rsidRPr="00B7341E" w14:paraId="1C76108F" w14:textId="77777777" w:rsidTr="00594B1C">
        <w:trPr>
          <w:trHeight w:val="624"/>
          <w:jc w:val="center"/>
        </w:trPr>
        <w:tc>
          <w:tcPr>
            <w:tcW w:w="2042" w:type="pct"/>
            <w:shd w:val="clear" w:color="auto" w:fill="auto"/>
            <w:vAlign w:val="center"/>
          </w:tcPr>
          <w:p w14:paraId="6E91A13A" w14:textId="77777777" w:rsidR="00497A27" w:rsidRPr="00B7341E" w:rsidRDefault="00497A27" w:rsidP="00B7341E">
            <w:pPr>
              <w:spacing w:before="60" w:after="60"/>
              <w:ind w:left="57"/>
              <w:jc w:val="right"/>
              <w:rPr>
                <w:b/>
                <w:sz w:val="22"/>
              </w:rPr>
            </w:pPr>
            <w:r w:rsidRPr="00B7341E">
              <w:rPr>
                <w:b/>
                <w:sz w:val="22"/>
              </w:rPr>
              <w:t>INE:</w:t>
            </w:r>
          </w:p>
        </w:tc>
        <w:tc>
          <w:tcPr>
            <w:tcW w:w="2958" w:type="pct"/>
            <w:shd w:val="clear" w:color="auto" w:fill="auto"/>
            <w:vAlign w:val="center"/>
          </w:tcPr>
          <w:p w14:paraId="63E327AD" w14:textId="77777777" w:rsidR="00497A27" w:rsidRPr="00B7341E" w:rsidRDefault="00497A27" w:rsidP="00B7341E">
            <w:pPr>
              <w:spacing w:before="60" w:after="60"/>
              <w:ind w:left="57"/>
              <w:rPr>
                <w:sz w:val="22"/>
              </w:rPr>
            </w:pPr>
            <w:r w:rsidRPr="00B7341E">
              <w:rPr>
                <w:sz w:val="22"/>
              </w:rPr>
              <w:t>Instituto Nacional Electoral.</w:t>
            </w:r>
          </w:p>
        </w:tc>
      </w:tr>
      <w:tr w:rsidR="00497A27" w:rsidRPr="00B7341E" w14:paraId="4C2D87A7" w14:textId="77777777" w:rsidTr="00594B1C">
        <w:trPr>
          <w:trHeight w:val="624"/>
          <w:jc w:val="center"/>
        </w:trPr>
        <w:tc>
          <w:tcPr>
            <w:tcW w:w="2042" w:type="pct"/>
            <w:shd w:val="clear" w:color="auto" w:fill="auto"/>
            <w:vAlign w:val="center"/>
          </w:tcPr>
          <w:p w14:paraId="78660953" w14:textId="77777777" w:rsidR="00497A27" w:rsidRPr="00B7341E" w:rsidRDefault="00497A27" w:rsidP="00B7341E">
            <w:pPr>
              <w:spacing w:before="60" w:after="60"/>
              <w:ind w:left="57"/>
              <w:jc w:val="right"/>
              <w:rPr>
                <w:b/>
                <w:sz w:val="22"/>
              </w:rPr>
            </w:pPr>
            <w:r w:rsidRPr="00B7341E">
              <w:rPr>
                <w:b/>
                <w:sz w:val="22"/>
              </w:rPr>
              <w:t>Instituto Electoral:</w:t>
            </w:r>
          </w:p>
        </w:tc>
        <w:tc>
          <w:tcPr>
            <w:tcW w:w="2958" w:type="pct"/>
            <w:shd w:val="clear" w:color="auto" w:fill="auto"/>
          </w:tcPr>
          <w:p w14:paraId="7D80AB03" w14:textId="77777777" w:rsidR="00497A27" w:rsidRPr="00B7341E" w:rsidRDefault="00497A27" w:rsidP="00B7341E">
            <w:pPr>
              <w:spacing w:before="60" w:after="60"/>
              <w:ind w:left="57"/>
              <w:rPr>
                <w:sz w:val="22"/>
              </w:rPr>
            </w:pPr>
            <w:r w:rsidRPr="00B7341E">
              <w:rPr>
                <w:sz w:val="22"/>
              </w:rPr>
              <w:t>Instituto Electoral y de Participación Ciudadana de Tabasco.</w:t>
            </w:r>
          </w:p>
        </w:tc>
      </w:tr>
      <w:tr w:rsidR="00497A27" w:rsidRPr="00B7341E" w14:paraId="6AFDEE9E" w14:textId="77777777" w:rsidTr="00594B1C">
        <w:trPr>
          <w:trHeight w:val="624"/>
          <w:jc w:val="center"/>
        </w:trPr>
        <w:tc>
          <w:tcPr>
            <w:tcW w:w="2042" w:type="pct"/>
            <w:shd w:val="clear" w:color="auto" w:fill="auto"/>
            <w:vAlign w:val="center"/>
          </w:tcPr>
          <w:p w14:paraId="7459C4BB" w14:textId="77777777" w:rsidR="00497A27" w:rsidRPr="00B7341E" w:rsidRDefault="00497A27" w:rsidP="00B7341E">
            <w:pPr>
              <w:spacing w:before="60" w:after="60"/>
              <w:ind w:left="57"/>
              <w:jc w:val="right"/>
              <w:rPr>
                <w:b/>
                <w:sz w:val="22"/>
              </w:rPr>
            </w:pPr>
            <w:r w:rsidRPr="00B7341E">
              <w:rPr>
                <w:b/>
                <w:sz w:val="22"/>
              </w:rPr>
              <w:t>Ley Electoral:</w:t>
            </w:r>
          </w:p>
        </w:tc>
        <w:tc>
          <w:tcPr>
            <w:tcW w:w="2958" w:type="pct"/>
            <w:shd w:val="clear" w:color="auto" w:fill="auto"/>
            <w:vAlign w:val="center"/>
          </w:tcPr>
          <w:p w14:paraId="32DD3318" w14:textId="77777777" w:rsidR="00497A27" w:rsidRPr="00B7341E" w:rsidRDefault="00497A27" w:rsidP="00B7341E">
            <w:pPr>
              <w:spacing w:before="60" w:after="60"/>
              <w:ind w:left="57"/>
              <w:rPr>
                <w:sz w:val="22"/>
              </w:rPr>
            </w:pPr>
            <w:r w:rsidRPr="00B7341E">
              <w:rPr>
                <w:sz w:val="22"/>
              </w:rPr>
              <w:t>Ley Electoral y de Partidos Políticos del Estado de Tabasco.</w:t>
            </w:r>
          </w:p>
        </w:tc>
      </w:tr>
      <w:tr w:rsidR="00497A27" w:rsidRPr="00B7341E" w14:paraId="5B7215CA" w14:textId="77777777" w:rsidTr="00594B1C">
        <w:trPr>
          <w:trHeight w:val="624"/>
          <w:jc w:val="center"/>
        </w:trPr>
        <w:tc>
          <w:tcPr>
            <w:tcW w:w="2042" w:type="pct"/>
            <w:shd w:val="clear" w:color="auto" w:fill="auto"/>
            <w:vAlign w:val="center"/>
          </w:tcPr>
          <w:p w14:paraId="2AB80781" w14:textId="77777777" w:rsidR="00497A27" w:rsidRPr="00B7341E" w:rsidRDefault="00497A27" w:rsidP="00B7341E">
            <w:pPr>
              <w:spacing w:before="60" w:after="60"/>
              <w:ind w:left="57"/>
              <w:jc w:val="right"/>
              <w:rPr>
                <w:b/>
                <w:sz w:val="22"/>
              </w:rPr>
            </w:pPr>
            <w:r w:rsidRPr="00B7341E">
              <w:rPr>
                <w:b/>
                <w:sz w:val="22"/>
              </w:rPr>
              <w:t>Ley General:</w:t>
            </w:r>
          </w:p>
        </w:tc>
        <w:tc>
          <w:tcPr>
            <w:tcW w:w="2958" w:type="pct"/>
            <w:shd w:val="clear" w:color="auto" w:fill="auto"/>
            <w:vAlign w:val="center"/>
          </w:tcPr>
          <w:p w14:paraId="7104AD1D" w14:textId="77777777" w:rsidR="00497A27" w:rsidRPr="00B7341E" w:rsidRDefault="00497A27" w:rsidP="00B7341E">
            <w:pPr>
              <w:spacing w:before="60" w:after="60"/>
              <w:ind w:left="57"/>
              <w:rPr>
                <w:sz w:val="22"/>
              </w:rPr>
            </w:pPr>
            <w:r w:rsidRPr="00B7341E">
              <w:rPr>
                <w:sz w:val="22"/>
              </w:rPr>
              <w:t>Ley General de Instituciones y Procedimientos Electorales.</w:t>
            </w:r>
          </w:p>
        </w:tc>
      </w:tr>
      <w:tr w:rsidR="00497A27" w:rsidRPr="00B7341E" w14:paraId="3F66D471" w14:textId="77777777" w:rsidTr="00594B1C">
        <w:trPr>
          <w:trHeight w:val="624"/>
          <w:jc w:val="center"/>
        </w:trPr>
        <w:tc>
          <w:tcPr>
            <w:tcW w:w="2042" w:type="pct"/>
            <w:shd w:val="clear" w:color="auto" w:fill="auto"/>
            <w:vAlign w:val="center"/>
          </w:tcPr>
          <w:p w14:paraId="42BAC1B8" w14:textId="77777777" w:rsidR="00497A27" w:rsidRPr="00B7341E" w:rsidRDefault="00497A27" w:rsidP="00B7341E">
            <w:pPr>
              <w:spacing w:before="60" w:after="60"/>
              <w:ind w:left="57"/>
              <w:jc w:val="right"/>
              <w:rPr>
                <w:b/>
                <w:sz w:val="22"/>
              </w:rPr>
            </w:pPr>
            <w:r w:rsidRPr="00B7341E">
              <w:rPr>
                <w:b/>
                <w:sz w:val="22"/>
              </w:rPr>
              <w:lastRenderedPageBreak/>
              <w:t>Organismo electoral:</w:t>
            </w:r>
          </w:p>
        </w:tc>
        <w:tc>
          <w:tcPr>
            <w:tcW w:w="2958" w:type="pct"/>
            <w:shd w:val="clear" w:color="auto" w:fill="auto"/>
            <w:vAlign w:val="center"/>
          </w:tcPr>
          <w:p w14:paraId="11A699CC" w14:textId="77777777" w:rsidR="00497A27" w:rsidRPr="00B7341E" w:rsidRDefault="00497A27" w:rsidP="00B7341E">
            <w:pPr>
              <w:spacing w:before="60" w:after="60"/>
              <w:ind w:left="57"/>
              <w:rPr>
                <w:sz w:val="22"/>
              </w:rPr>
            </w:pPr>
            <w:r w:rsidRPr="00B7341E">
              <w:rPr>
                <w:sz w:val="22"/>
              </w:rPr>
              <w:t xml:space="preserve">Organismo(s) público(s) local(es) electoral(es). </w:t>
            </w:r>
          </w:p>
        </w:tc>
      </w:tr>
      <w:tr w:rsidR="00497A27" w:rsidRPr="00B7341E" w14:paraId="1124FFE8" w14:textId="77777777" w:rsidTr="00594B1C">
        <w:trPr>
          <w:trHeight w:val="624"/>
          <w:jc w:val="center"/>
        </w:trPr>
        <w:tc>
          <w:tcPr>
            <w:tcW w:w="2042" w:type="pct"/>
            <w:shd w:val="clear" w:color="auto" w:fill="auto"/>
            <w:vAlign w:val="center"/>
          </w:tcPr>
          <w:p w14:paraId="66F0C8C4" w14:textId="77777777" w:rsidR="00497A27" w:rsidRPr="00B7341E" w:rsidRDefault="00497A27" w:rsidP="00B7341E">
            <w:pPr>
              <w:spacing w:before="60" w:after="60"/>
              <w:ind w:left="57"/>
              <w:jc w:val="right"/>
              <w:rPr>
                <w:b/>
                <w:sz w:val="22"/>
              </w:rPr>
            </w:pPr>
            <w:r w:rsidRPr="00B7341E">
              <w:rPr>
                <w:b/>
                <w:sz w:val="22"/>
              </w:rPr>
              <w:t>Reglamento de Comisiones:</w:t>
            </w:r>
          </w:p>
        </w:tc>
        <w:tc>
          <w:tcPr>
            <w:tcW w:w="2958" w:type="pct"/>
            <w:shd w:val="clear" w:color="auto" w:fill="auto"/>
            <w:vAlign w:val="center"/>
          </w:tcPr>
          <w:p w14:paraId="3E52FF9D" w14:textId="77777777" w:rsidR="00497A27" w:rsidRPr="00B7341E" w:rsidRDefault="00497A27" w:rsidP="00B7341E">
            <w:pPr>
              <w:spacing w:before="60" w:after="60"/>
              <w:ind w:left="57"/>
              <w:rPr>
                <w:sz w:val="22"/>
              </w:rPr>
            </w:pPr>
            <w:r w:rsidRPr="00B7341E">
              <w:rPr>
                <w:sz w:val="22"/>
              </w:rPr>
              <w:t>Reglamento de Comisiones del Consejo Estatal.</w:t>
            </w:r>
          </w:p>
        </w:tc>
      </w:tr>
      <w:tr w:rsidR="00497A27" w:rsidRPr="00B7341E" w14:paraId="19C0B43B" w14:textId="77777777" w:rsidTr="00594B1C">
        <w:trPr>
          <w:trHeight w:val="624"/>
          <w:jc w:val="center"/>
        </w:trPr>
        <w:tc>
          <w:tcPr>
            <w:tcW w:w="2042" w:type="pct"/>
            <w:shd w:val="clear" w:color="auto" w:fill="auto"/>
            <w:vAlign w:val="center"/>
          </w:tcPr>
          <w:p w14:paraId="537A20E6" w14:textId="77777777" w:rsidR="00497A27" w:rsidRPr="00B7341E" w:rsidRDefault="00497A27" w:rsidP="00B7341E">
            <w:pPr>
              <w:spacing w:before="60" w:after="60"/>
              <w:ind w:left="57"/>
              <w:jc w:val="right"/>
              <w:rPr>
                <w:b/>
                <w:sz w:val="22"/>
              </w:rPr>
            </w:pPr>
            <w:r w:rsidRPr="00B7341E">
              <w:rPr>
                <w:b/>
                <w:sz w:val="22"/>
              </w:rPr>
              <w:t>Secretaría Ejecutiva:</w:t>
            </w:r>
          </w:p>
        </w:tc>
        <w:tc>
          <w:tcPr>
            <w:tcW w:w="2958" w:type="pct"/>
            <w:shd w:val="clear" w:color="auto" w:fill="auto"/>
            <w:vAlign w:val="center"/>
          </w:tcPr>
          <w:p w14:paraId="0F4D0B8C" w14:textId="77777777" w:rsidR="00497A27" w:rsidRPr="00B7341E" w:rsidRDefault="00497A27" w:rsidP="00B7341E">
            <w:pPr>
              <w:spacing w:before="60" w:after="60"/>
              <w:ind w:left="57"/>
              <w:rPr>
                <w:sz w:val="22"/>
              </w:rPr>
            </w:pPr>
            <w:r w:rsidRPr="00B7341E">
              <w:rPr>
                <w:sz w:val="22"/>
              </w:rPr>
              <w:t>Secretaría Ejecutiva del Instituto Electoral y de Participación Ciudadana de Tabasco.</w:t>
            </w:r>
          </w:p>
        </w:tc>
      </w:tr>
      <w:tr w:rsidR="00497A27" w:rsidRPr="00B7341E" w14:paraId="73AAA0EE" w14:textId="77777777" w:rsidTr="00594B1C">
        <w:trPr>
          <w:trHeight w:val="624"/>
          <w:jc w:val="center"/>
        </w:trPr>
        <w:tc>
          <w:tcPr>
            <w:tcW w:w="2042" w:type="pct"/>
            <w:shd w:val="clear" w:color="auto" w:fill="auto"/>
            <w:vAlign w:val="center"/>
          </w:tcPr>
          <w:p w14:paraId="10CF0205" w14:textId="77777777" w:rsidR="00497A27" w:rsidRPr="00B7341E" w:rsidRDefault="00497A27" w:rsidP="00B7341E">
            <w:pPr>
              <w:spacing w:before="60" w:after="60"/>
              <w:ind w:left="57"/>
              <w:jc w:val="right"/>
              <w:rPr>
                <w:b/>
                <w:sz w:val="22"/>
              </w:rPr>
            </w:pPr>
            <w:r w:rsidRPr="00B7341E">
              <w:rPr>
                <w:b/>
                <w:sz w:val="22"/>
              </w:rPr>
              <w:t>Servicio Profesional:</w:t>
            </w:r>
          </w:p>
        </w:tc>
        <w:tc>
          <w:tcPr>
            <w:tcW w:w="2958" w:type="pct"/>
            <w:shd w:val="clear" w:color="auto" w:fill="auto"/>
            <w:vAlign w:val="center"/>
          </w:tcPr>
          <w:p w14:paraId="708D3156" w14:textId="77777777" w:rsidR="00497A27" w:rsidRPr="00B7341E" w:rsidRDefault="00497A27" w:rsidP="00B7341E">
            <w:pPr>
              <w:spacing w:before="60" w:after="60"/>
              <w:ind w:left="57"/>
              <w:rPr>
                <w:sz w:val="22"/>
              </w:rPr>
            </w:pPr>
            <w:r w:rsidRPr="00B7341E">
              <w:rPr>
                <w:sz w:val="22"/>
              </w:rPr>
              <w:t>Servicio Profesional Electoral Nacional.</w:t>
            </w:r>
          </w:p>
        </w:tc>
      </w:tr>
    </w:tbl>
    <w:p w14:paraId="53849C8A" w14:textId="38284D38" w:rsidR="00D51AD4" w:rsidRPr="009A09D4" w:rsidRDefault="00D51AD4" w:rsidP="002A5C36">
      <w:pPr>
        <w:pStyle w:val="Ttulo1"/>
        <w:spacing w:line="295" w:lineRule="auto"/>
      </w:pPr>
      <w:r w:rsidRPr="009A09D4">
        <w:t>Antecedentes</w:t>
      </w:r>
    </w:p>
    <w:p w14:paraId="21763D44" w14:textId="423D6649" w:rsidR="00D51AD4" w:rsidRPr="009A09D4" w:rsidRDefault="00D51AD4" w:rsidP="002A5C36">
      <w:pPr>
        <w:pStyle w:val="Ttulo2"/>
        <w:spacing w:line="295" w:lineRule="auto"/>
      </w:pPr>
      <w:r w:rsidRPr="009A09D4">
        <w:t xml:space="preserve">Integración de la </w:t>
      </w:r>
      <w:r w:rsidR="00A7647A">
        <w:t>Comisión de Seguimiento</w:t>
      </w:r>
    </w:p>
    <w:p w14:paraId="50191918" w14:textId="3F50EA06" w:rsidR="00D51AD4" w:rsidRPr="009A09D4" w:rsidRDefault="00D51AD4" w:rsidP="002A5C36">
      <w:pPr>
        <w:spacing w:line="295" w:lineRule="auto"/>
      </w:pPr>
      <w:r w:rsidRPr="009A09D4">
        <w:t>El 08 de octubre del 2020</w:t>
      </w:r>
      <w:r w:rsidR="007B7B44" w:rsidRPr="009A09D4">
        <w:t xml:space="preserve">, </w:t>
      </w:r>
      <w:r w:rsidR="001F56DA" w:rsidRPr="009A09D4">
        <w:t>en cumplimiento a lo que señala el artículo 113 de la Ley Electoral</w:t>
      </w:r>
      <w:r w:rsidR="00C071C0" w:rsidRPr="009A09D4">
        <w:t xml:space="preserve">, </w:t>
      </w:r>
      <w:r w:rsidR="007B7B44" w:rsidRPr="009A09D4">
        <w:t xml:space="preserve">el Consejo Estatal mediante acuerdo CE/2020/43, </w:t>
      </w:r>
      <w:r w:rsidRPr="009A09D4">
        <w:t xml:space="preserve">constituyó la </w:t>
      </w:r>
      <w:r w:rsidR="00A7647A">
        <w:t>Comisión de Seguimiento</w:t>
      </w:r>
      <w:r w:rsidR="007F1038" w:rsidRPr="009A09D4">
        <w:t>,</w:t>
      </w:r>
      <w:r w:rsidRPr="009A09D4">
        <w:t xml:space="preserve"> la cual en términos del artículo 1</w:t>
      </w:r>
      <w:r w:rsidR="00E92057" w:rsidRPr="009A09D4">
        <w:t>9</w:t>
      </w:r>
      <w:r w:rsidRPr="009A09D4">
        <w:t xml:space="preserve"> del Reglamento de Comisiones, </w:t>
      </w:r>
      <w:r w:rsidR="00E92057" w:rsidRPr="009A09D4">
        <w:t>quedó integrada por la</w:t>
      </w:r>
      <w:r w:rsidR="00CA2026">
        <w:t xml:space="preserve"> Consejera Electoral</w:t>
      </w:r>
      <w:r w:rsidR="00E92057" w:rsidRPr="009A09D4">
        <w:t xml:space="preserve">, Mtra. Rosselvy del Carmen Domínguez Arévalo, </w:t>
      </w:r>
      <w:r w:rsidR="00CA2026">
        <w:t xml:space="preserve">y los Consejeros Electorales, Lic. Hernán González Sala y </w:t>
      </w:r>
      <w:r w:rsidR="00E92057" w:rsidRPr="009A09D4">
        <w:t>Lic. Vladimir Hernández Venegas</w:t>
      </w:r>
      <w:r w:rsidRPr="009A09D4">
        <w:t>.</w:t>
      </w:r>
    </w:p>
    <w:p w14:paraId="6DE47AD1" w14:textId="585FE260" w:rsidR="00D51AD4" w:rsidRPr="009A09D4" w:rsidRDefault="00D51AD4" w:rsidP="002A5C36">
      <w:pPr>
        <w:pStyle w:val="Ttulo2"/>
        <w:spacing w:line="295" w:lineRule="auto"/>
      </w:pPr>
      <w:r w:rsidRPr="009A09D4">
        <w:t>Ratificación de la Presidencia de la Comisión</w:t>
      </w:r>
    </w:p>
    <w:p w14:paraId="7148A09B" w14:textId="7E7F1519" w:rsidR="00D51AD4" w:rsidRPr="009A09D4" w:rsidRDefault="00D51AD4" w:rsidP="002A5C36">
      <w:pPr>
        <w:spacing w:line="295" w:lineRule="auto"/>
      </w:pPr>
      <w:r w:rsidRPr="009A09D4">
        <w:t>El 31 de octubre de 2022, el Consejo Estatal</w:t>
      </w:r>
      <w:r w:rsidR="007F1038" w:rsidRPr="009A09D4">
        <w:t>,</w:t>
      </w:r>
      <w:r w:rsidRPr="009A09D4">
        <w:t xml:space="preserve"> mediante acuerdo CE/2022/032</w:t>
      </w:r>
      <w:r w:rsidR="007F1038" w:rsidRPr="009A09D4">
        <w:t>,</w:t>
      </w:r>
      <w:r w:rsidRPr="009A09D4">
        <w:t xml:space="preserve"> ratificó a las Consejeras y Consejeros Electorales que asumieron las Presidencias de las Comisiones Permanentes de Organización Electoral y Educación Cívica, de Denuncias y Quejas</w:t>
      </w:r>
      <w:r w:rsidR="00152F39" w:rsidRPr="009A09D4">
        <w:t>,</w:t>
      </w:r>
      <w:r w:rsidRPr="009A09D4">
        <w:t xml:space="preserve"> de Seguimiento al Servicio Profesional Electoral Nacional</w:t>
      </w:r>
      <w:r w:rsidR="00152F39" w:rsidRPr="009A09D4">
        <w:t>,</w:t>
      </w:r>
      <w:r w:rsidRPr="009A09D4">
        <w:t xml:space="preserve"> y de Igualdad de Género y no Discriminación.</w:t>
      </w:r>
    </w:p>
    <w:p w14:paraId="4741F56C" w14:textId="4E5BFF34" w:rsidR="006279B8" w:rsidRPr="009A09D4" w:rsidRDefault="006279B8" w:rsidP="002A5C36">
      <w:pPr>
        <w:spacing w:line="295" w:lineRule="auto"/>
      </w:pPr>
      <w:r w:rsidRPr="009A09D4">
        <w:t xml:space="preserve">En el caso de la </w:t>
      </w:r>
      <w:r w:rsidR="00A7647A">
        <w:t>Comisión de Seguimiento</w:t>
      </w:r>
      <w:r w:rsidRPr="009A09D4">
        <w:t>, se ratificó la Presidencia a cargo del Consejero Electoral, Mtro. Vladimir Hernández Venegas.</w:t>
      </w:r>
    </w:p>
    <w:p w14:paraId="43BB56FF" w14:textId="7973104B" w:rsidR="00D51AD4" w:rsidRPr="009A09D4" w:rsidRDefault="00C447F8" w:rsidP="002A5C36">
      <w:pPr>
        <w:pStyle w:val="Ttulo2"/>
        <w:spacing w:line="295" w:lineRule="auto"/>
      </w:pPr>
      <w:r w:rsidRPr="009A09D4">
        <w:t>Calendario de Sesiones</w:t>
      </w:r>
    </w:p>
    <w:p w14:paraId="05055E97" w14:textId="0E5F6CB0" w:rsidR="00D51AD4" w:rsidRPr="009A09D4" w:rsidRDefault="00D51AD4" w:rsidP="002A5C36">
      <w:pPr>
        <w:spacing w:line="295" w:lineRule="auto"/>
      </w:pPr>
      <w:r w:rsidRPr="009A09D4">
        <w:t xml:space="preserve">El </w:t>
      </w:r>
      <w:r w:rsidR="005F2C05" w:rsidRPr="009A09D4">
        <w:t>2</w:t>
      </w:r>
      <w:r w:rsidR="00730F60">
        <w:t>1</w:t>
      </w:r>
      <w:r w:rsidR="005F2C05" w:rsidRPr="009A09D4">
        <w:t xml:space="preserve"> de diciembre de 2022, </w:t>
      </w:r>
      <w:r w:rsidR="00415BF4" w:rsidRPr="009A09D4">
        <w:t xml:space="preserve">a propuesta de su Presidencia, </w:t>
      </w:r>
      <w:r w:rsidR="005F2C05" w:rsidRPr="009A09D4">
        <w:t xml:space="preserve">el Consejo Estatal aprobó el Calendario Anual de Sesiones Ordinarias correspondiente al ejercicio 2023. </w:t>
      </w:r>
    </w:p>
    <w:p w14:paraId="3A0A7430" w14:textId="7E40A642" w:rsidR="00D51AD4" w:rsidRPr="009A09D4" w:rsidRDefault="00D51AD4" w:rsidP="002A5C36">
      <w:pPr>
        <w:pStyle w:val="Ttulo2"/>
        <w:spacing w:line="295" w:lineRule="auto"/>
      </w:pPr>
      <w:r w:rsidRPr="009A09D4">
        <w:lastRenderedPageBreak/>
        <w:t xml:space="preserve">Presentación </w:t>
      </w:r>
      <w:r w:rsidR="005C52DB" w:rsidRPr="009A09D4">
        <w:t xml:space="preserve">de la Propuesta </w:t>
      </w:r>
      <w:r w:rsidR="00852000" w:rsidRPr="009A09D4">
        <w:t xml:space="preserve">de </w:t>
      </w:r>
      <w:r w:rsidRPr="009A09D4">
        <w:t>Programa Anual de Trabajo</w:t>
      </w:r>
    </w:p>
    <w:p w14:paraId="3AB744AC" w14:textId="61ADBAE8" w:rsidR="00F87845" w:rsidRDefault="00F87845" w:rsidP="002A5C36">
      <w:pPr>
        <w:spacing w:line="295" w:lineRule="auto"/>
      </w:pPr>
      <w:r w:rsidRPr="009A09D4">
        <w:t xml:space="preserve">El </w:t>
      </w:r>
      <w:r>
        <w:t>2</w:t>
      </w:r>
      <w:r w:rsidR="007D2F0C">
        <w:t>6</w:t>
      </w:r>
      <w:r w:rsidRPr="009A09D4">
        <w:t xml:space="preserve"> de enero de 2023, la Secretaria Técnica</w:t>
      </w:r>
      <w:r>
        <w:t xml:space="preserve"> de la </w:t>
      </w:r>
      <w:r w:rsidR="00A7647A">
        <w:t>Comisión de Seguimiento</w:t>
      </w:r>
      <w:r>
        <w:t>,</w:t>
      </w:r>
      <w:r w:rsidRPr="009A09D4">
        <w:t xml:space="preserve"> mediante oficio </w:t>
      </w:r>
      <w:r w:rsidR="007D2F0C">
        <w:t>OESPEN/SE/007/2023,</w:t>
      </w:r>
      <w:r w:rsidRPr="009A09D4">
        <w:t xml:space="preserve"> remitió a la Presidencia del Consejo</w:t>
      </w:r>
      <w:r>
        <w:t xml:space="preserve"> el </w:t>
      </w:r>
      <w:r w:rsidRPr="009A09D4">
        <w:t xml:space="preserve">Programa Anual de Trabajo </w:t>
      </w:r>
      <w:r>
        <w:t xml:space="preserve">propuesto </w:t>
      </w:r>
      <w:r w:rsidRPr="009A09D4">
        <w:t xml:space="preserve">por </w:t>
      </w:r>
      <w:r>
        <w:t xml:space="preserve">dicha </w:t>
      </w:r>
      <w:r w:rsidRPr="009A09D4">
        <w:t>Comisión</w:t>
      </w:r>
      <w:r>
        <w:t>, para su presentación y deliberación por parte de este Consejo Estatal.</w:t>
      </w:r>
    </w:p>
    <w:p w14:paraId="403C6F94" w14:textId="77777777" w:rsidR="00D51AD4" w:rsidRPr="009A09D4" w:rsidRDefault="00D51AD4" w:rsidP="002A5C36">
      <w:pPr>
        <w:pStyle w:val="Ttulo1"/>
        <w:spacing w:line="295" w:lineRule="auto"/>
      </w:pPr>
      <w:r w:rsidRPr="009A09D4">
        <w:t>Considerando</w:t>
      </w:r>
    </w:p>
    <w:p w14:paraId="699156A2" w14:textId="744CA686" w:rsidR="00D51AD4" w:rsidRPr="009A09D4" w:rsidRDefault="00D51AD4" w:rsidP="002A5C36">
      <w:pPr>
        <w:pStyle w:val="Ttulo2"/>
        <w:spacing w:line="295" w:lineRule="auto"/>
      </w:pPr>
      <w:r w:rsidRPr="009A09D4">
        <w:t xml:space="preserve">Fines del Instituto Electoral </w:t>
      </w:r>
    </w:p>
    <w:p w14:paraId="07B564D7" w14:textId="674C8ECB" w:rsidR="00D51AD4" w:rsidRPr="009A09D4" w:rsidRDefault="00D51AD4" w:rsidP="002A5C36">
      <w:pPr>
        <w:spacing w:line="295" w:lineRule="auto"/>
      </w:pPr>
      <w:r w:rsidRPr="009A09D4">
        <w:t>Que, de conformidad con los artículos 9, apartado C, fracción I, de la Constitución Local</w:t>
      </w:r>
      <w:r w:rsidR="000C0F54" w:rsidRPr="009A09D4">
        <w:t>,</w:t>
      </w:r>
      <w:r w:rsidRPr="009A09D4">
        <w:t xml:space="preserve"> 3 numeral 3, 100 y 102 numeral 1</w:t>
      </w:r>
      <w:r w:rsidR="00A0602A" w:rsidRPr="009A09D4">
        <w:t>,</w:t>
      </w:r>
      <w:r w:rsidRPr="009A09D4">
        <w:t xml:space="preserve"> de la Ley Electoral, el Instituto Electoral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4EA335E" w14:textId="77777777" w:rsidR="00D51AD4" w:rsidRPr="009A09D4" w:rsidRDefault="00D51AD4" w:rsidP="002A5C36">
      <w:pPr>
        <w:spacing w:line="295" w:lineRule="auto"/>
      </w:pPr>
      <w:r w:rsidRPr="009A09D4">
        <w:t>De acuerdo con el artículo 101 de la Ley Electoral, el Instituto Electoral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7C17DE2" w14:textId="3B9D52B3" w:rsidR="00D51AD4" w:rsidRPr="009A09D4" w:rsidRDefault="00D51AD4" w:rsidP="002A5C36">
      <w:pPr>
        <w:pStyle w:val="Ttulo2"/>
        <w:spacing w:line="295" w:lineRule="auto"/>
      </w:pPr>
      <w:r w:rsidRPr="009A09D4">
        <w:lastRenderedPageBreak/>
        <w:t>Órganos Centrales del Instituto Electoral</w:t>
      </w:r>
    </w:p>
    <w:p w14:paraId="15070DB0" w14:textId="77777777" w:rsidR="00D51AD4" w:rsidRPr="009A09D4" w:rsidRDefault="00D51AD4" w:rsidP="002A5C36">
      <w:pPr>
        <w:spacing w:line="295" w:lineRule="auto"/>
      </w:pPr>
      <w:r w:rsidRPr="009A09D4">
        <w:t>Que, el artículo 105 de la Ley Electoral, señala que el Consejo Estatal; la Presidencia del Consejo Estatal; la Junta Estatal Ejecutiva, la Secretaría Ejecutiva y el Órgano Técnico de Fiscalización, constituyen los órganos centrales del Instituto Electoral.</w:t>
      </w:r>
    </w:p>
    <w:p w14:paraId="4AA4D076" w14:textId="1D7A65C9" w:rsidR="00D51AD4" w:rsidRPr="009A09D4" w:rsidRDefault="00D51AD4" w:rsidP="002A5C36">
      <w:pPr>
        <w:pStyle w:val="Ttulo2"/>
        <w:spacing w:line="295" w:lineRule="auto"/>
      </w:pPr>
      <w:r w:rsidRPr="009A09D4">
        <w:t>Órgano Superior de Dirección del Instituto Electoral</w:t>
      </w:r>
    </w:p>
    <w:p w14:paraId="2FDE0933" w14:textId="77777777" w:rsidR="00D51AD4" w:rsidRPr="009A09D4" w:rsidRDefault="00D51AD4" w:rsidP="002A5C36">
      <w:pPr>
        <w:spacing w:line="295" w:lineRule="auto"/>
      </w:pPr>
      <w:r w:rsidRPr="009A09D4">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 Electoral.</w:t>
      </w:r>
    </w:p>
    <w:p w14:paraId="7413A431" w14:textId="7B9F91CE" w:rsidR="00D51AD4" w:rsidRPr="009A09D4" w:rsidRDefault="00D51AD4" w:rsidP="002A5C36">
      <w:pPr>
        <w:pStyle w:val="Ttulo2"/>
        <w:spacing w:line="295" w:lineRule="auto"/>
      </w:pPr>
      <w:r w:rsidRPr="009A09D4">
        <w:t>Integración del Órgano de Dirección Superior</w:t>
      </w:r>
    </w:p>
    <w:p w14:paraId="308EF49F" w14:textId="4140C834" w:rsidR="00D51AD4" w:rsidRPr="009A09D4" w:rsidRDefault="00D51AD4" w:rsidP="002A5C36">
      <w:pPr>
        <w:spacing w:line="295" w:lineRule="auto"/>
      </w:pPr>
      <w:r w:rsidRPr="009A09D4">
        <w:t>Que, los artículos 99 de la Ley General y 107, numeral 1 de la Ley Electoral, disponen que el Consejo Estatal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79429FB" w14:textId="35A7D924" w:rsidR="003D225B" w:rsidRPr="009A09D4" w:rsidRDefault="00A35925" w:rsidP="002A5C36">
      <w:pPr>
        <w:pStyle w:val="Ttulo2"/>
        <w:spacing w:line="295" w:lineRule="auto"/>
      </w:pPr>
      <w:r w:rsidRPr="009A09D4">
        <w:t xml:space="preserve">Competencia </w:t>
      </w:r>
      <w:r w:rsidR="003D225B" w:rsidRPr="009A09D4">
        <w:t xml:space="preserve">del Consejo Estatal </w:t>
      </w:r>
    </w:p>
    <w:p w14:paraId="19877BDE" w14:textId="7518E31C" w:rsidR="00F16F21" w:rsidRPr="009A09D4" w:rsidRDefault="003D225B" w:rsidP="002A5C36">
      <w:pPr>
        <w:spacing w:line="295" w:lineRule="auto"/>
      </w:pPr>
      <w:r w:rsidRPr="009A09D4">
        <w:t xml:space="preserve">Que, </w:t>
      </w:r>
      <w:r w:rsidR="00F16F21" w:rsidRPr="009A09D4">
        <w:t xml:space="preserve">de conformidad con el artículo 115, numeral 1, fracciones XI, XV y XXXIX de la Ley Electoral, corresponde al Consejo Estatal desarrollar y ejecutar los programas en el Estado, de educación cívica, paridad de género y respeto de los derechos humanos de las mujeres en el ámbito político electoral, </w:t>
      </w:r>
      <w:r w:rsidR="00F51A20" w:rsidRPr="009A09D4">
        <w:t xml:space="preserve">así como </w:t>
      </w:r>
      <w:r w:rsidR="00F16F21" w:rsidRPr="009A09D4">
        <w:t>llevar a cabo las actividades necesarias para la preparación de la jornada electoral y ejercer las atribuciones que determine la Ley General y aquellas no reservadas al INE que se establezcan en la legislación local.</w:t>
      </w:r>
    </w:p>
    <w:p w14:paraId="1A1B4BB1" w14:textId="08DD3919" w:rsidR="003D225B" w:rsidRPr="009A09D4" w:rsidRDefault="000F1621" w:rsidP="002A5C36">
      <w:pPr>
        <w:spacing w:line="295" w:lineRule="auto"/>
      </w:pPr>
      <w:r w:rsidRPr="009A09D4">
        <w:t>Asimismo</w:t>
      </w:r>
      <w:r w:rsidR="00F16F21" w:rsidRPr="009A09D4">
        <w:t xml:space="preserve">, </w:t>
      </w:r>
      <w:r w:rsidR="009152C7" w:rsidRPr="009A09D4">
        <w:t xml:space="preserve">en términos del artículo </w:t>
      </w:r>
      <w:r w:rsidR="003D225B" w:rsidRPr="009A09D4">
        <w:t xml:space="preserve">115, numeral </w:t>
      </w:r>
      <w:r w:rsidR="009152C7" w:rsidRPr="009A09D4">
        <w:t xml:space="preserve">2 </w:t>
      </w:r>
      <w:r w:rsidR="003D225B" w:rsidRPr="009A09D4">
        <w:t xml:space="preserve">de la Ley Electoral, el Consejo Estatal podrá dictar los acuerdos necesarios que resulten pertinentes </w:t>
      </w:r>
      <w:r w:rsidR="003D225B" w:rsidRPr="009A09D4">
        <w:lastRenderedPageBreak/>
        <w:t>para garantizar el oportuno y adecuado ejercicio de sus facultades y atribuciones, previstas de manera implícita o expresa en la citada Ley.</w:t>
      </w:r>
    </w:p>
    <w:p w14:paraId="7B822792" w14:textId="3054D070" w:rsidR="00BF64F5" w:rsidRDefault="00BF64F5" w:rsidP="002A5C36">
      <w:pPr>
        <w:pStyle w:val="Ttulo2"/>
        <w:spacing w:line="295" w:lineRule="auto"/>
      </w:pPr>
      <w:r>
        <w:t xml:space="preserve">Atribución del Instituto Electoral </w:t>
      </w:r>
      <w:r w:rsidRPr="00BF64F5">
        <w:t>de aplicar reglas, lineamientos,</w:t>
      </w:r>
      <w:r>
        <w:t xml:space="preserve"> criterios emitidos por el INE</w:t>
      </w:r>
    </w:p>
    <w:p w14:paraId="463A7F96" w14:textId="689D7443" w:rsidR="00BF64F5" w:rsidRPr="00BF64F5" w:rsidRDefault="00BF64F5" w:rsidP="002A5C36">
      <w:pPr>
        <w:spacing w:line="295" w:lineRule="auto"/>
      </w:pPr>
      <w:r w:rsidRPr="00BF64F5">
        <w:t>Que, el artículo 104, numeral 1, inciso a), de la Ley General, establece que corresponde a los organismos electorales la aplicación de las disposiciones generales, reglas, lineamientos, criterios y formatos que, determine el INE en ejercicio de las facultades que le confiere la Constitución Federal y dicha Ley.</w:t>
      </w:r>
    </w:p>
    <w:p w14:paraId="5545D74B" w14:textId="661109E4" w:rsidR="00EC0570" w:rsidRPr="00EC0570" w:rsidRDefault="00EC0570" w:rsidP="002A5C36">
      <w:pPr>
        <w:pStyle w:val="Ttulo2"/>
        <w:spacing w:line="295" w:lineRule="auto"/>
      </w:pPr>
      <w:r>
        <w:t>Servicio Profesional</w:t>
      </w:r>
    </w:p>
    <w:p w14:paraId="1CBF501A" w14:textId="7482B425" w:rsidR="00EC0570" w:rsidRPr="00EC0570" w:rsidRDefault="00EC0570" w:rsidP="002A5C36">
      <w:pPr>
        <w:spacing w:line="295" w:lineRule="auto"/>
      </w:pPr>
      <w:r>
        <w:t xml:space="preserve">Que, como lo dispone el artículo 41, Base V, Apartado D de la Constitución Federal, el Servicio Profesional comprende la selección, ingreso, capacitación, profesionalización, promoción, evaluación, rotación, permanencia y disciplina, de los servidores públicos de los órganos ejecutivos y técnicos del INE y de los organismos electorales de las entidades federativas. </w:t>
      </w:r>
    </w:p>
    <w:p w14:paraId="6843A970" w14:textId="77777777" w:rsidR="00EC0570" w:rsidRDefault="00EC0570" w:rsidP="002A5C36">
      <w:pPr>
        <w:spacing w:line="295" w:lineRule="auto"/>
      </w:pPr>
      <w:r>
        <w:t>En el caso de la entidad, los artículos 160 y 161 de la Ley Electoral, establecen que, para asegurar el desempeño profesional de las actividades del Instituto Electoral, el INE regulará la organización y funcionamiento del Servicio Profesional, de conformidad con lo establecido por el numeral 41 de la Constitución Federal;  que además, la organización del servicio será regulada por las normas establecidas por la Ley General y por las del Estatuto que apruebe el Consejo  General, en lo relativo al sistema correspondiente a los organismos electorales.</w:t>
      </w:r>
    </w:p>
    <w:p w14:paraId="70712555" w14:textId="0B008F52" w:rsidR="00FB3CC9" w:rsidRDefault="00EC0570" w:rsidP="002A5C36">
      <w:pPr>
        <w:pStyle w:val="Ttulo2"/>
        <w:spacing w:line="295" w:lineRule="auto"/>
      </w:pPr>
      <w:r>
        <w:t>Facultad del INE para r</w:t>
      </w:r>
      <w:r w:rsidR="00FB3CC9">
        <w:t>egular el Servicio Profesional</w:t>
      </w:r>
    </w:p>
    <w:p w14:paraId="45147DDA" w14:textId="57804F5A" w:rsidR="00EC0570" w:rsidRDefault="00EC0570" w:rsidP="002A5C36">
      <w:pPr>
        <w:spacing w:line="295" w:lineRule="auto"/>
      </w:pPr>
      <w:r>
        <w:t xml:space="preserve">Que de conformidad con lo dispuesto por el artículo 41, párrafo segundo, Base V, Apartado D, párrafos primero y segundo, de la Constitución Federal, corresponde al INE regular la organización y funcionamiento del Servicio Profesional, y que comprende la selección, ingreso, capacitación, profesionalización, promoción, evaluación, rotación, permanencia y disciplina, </w:t>
      </w:r>
      <w:r>
        <w:lastRenderedPageBreak/>
        <w:t>de los servidores públicos de los órganos ejecutivos y técnicos del Instituto y de los organismos electorales de las entidades federativas.</w:t>
      </w:r>
    </w:p>
    <w:p w14:paraId="790328E4" w14:textId="6673F2F3" w:rsidR="00405306" w:rsidRDefault="00EC0570" w:rsidP="002A5C36">
      <w:pPr>
        <w:pStyle w:val="Ttulo2"/>
        <w:spacing w:line="295" w:lineRule="auto"/>
      </w:pPr>
      <w:r>
        <w:t>Integración, organización y funcionam</w:t>
      </w:r>
      <w:r w:rsidR="00405306">
        <w:t>iento del Servicio Profesional</w:t>
      </w:r>
    </w:p>
    <w:p w14:paraId="59DA81CA" w14:textId="237CBD5B" w:rsidR="00EC0570" w:rsidRDefault="00EC0570" w:rsidP="002A5C36">
      <w:pPr>
        <w:spacing w:line="295" w:lineRule="auto"/>
      </w:pPr>
      <w:r>
        <w:t>Que, conforme a lo dispuesto por el artículo 202, numerales 1 y 2 de la Ley General, el Servicio Profesional contará con dos sistemas: uno para el INE y otro para los organismos electorales, los cuales estarán integrados por las y los servidores públicos de sus órganos ejecutivos y técnicos; además, para su adecuado funcionamiento, el INE regulará la organización y aplicar</w:t>
      </w:r>
      <w:r w:rsidR="00AE6D8B">
        <w:t>á los distintos mecanismos del s</w:t>
      </w:r>
      <w:r>
        <w:t>ervicio de conformidad con lo dispuesto en el apartado D, de la Base V, del artículo 41, de la Constitución Federal.</w:t>
      </w:r>
    </w:p>
    <w:p w14:paraId="75A8E28D" w14:textId="4E08FE5E" w:rsidR="00EB6D78" w:rsidRDefault="00EC0570" w:rsidP="002A5C36">
      <w:pPr>
        <w:pStyle w:val="Ttulo2"/>
        <w:spacing w:line="295" w:lineRule="auto"/>
      </w:pPr>
      <w:r>
        <w:t>Servicio Profesional del Si</w:t>
      </w:r>
      <w:r w:rsidR="00EB6D78">
        <w:t>stema de Organismos Electorales</w:t>
      </w:r>
      <w:r>
        <w:t xml:space="preserve"> </w:t>
      </w:r>
    </w:p>
    <w:p w14:paraId="343EC393" w14:textId="19C6AB5E" w:rsidR="00EC0570" w:rsidRPr="00EC0570" w:rsidRDefault="00EC0570" w:rsidP="002A5C36">
      <w:pPr>
        <w:spacing w:line="295" w:lineRule="auto"/>
      </w:pPr>
      <w:r>
        <w:t>Que, el artículo 30, numeral 3, de la Ley General, prevé entre otras cosas que, para el desempeño de sus actividades, los organismos electorales contarán con un cuerpo de servidores públicos en sus órganos ejecutivos y técnicos, integrados en un Servicio Profesional que se regirá por el Estatuto que al efecto apruebe el Consejo General. Asimismo, a través del Servicio Profesional, los organismos electorales contendrán los respectivos mecanismos de selección, ingreso, capacitación, profesionalización, promoción, evaluación, rotación, permanencia y disciplina, así como el catálogo general de los cargos y puestos del personal ejecutivo y técnico, correspondiendo su regulación, organización, funcionamiento y rectoría al INE.</w:t>
      </w:r>
    </w:p>
    <w:p w14:paraId="774B454F" w14:textId="37986E91" w:rsidR="00D51AD4" w:rsidRPr="009A09D4" w:rsidRDefault="00D51AD4" w:rsidP="002A5C36">
      <w:pPr>
        <w:pStyle w:val="Ttulo2"/>
        <w:spacing w:line="295" w:lineRule="auto"/>
      </w:pPr>
      <w:r w:rsidRPr="009A09D4">
        <w:t>Comisiones permanentes y temporales</w:t>
      </w:r>
    </w:p>
    <w:p w14:paraId="1DAEE7D4" w14:textId="68BBFFFD" w:rsidR="00D51AD4" w:rsidRPr="009A09D4" w:rsidRDefault="00D51AD4" w:rsidP="002A5C36">
      <w:pPr>
        <w:spacing w:line="295" w:lineRule="auto"/>
      </w:pPr>
      <w:r w:rsidRPr="009A09D4">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w:t>
      </w:r>
    </w:p>
    <w:p w14:paraId="5A007ADE" w14:textId="446A10E8" w:rsidR="00D51AD4" w:rsidRDefault="009D04EE" w:rsidP="002A5C36">
      <w:pPr>
        <w:spacing w:line="295" w:lineRule="auto"/>
      </w:pPr>
      <w:r w:rsidRPr="009A09D4">
        <w:lastRenderedPageBreak/>
        <w:t>Además</w:t>
      </w:r>
      <w:r w:rsidR="00D51AD4" w:rsidRPr="009A09D4">
        <w:t>,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14:paraId="3417717E" w14:textId="29A5E56C" w:rsidR="009231A8" w:rsidRPr="009A09D4" w:rsidRDefault="009231A8" w:rsidP="002A5C36">
      <w:pPr>
        <w:spacing w:line="295" w:lineRule="auto"/>
      </w:pPr>
      <w:r>
        <w:t xml:space="preserve">Por su parte, </w:t>
      </w:r>
      <w:r w:rsidR="00B04FAD">
        <w:t>p</w:t>
      </w:r>
      <w:r>
        <w:t xml:space="preserve">ara coordinar el </w:t>
      </w:r>
      <w:r w:rsidR="00B04FAD">
        <w:t xml:space="preserve">Servicio Electoral del </w:t>
      </w:r>
      <w:r>
        <w:t xml:space="preserve">Sistema </w:t>
      </w:r>
      <w:r w:rsidR="00B04FAD">
        <w:t xml:space="preserve">de Organismos Electorales, el Estatuto, de conformidad con su artículo 473, </w:t>
      </w:r>
      <w:r>
        <w:t>mandata la conformación en dichos organismos de Comisiones de Seguimiento del Servicio, de</w:t>
      </w:r>
      <w:r w:rsidR="00B04FAD">
        <w:t xml:space="preserve"> </w:t>
      </w:r>
      <w:r>
        <w:t>Consejeros Electorales, así como de Órganos de Enlace que, primordialmente</w:t>
      </w:r>
      <w:r w:rsidR="00B04FAD">
        <w:t xml:space="preserve"> </w:t>
      </w:r>
      <w:r>
        <w:t>coadyuven en las tareas coordinadas por la Dirección Ejecutiva del Servicio</w:t>
      </w:r>
      <w:r w:rsidR="00B04FAD">
        <w:t xml:space="preserve"> </w:t>
      </w:r>
      <w:r>
        <w:t>Profesional Electoral Nacional en materia de selección, ingreso, profesionalización, capacitación, promoción, evaluación, cambios de adscripción, rotación, titularidad, permanencia y disciplina, de acuerdo con la normativa que</w:t>
      </w:r>
      <w:r w:rsidR="00B04FAD">
        <w:t xml:space="preserve"> </w:t>
      </w:r>
      <w:r>
        <w:t xml:space="preserve">emita el </w:t>
      </w:r>
      <w:r w:rsidR="00B04FAD">
        <w:t>INE.</w:t>
      </w:r>
    </w:p>
    <w:p w14:paraId="5F768218" w14:textId="0A5B9252" w:rsidR="00D51AD4" w:rsidRPr="009A09D4" w:rsidRDefault="00D51AD4" w:rsidP="002A5C36">
      <w:pPr>
        <w:pStyle w:val="Ttulo2"/>
        <w:spacing w:line="295" w:lineRule="auto"/>
      </w:pPr>
      <w:r w:rsidRPr="009A09D4">
        <w:t>Obligación de presentar un Programa Anual de Trabajo</w:t>
      </w:r>
    </w:p>
    <w:p w14:paraId="7F55E5BF" w14:textId="28526E20" w:rsidR="00B2146F" w:rsidRPr="009A09D4" w:rsidRDefault="00B2146F" w:rsidP="002A5C36">
      <w:pPr>
        <w:spacing w:line="295" w:lineRule="auto"/>
      </w:pPr>
      <w:r w:rsidRPr="009A09D4">
        <w:t xml:space="preserve">Que, el artículo 12 del Reglamento de Comisiones establece que, las comisiones permanentes, entre ellas la </w:t>
      </w:r>
      <w:r w:rsidR="00A7647A">
        <w:t>Comisión de Seguimiento</w:t>
      </w:r>
      <w:r w:rsidRPr="009A09D4">
        <w:t>, durante el mes de enero del año correspondiente, deberán presentar al Consejo Estatal para su aprobación, un Programa Anual de Trabajo acorde a los programas y políticas previamente establecidos.</w:t>
      </w:r>
    </w:p>
    <w:p w14:paraId="53C55C53" w14:textId="22DD4DF6" w:rsidR="00D51AD4" w:rsidRPr="009A09D4" w:rsidRDefault="00D51AD4" w:rsidP="002A5C36">
      <w:pPr>
        <w:pStyle w:val="Ttulo2"/>
        <w:spacing w:line="295" w:lineRule="auto"/>
      </w:pPr>
      <w:r w:rsidRPr="00B7341E">
        <w:t>Atribuciones</w:t>
      </w:r>
      <w:r w:rsidRPr="009A09D4">
        <w:t xml:space="preserve"> de la </w:t>
      </w:r>
      <w:r w:rsidR="00A7647A">
        <w:t>Comisión de Seguimiento</w:t>
      </w:r>
    </w:p>
    <w:p w14:paraId="1EBC78DD" w14:textId="4F71522F" w:rsidR="0086471F" w:rsidRPr="0086471F" w:rsidRDefault="00D51AD4" w:rsidP="002A5C36">
      <w:pPr>
        <w:spacing w:line="295" w:lineRule="auto"/>
      </w:pPr>
      <w:r w:rsidRPr="009A09D4">
        <w:t>Que, de la interpretación sistemática y funcional de los artículos 38 y 113, numerales 1 y 3 de la Ley Electoral; y 1</w:t>
      </w:r>
      <w:r w:rsidR="00BE293A">
        <w:t>6</w:t>
      </w:r>
      <w:r w:rsidRPr="009A09D4">
        <w:t xml:space="preserve">, numeral 1 del Reglamento del Comisiones del Consejo Estatal, la </w:t>
      </w:r>
      <w:r w:rsidR="00A7647A">
        <w:t>Comisión de Seguimiento</w:t>
      </w:r>
      <w:r w:rsidRPr="009A09D4">
        <w:t xml:space="preserve"> es el órgano auxiliar del Consejo Estatal, </w:t>
      </w:r>
      <w:r w:rsidR="00D136C7" w:rsidRPr="009A09D4">
        <w:t>que tiene entre otras funciones,</w:t>
      </w:r>
      <w:r w:rsidR="0086471F">
        <w:t xml:space="preserve"> g</w:t>
      </w:r>
      <w:r w:rsidR="0086471F" w:rsidRPr="0086471F">
        <w:t>arantizar la correcta implementación y funcio</w:t>
      </w:r>
      <w:r w:rsidR="00AB522F">
        <w:t>namiento de los mecanismos del Se</w:t>
      </w:r>
      <w:r w:rsidR="0086471F" w:rsidRPr="0086471F">
        <w:t>rvicio</w:t>
      </w:r>
      <w:r w:rsidR="00AB522F">
        <w:t xml:space="preserve"> Profesional</w:t>
      </w:r>
      <w:r w:rsidR="0086471F" w:rsidRPr="0086471F">
        <w:t xml:space="preserve">, bajo la rectoría del </w:t>
      </w:r>
      <w:r w:rsidR="0086471F">
        <w:t xml:space="preserve">INE </w:t>
      </w:r>
      <w:r w:rsidR="0086471F" w:rsidRPr="0086471F">
        <w:t>y conforme a las disposiciones de l</w:t>
      </w:r>
      <w:r w:rsidR="00854B03">
        <w:t xml:space="preserve">a Constitución, la Ley General y </w:t>
      </w:r>
      <w:r w:rsidR="0086471F" w:rsidRPr="0086471F">
        <w:t>el Estatuto</w:t>
      </w:r>
      <w:r w:rsidR="0086471F">
        <w:t>.</w:t>
      </w:r>
    </w:p>
    <w:p w14:paraId="530E2376" w14:textId="0537A994" w:rsidR="00D51AD4" w:rsidRPr="009A09D4" w:rsidRDefault="00D51AD4" w:rsidP="002A5C36">
      <w:pPr>
        <w:pStyle w:val="Ttulo2"/>
        <w:spacing w:line="295" w:lineRule="auto"/>
      </w:pPr>
      <w:r w:rsidRPr="009A09D4">
        <w:t xml:space="preserve">Programa Anual de Trabajo de la </w:t>
      </w:r>
      <w:r w:rsidR="00A7647A">
        <w:t>Comisión de Seguimiento</w:t>
      </w:r>
    </w:p>
    <w:p w14:paraId="4AD25980" w14:textId="1B82B876" w:rsidR="002106C2" w:rsidRPr="002106C2" w:rsidRDefault="003D0C78" w:rsidP="002A5C36">
      <w:pPr>
        <w:spacing w:line="295" w:lineRule="auto"/>
      </w:pPr>
      <w:r w:rsidRPr="009A09D4">
        <w:t xml:space="preserve">Que, </w:t>
      </w:r>
      <w:r w:rsidR="002106C2">
        <w:t xml:space="preserve">siguiendo los parámetros y con el propósito de cumplir con los objetivos del Servicio Profesional Electoral Nacional, la Comisión de Seguimiento </w:t>
      </w:r>
      <w:r w:rsidR="002106C2">
        <w:lastRenderedPageBreak/>
        <w:t xml:space="preserve">presenta su Programa Anual de Trabajo para el ejercicio 2023, </w:t>
      </w:r>
      <w:r w:rsidR="002106C2" w:rsidRPr="002106C2">
        <w:t>el cual, tiene por objeto dar cumplimiento, seguimiento y aplicación de las actividades a implementar, en líneas de acción en lo referente a cambios de adscripción y rotación, encargadurías de despacho, profesionalización y capacitación, evaluación del desempeño, titularidad y promoción en rango, incentivos, concurso público, previsto para el transcurso de este año.</w:t>
      </w:r>
    </w:p>
    <w:p w14:paraId="6E13EA4C" w14:textId="32BF21DD" w:rsidR="002106C2" w:rsidRDefault="002106C2" w:rsidP="002A5C36">
      <w:pPr>
        <w:spacing w:line="295" w:lineRule="auto"/>
      </w:pPr>
      <w:r w:rsidRPr="002106C2">
        <w:t>El Programa Anual de Trabajo 2023 de la Comisión de Seguimiento, se constituye por cuatro apartados primordiales, en el primero, se fundamentará con un marco legal, tanto las facultades, obligaciones y lo referente a las acciones por parte de la misma Comisión, el segundo apartado tratará lo concerniente a la integración además de las atribuciones de quienes conforman la Comisión de Seguimiento, seguidamente, en el tercer apartado se detallarán los objetivos generales y específicos del Programa, y finalmente, en el apartado cuarto, el lector ubicará la calendarización de  las actividades específicas de seguimiento así como las sesiones de la Comisión, proyectadas realizar para el año 2023.</w:t>
      </w:r>
    </w:p>
    <w:p w14:paraId="733908FA" w14:textId="38B51B24" w:rsidR="00D51AD4" w:rsidRPr="009A09D4" w:rsidRDefault="00D51AD4" w:rsidP="002A5C36">
      <w:pPr>
        <w:spacing w:line="295" w:lineRule="auto"/>
        <w:ind w:left="0"/>
      </w:pPr>
      <w:r w:rsidRPr="009A09D4">
        <w:t>Sobre la base de las consideraciones señaladas, este Consejo Estatal emite el siguiente:</w:t>
      </w:r>
    </w:p>
    <w:p w14:paraId="6E1A4818" w14:textId="77777777" w:rsidR="00D51AD4" w:rsidRPr="009A09D4" w:rsidRDefault="00D51AD4" w:rsidP="002A5C36">
      <w:pPr>
        <w:pStyle w:val="Ttulo1"/>
        <w:spacing w:line="295" w:lineRule="auto"/>
      </w:pPr>
      <w:r w:rsidRPr="009A09D4">
        <w:t>Acuerdo</w:t>
      </w:r>
    </w:p>
    <w:p w14:paraId="014CA281" w14:textId="226EDADE" w:rsidR="00D51AD4" w:rsidRPr="009A09D4" w:rsidRDefault="00D51AD4" w:rsidP="002A5C36">
      <w:pPr>
        <w:pStyle w:val="Puntos"/>
        <w:spacing w:line="295" w:lineRule="auto"/>
        <w:ind w:left="0"/>
      </w:pPr>
      <w:r w:rsidRPr="009A09D4">
        <w:rPr>
          <w:b/>
          <w:bCs/>
        </w:rPr>
        <w:t>Primero.</w:t>
      </w:r>
      <w:r w:rsidRPr="009A09D4">
        <w:t xml:space="preserve"> Por las razones y argumentos mencionados, se aprueba el Programa Anual de Trabajo para el año 2023 de la </w:t>
      </w:r>
      <w:r w:rsidR="00E92057" w:rsidRPr="009A09D4">
        <w:t xml:space="preserve">Comisión </w:t>
      </w:r>
      <w:r w:rsidR="00324201">
        <w:t xml:space="preserve">Permanente de Seguimiento al Servicio Profesional Electoral </w:t>
      </w:r>
      <w:r w:rsidRPr="009A09D4">
        <w:t>del Instituto Electoral y de Participación Ciudadana de Tabasco</w:t>
      </w:r>
      <w:r w:rsidR="00312D81" w:rsidRPr="009A09D4">
        <w:t>,</w:t>
      </w:r>
      <w:r w:rsidR="00CD092F" w:rsidRPr="009A09D4">
        <w:t xml:space="preserve"> anexo</w:t>
      </w:r>
      <w:r w:rsidRPr="009A09D4">
        <w:t xml:space="preserve"> al presente acuerdo.</w:t>
      </w:r>
    </w:p>
    <w:p w14:paraId="7402E3FC" w14:textId="77777777" w:rsidR="00D51AD4" w:rsidRPr="009A09D4" w:rsidRDefault="00D51AD4" w:rsidP="002A5C36">
      <w:pPr>
        <w:pStyle w:val="Puntos"/>
        <w:spacing w:line="295" w:lineRule="auto"/>
        <w:ind w:left="0"/>
      </w:pPr>
      <w:r w:rsidRPr="009A09D4">
        <w:rPr>
          <w:b/>
          <w:bCs/>
        </w:rPr>
        <w:t>Segundo.</w:t>
      </w:r>
      <w:r w:rsidRPr="009A09D4">
        <w:t xml:space="preserve"> Se instruye a la Secretaría Ejecutiva de este Instituto para que, a través de la Coordinación de Vinculación con el Instituto Nacional Electoral, notifique el presente acuerdo al citado organismo nacional, a través de su Unidad Técnica de Vinculación con los Organismos Públicos Locales, para los efectos correspondientes.</w:t>
      </w:r>
    </w:p>
    <w:p w14:paraId="2DF1326F" w14:textId="77777777" w:rsidR="00D51AD4" w:rsidRPr="009A09D4" w:rsidRDefault="00D51AD4" w:rsidP="002A5C36">
      <w:pPr>
        <w:pStyle w:val="Puntos"/>
        <w:spacing w:line="295" w:lineRule="auto"/>
        <w:ind w:left="0"/>
      </w:pPr>
      <w:r w:rsidRPr="009A09D4">
        <w:rPr>
          <w:b/>
          <w:bCs/>
        </w:rPr>
        <w:lastRenderedPageBreak/>
        <w:t>Tercero.</w:t>
      </w:r>
      <w:r w:rsidRPr="009A09D4">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928A352" w14:textId="01CC16BA" w:rsidR="00D51AD4" w:rsidRDefault="00D51AD4" w:rsidP="002A5C36">
      <w:pPr>
        <w:pStyle w:val="Puntos"/>
        <w:spacing w:line="295" w:lineRule="auto"/>
        <w:ind w:left="0"/>
      </w:pPr>
      <w:r w:rsidRPr="009A09D4">
        <w:t xml:space="preserve">El presente acuerdo fue aprobado en sesión ordinaria efectuada el </w:t>
      </w:r>
      <w:r w:rsidR="005D5151" w:rsidRPr="009A09D4">
        <w:t xml:space="preserve">31 de enero </w:t>
      </w:r>
      <w:r w:rsidRPr="009A09D4">
        <w:t xml:space="preserve">del año dos mil veintitrés, por votación </w:t>
      </w:r>
      <w:r w:rsidR="009B1ABB">
        <w:t>unánime</w:t>
      </w:r>
      <w:r w:rsidRPr="009A09D4">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Hernán González Sala, Lic. Vladimir Hernández Venegas y la Consejera Presidenta, </w:t>
      </w:r>
      <w:r w:rsidR="00304462" w:rsidRPr="009A09D4">
        <w:t>Mtra</w:t>
      </w:r>
      <w:r w:rsidRPr="009A09D4">
        <w:t>. Elizabeth Nava Gutiérrez.</w:t>
      </w:r>
    </w:p>
    <w:p w14:paraId="3DBFA909" w14:textId="77777777" w:rsidR="0083287A" w:rsidRPr="009A09D4" w:rsidRDefault="0083287A" w:rsidP="002B3031">
      <w:pPr>
        <w:pStyle w:val="Puntos"/>
        <w:ind w:left="0"/>
      </w:pPr>
      <w:bookmarkStart w:id="0" w:name="_GoBack"/>
      <w:bookmarkEnd w:id="0"/>
    </w:p>
    <w:p w14:paraId="7D5CC95B" w14:textId="45681B00" w:rsidR="00EB7258" w:rsidRDefault="00EB7258" w:rsidP="00B7341E">
      <w:pPr>
        <w:pStyle w:val="Puntos"/>
      </w:pPr>
    </w:p>
    <w:p w14:paraId="45E09761" w14:textId="77777777" w:rsidR="00AE584D" w:rsidRPr="009A09D4" w:rsidRDefault="00AE584D" w:rsidP="00B7341E">
      <w:pPr>
        <w:pStyle w:val="Puntos"/>
      </w:pPr>
    </w:p>
    <w:p w14:paraId="66F7F176" w14:textId="6A31C31A" w:rsidR="00012B73" w:rsidRDefault="00012B73" w:rsidP="002B3031">
      <w:pPr>
        <w:ind w:left="0"/>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7B63AE" w:rsidRPr="001B4A09" w14:paraId="0A63656E" w14:textId="77777777" w:rsidTr="00D3762F">
        <w:tc>
          <w:tcPr>
            <w:tcW w:w="4395" w:type="dxa"/>
          </w:tcPr>
          <w:p w14:paraId="65CD7ECC" w14:textId="77777777" w:rsidR="007B63AE" w:rsidRPr="00C26EA6" w:rsidRDefault="007B63AE" w:rsidP="00D3762F">
            <w:pPr>
              <w:widowControl w:val="0"/>
              <w:spacing w:after="0" w:line="288" w:lineRule="auto"/>
              <w:ind w:left="0"/>
              <w:jc w:val="center"/>
              <w:rPr>
                <w:rFonts w:ascii="Arial Negrita" w:hAnsi="Arial Negrita"/>
                <w:b/>
                <w:spacing w:val="-10"/>
              </w:rPr>
            </w:pPr>
            <w:r w:rsidRPr="00C26EA6">
              <w:rPr>
                <w:rFonts w:ascii="Arial Negrita" w:hAnsi="Arial Negrita"/>
                <w:b/>
                <w:spacing w:val="-10"/>
              </w:rPr>
              <w:t>MTRA. ELIZABETH NAVA GUTIÉRREZ</w:t>
            </w:r>
          </w:p>
          <w:p w14:paraId="17863579" w14:textId="77777777" w:rsidR="007B63AE" w:rsidRPr="001B4A09" w:rsidRDefault="007B63AE" w:rsidP="00D3762F">
            <w:pPr>
              <w:widowControl w:val="0"/>
              <w:spacing w:after="0" w:line="288" w:lineRule="auto"/>
              <w:ind w:left="0"/>
              <w:jc w:val="center"/>
              <w:rPr>
                <w:b/>
              </w:rPr>
            </w:pPr>
            <w:r w:rsidRPr="00C26EA6">
              <w:rPr>
                <w:b/>
                <w:spacing w:val="-10"/>
              </w:rPr>
              <w:t>CONSEJERA PRESIDENTA</w:t>
            </w:r>
          </w:p>
        </w:tc>
        <w:tc>
          <w:tcPr>
            <w:tcW w:w="278" w:type="dxa"/>
          </w:tcPr>
          <w:p w14:paraId="12BE22E0" w14:textId="77777777" w:rsidR="007B63AE" w:rsidRPr="001B4A09" w:rsidRDefault="007B63AE" w:rsidP="00D3762F">
            <w:pPr>
              <w:widowControl w:val="0"/>
              <w:spacing w:after="0" w:line="288" w:lineRule="auto"/>
              <w:rPr>
                <w:b/>
              </w:rPr>
            </w:pPr>
          </w:p>
        </w:tc>
        <w:tc>
          <w:tcPr>
            <w:tcW w:w="4400" w:type="dxa"/>
          </w:tcPr>
          <w:p w14:paraId="234C9C88" w14:textId="77777777" w:rsidR="007B63AE" w:rsidRPr="004C5A07" w:rsidRDefault="007B63AE" w:rsidP="00D3762F">
            <w:pPr>
              <w:widowControl w:val="0"/>
              <w:spacing w:after="0" w:line="288" w:lineRule="auto"/>
              <w:ind w:left="0"/>
              <w:jc w:val="center"/>
              <w:rPr>
                <w:rFonts w:ascii="Arial Negrita" w:hAnsi="Arial Negrita"/>
                <w:b/>
                <w:spacing w:val="-10"/>
              </w:rPr>
            </w:pPr>
            <w:r w:rsidRPr="004C5A07">
              <w:rPr>
                <w:rFonts w:ascii="Arial Negrita" w:hAnsi="Arial Negrita"/>
                <w:b/>
                <w:spacing w:val="-10"/>
              </w:rPr>
              <w:t>LIC. JORGE ALBERTO ZAVALA FRÍAS</w:t>
            </w:r>
          </w:p>
          <w:p w14:paraId="4D1DC6E0" w14:textId="77777777" w:rsidR="007B63AE" w:rsidRPr="001B4A09" w:rsidRDefault="007B63AE" w:rsidP="00D3762F">
            <w:pPr>
              <w:widowControl w:val="0"/>
              <w:spacing w:after="0" w:line="288" w:lineRule="auto"/>
              <w:ind w:left="0"/>
              <w:jc w:val="center"/>
              <w:rPr>
                <w:b/>
              </w:rPr>
            </w:pPr>
            <w:r w:rsidRPr="004C5A07">
              <w:rPr>
                <w:rFonts w:ascii="Arial Negrita" w:hAnsi="Arial Negrita"/>
                <w:b/>
                <w:spacing w:val="-10"/>
              </w:rPr>
              <w:t>SECRETARIO DEL CONSEJO</w:t>
            </w:r>
          </w:p>
        </w:tc>
      </w:tr>
    </w:tbl>
    <w:p w14:paraId="1216996F" w14:textId="77777777" w:rsidR="007B63AE" w:rsidRPr="009A09D4" w:rsidRDefault="007B63AE" w:rsidP="002B3031">
      <w:pPr>
        <w:ind w:left="0"/>
      </w:pPr>
    </w:p>
    <w:sectPr w:rsidR="007B63AE" w:rsidRPr="009A09D4" w:rsidSect="00C413FD">
      <w:headerReference w:type="default" r:id="rId7"/>
      <w:footerReference w:type="default" r:id="rId8"/>
      <w:headerReference w:type="first" r:id="rId9"/>
      <w:pgSz w:w="12240" w:h="15840" w:code="1"/>
      <w:pgMar w:top="2552" w:right="1701" w:bottom="1418" w:left="170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37623" w14:textId="77777777" w:rsidR="00DF1A16" w:rsidRDefault="00DF1A16" w:rsidP="00B7341E">
      <w:r>
        <w:separator/>
      </w:r>
    </w:p>
  </w:endnote>
  <w:endnote w:type="continuationSeparator" w:id="0">
    <w:p w14:paraId="674E3F55" w14:textId="77777777" w:rsidR="00DF1A16" w:rsidRDefault="00DF1A16" w:rsidP="00B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ouis George Cafe">
    <w:panose1 w:val="00000000000000000000"/>
    <w:charset w:val="81"/>
    <w:family w:val="auto"/>
    <w:pitch w:val="variable"/>
    <w:sig w:usb0="01002A87" w:usb1="090F0000" w:usb2="00000010" w:usb3="00000000" w:csb0="003F00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ES"/>
      </w:rPr>
      <w:id w:val="1906408398"/>
      <w:docPartObj>
        <w:docPartGallery w:val="Page Numbers (Bottom of Page)"/>
        <w:docPartUnique/>
      </w:docPartObj>
    </w:sdtPr>
    <w:sdtEndPr/>
    <w:sdtContent>
      <w:sdt>
        <w:sdtPr>
          <w:rPr>
            <w:b/>
            <w:bCs/>
            <w:color w:val="660033"/>
            <w:lang w:val="es-ES"/>
          </w:rPr>
          <w:id w:val="-215821050"/>
          <w:docPartObj>
            <w:docPartGallery w:val="Page Numbers (Bottom of Page)"/>
            <w:docPartUnique/>
          </w:docPartObj>
        </w:sdtPr>
        <w:sdtEndPr>
          <w:rPr>
            <w:sz w:val="20"/>
            <w:szCs w:val="20"/>
          </w:rPr>
        </w:sdtEndPr>
        <w:sdtContent>
          <w:p w14:paraId="51D053B1" w14:textId="38C52F9F" w:rsidR="007050DB" w:rsidRPr="0083287A" w:rsidRDefault="0083287A" w:rsidP="0083287A">
            <w:pPr>
              <w:pStyle w:val="Piedepgina"/>
              <w:ind w:left="510"/>
              <w:jc w:val="right"/>
              <w:rPr>
                <w:b/>
                <w:bCs/>
                <w:color w:val="660033"/>
                <w:sz w:val="20"/>
                <w:szCs w:val="20"/>
                <w:lang w:val="es-ES"/>
              </w:rPr>
            </w:pPr>
            <w:r w:rsidRPr="00B25371">
              <w:rPr>
                <w:b/>
                <w:bCs/>
                <w:color w:val="660033"/>
                <w:sz w:val="20"/>
                <w:szCs w:val="20"/>
                <w:lang w:val="es-ES"/>
              </w:rPr>
              <w:t xml:space="preserve">Página  </w:t>
            </w:r>
            <w:r w:rsidRPr="00B25371">
              <w:rPr>
                <w:b/>
                <w:bCs/>
                <w:color w:val="660033"/>
                <w:sz w:val="20"/>
                <w:szCs w:val="20"/>
              </w:rPr>
              <w:fldChar w:fldCharType="begin"/>
            </w:r>
            <w:r w:rsidRPr="00B25371">
              <w:rPr>
                <w:b/>
                <w:bCs/>
                <w:color w:val="660033"/>
                <w:sz w:val="20"/>
                <w:szCs w:val="20"/>
              </w:rPr>
              <w:instrText>PAGE   \* MERGEFORMAT</w:instrText>
            </w:r>
            <w:r w:rsidRPr="00B25371">
              <w:rPr>
                <w:b/>
                <w:bCs/>
                <w:color w:val="660033"/>
                <w:sz w:val="20"/>
                <w:szCs w:val="20"/>
              </w:rPr>
              <w:fldChar w:fldCharType="separate"/>
            </w:r>
            <w:r w:rsidR="009B1ABB">
              <w:rPr>
                <w:b/>
                <w:bCs/>
                <w:noProof/>
                <w:color w:val="660033"/>
                <w:sz w:val="20"/>
                <w:szCs w:val="20"/>
              </w:rPr>
              <w:t>8</w:t>
            </w:r>
            <w:r w:rsidRPr="00B25371">
              <w:rPr>
                <w:b/>
                <w:bCs/>
                <w:color w:val="660033"/>
                <w:sz w:val="20"/>
                <w:szCs w:val="20"/>
              </w:rPr>
              <w:fldChar w:fldCharType="end"/>
            </w:r>
            <w:r w:rsidRPr="00B25371">
              <w:rPr>
                <w:b/>
                <w:bCs/>
                <w:color w:val="660033"/>
                <w:sz w:val="20"/>
                <w:szCs w:val="20"/>
                <w:lang w:val="es-ES"/>
              </w:rPr>
              <w:t xml:space="preserve"> | </w:t>
            </w:r>
            <w:r w:rsidRPr="00B25371">
              <w:rPr>
                <w:b/>
                <w:bCs/>
                <w:color w:val="660033"/>
                <w:sz w:val="20"/>
                <w:szCs w:val="20"/>
                <w:lang w:val="es-ES"/>
              </w:rPr>
              <w:fldChar w:fldCharType="begin"/>
            </w:r>
            <w:r w:rsidRPr="00B25371">
              <w:rPr>
                <w:b/>
                <w:bCs/>
                <w:color w:val="660033"/>
                <w:sz w:val="20"/>
                <w:szCs w:val="20"/>
                <w:lang w:val="es-ES"/>
              </w:rPr>
              <w:instrText xml:space="preserve"> NUMPAGES   \* MERGEFORMAT </w:instrText>
            </w:r>
            <w:r w:rsidRPr="00B25371">
              <w:rPr>
                <w:b/>
                <w:bCs/>
                <w:color w:val="660033"/>
                <w:sz w:val="20"/>
                <w:szCs w:val="20"/>
                <w:lang w:val="es-ES"/>
              </w:rPr>
              <w:fldChar w:fldCharType="separate"/>
            </w:r>
            <w:r w:rsidR="009B1ABB">
              <w:rPr>
                <w:b/>
                <w:bCs/>
                <w:noProof/>
                <w:color w:val="660033"/>
                <w:sz w:val="20"/>
                <w:szCs w:val="20"/>
                <w:lang w:val="es-ES"/>
              </w:rPr>
              <w:t>9</w:t>
            </w:r>
            <w:r w:rsidRPr="00B25371">
              <w:rPr>
                <w:b/>
                <w:bCs/>
                <w:color w:val="660033"/>
                <w:sz w:val="20"/>
                <w:szCs w:val="20"/>
                <w:lang w:val="es-E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8803E" w14:textId="77777777" w:rsidR="00DF1A16" w:rsidRDefault="00DF1A16" w:rsidP="00B7341E">
      <w:r>
        <w:separator/>
      </w:r>
    </w:p>
  </w:footnote>
  <w:footnote w:type="continuationSeparator" w:id="0">
    <w:p w14:paraId="095BE5B4" w14:textId="77777777" w:rsidR="00DF1A16" w:rsidRDefault="00DF1A16" w:rsidP="00B734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D671D6" w:rsidRPr="00063338" w14:paraId="7E359488" w14:textId="77777777" w:rsidTr="00907833">
      <w:tc>
        <w:tcPr>
          <w:tcW w:w="1418" w:type="dxa"/>
        </w:tcPr>
        <w:p w14:paraId="258F8BF5" w14:textId="77777777" w:rsidR="00D671D6" w:rsidRPr="00063338" w:rsidRDefault="00D671D6" w:rsidP="00D671D6">
          <w:pPr>
            <w:pStyle w:val="Encabezado"/>
            <w:ind w:left="-170"/>
            <w:jc w:val="left"/>
          </w:pPr>
          <w:r>
            <w:rPr>
              <w:b/>
              <w:noProof/>
              <w:sz w:val="32"/>
              <w:lang w:eastAsia="es-MX"/>
            </w:rPr>
            <w:drawing>
              <wp:inline distT="0" distB="0" distL="0" distR="0" wp14:anchorId="6890119A" wp14:editId="7A0025DF">
                <wp:extent cx="1014331" cy="1199403"/>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0EF90D86" w14:textId="77777777" w:rsidR="00D671D6" w:rsidRPr="00063338" w:rsidRDefault="00D671D6" w:rsidP="00D671D6">
          <w:pPr>
            <w:pStyle w:val="Encabezado"/>
            <w:spacing w:before="720"/>
            <w:ind w:left="0"/>
            <w:jc w:val="center"/>
            <w:rPr>
              <w:b/>
              <w:bCs/>
              <w:sz w:val="25"/>
              <w:szCs w:val="25"/>
            </w:rPr>
          </w:pPr>
          <w:r w:rsidRPr="00063338">
            <w:rPr>
              <w:b/>
              <w:bCs/>
              <w:sz w:val="25"/>
              <w:szCs w:val="25"/>
            </w:rPr>
            <w:t>INSTITUTO ELECTORAL Y DE PARTICIPACIÓN CIUDADANA DE TABASCO</w:t>
          </w:r>
        </w:p>
        <w:p w14:paraId="03888727" w14:textId="77777777" w:rsidR="00D671D6" w:rsidRPr="00063338" w:rsidRDefault="00D671D6" w:rsidP="00D671D6">
          <w:pPr>
            <w:pStyle w:val="Encabezado"/>
            <w:ind w:left="0"/>
            <w:jc w:val="center"/>
          </w:pPr>
          <w:r w:rsidRPr="00063338">
            <w:rPr>
              <w:sz w:val="26"/>
              <w:szCs w:val="26"/>
            </w:rPr>
            <w:t>CONSEJO ESTATAL</w:t>
          </w:r>
        </w:p>
      </w:tc>
      <w:tc>
        <w:tcPr>
          <w:tcW w:w="1701" w:type="dxa"/>
        </w:tcPr>
        <w:p w14:paraId="27B5A2DC" w14:textId="77777777" w:rsidR="00D671D6" w:rsidRPr="00063338" w:rsidRDefault="00D671D6" w:rsidP="00D671D6">
          <w:pPr>
            <w:pStyle w:val="Encabezado"/>
            <w:spacing w:before="480"/>
            <w:ind w:left="0"/>
          </w:pPr>
          <w:r w:rsidRPr="00063338">
            <w:rPr>
              <w:noProof/>
              <w:lang w:eastAsia="es-MX"/>
            </w:rPr>
            <w:drawing>
              <wp:inline distT="0" distB="0" distL="0" distR="0" wp14:anchorId="72B9CF8C" wp14:editId="5D5C31A8">
                <wp:extent cx="921600" cy="756000"/>
                <wp:effectExtent l="0" t="0" r="0" b="63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7A33798" w14:textId="78EF33B4" w:rsidR="002317D7" w:rsidRDefault="00C413FD" w:rsidP="00C413FD">
    <w:pPr>
      <w:pStyle w:val="Encabezado"/>
      <w:jc w:val="right"/>
      <w:rPr>
        <w:b/>
      </w:rPr>
    </w:pPr>
    <w:r w:rsidRPr="00C413FD">
      <w:rPr>
        <w:b/>
      </w:rPr>
      <w:t>CE/2023/005</w:t>
    </w:r>
  </w:p>
  <w:p w14:paraId="0B9F6672" w14:textId="77777777" w:rsidR="00C413FD" w:rsidRPr="00C413FD" w:rsidRDefault="00C413FD" w:rsidP="00C413FD">
    <w:pPr>
      <w:pStyle w:val="Encabezado"/>
      <w:jc w:val="right"/>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37"/>
      <w:gridCol w:w="1701"/>
    </w:tblGrid>
    <w:tr w:rsidR="00C413FD" w:rsidRPr="00063338" w14:paraId="20157A03" w14:textId="77777777" w:rsidTr="00192380">
      <w:tc>
        <w:tcPr>
          <w:tcW w:w="1418" w:type="dxa"/>
        </w:tcPr>
        <w:p w14:paraId="7F616DAA" w14:textId="77777777" w:rsidR="00C413FD" w:rsidRPr="00063338" w:rsidRDefault="00C413FD" w:rsidP="00C413FD">
          <w:pPr>
            <w:pStyle w:val="Encabezado"/>
            <w:ind w:left="-170"/>
            <w:jc w:val="left"/>
          </w:pPr>
          <w:r>
            <w:rPr>
              <w:b/>
              <w:noProof/>
              <w:sz w:val="32"/>
              <w:lang w:eastAsia="es-MX"/>
            </w:rPr>
            <w:drawing>
              <wp:inline distT="0" distB="0" distL="0" distR="0" wp14:anchorId="72F68E71" wp14:editId="77C37E95">
                <wp:extent cx="1014331" cy="119940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37" w:type="dxa"/>
        </w:tcPr>
        <w:p w14:paraId="57B920E5" w14:textId="77777777" w:rsidR="00C413FD" w:rsidRPr="00063338" w:rsidRDefault="00C413FD" w:rsidP="00C413FD">
          <w:pPr>
            <w:pStyle w:val="Encabezado"/>
            <w:spacing w:before="720"/>
            <w:ind w:left="0"/>
            <w:jc w:val="center"/>
            <w:rPr>
              <w:b/>
              <w:bCs/>
              <w:sz w:val="25"/>
              <w:szCs w:val="25"/>
            </w:rPr>
          </w:pPr>
          <w:r w:rsidRPr="00063338">
            <w:rPr>
              <w:b/>
              <w:bCs/>
              <w:sz w:val="25"/>
              <w:szCs w:val="25"/>
            </w:rPr>
            <w:t>INSTITUTO ELECTORAL Y DE PARTICIPACIÓN CIUDADANA DE TABASCO</w:t>
          </w:r>
        </w:p>
        <w:p w14:paraId="742FE10E" w14:textId="77777777" w:rsidR="00C413FD" w:rsidRPr="00063338" w:rsidRDefault="00C413FD" w:rsidP="00C413FD">
          <w:pPr>
            <w:pStyle w:val="Encabezado"/>
            <w:ind w:left="0"/>
            <w:jc w:val="center"/>
          </w:pPr>
          <w:r w:rsidRPr="00063338">
            <w:rPr>
              <w:sz w:val="26"/>
              <w:szCs w:val="26"/>
            </w:rPr>
            <w:t>CONSEJO ESTATAL</w:t>
          </w:r>
        </w:p>
      </w:tc>
      <w:tc>
        <w:tcPr>
          <w:tcW w:w="1701" w:type="dxa"/>
        </w:tcPr>
        <w:p w14:paraId="6BD9DD8E" w14:textId="77777777" w:rsidR="00C413FD" w:rsidRPr="00063338" w:rsidRDefault="00C413FD" w:rsidP="00C413FD">
          <w:pPr>
            <w:pStyle w:val="Encabezado"/>
            <w:spacing w:before="480"/>
            <w:ind w:left="0"/>
          </w:pPr>
          <w:r w:rsidRPr="00063338">
            <w:rPr>
              <w:noProof/>
              <w:lang w:eastAsia="es-MX"/>
            </w:rPr>
            <w:drawing>
              <wp:inline distT="0" distB="0" distL="0" distR="0" wp14:anchorId="21DC0BF2" wp14:editId="11C31976">
                <wp:extent cx="921600" cy="75600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6ACFAF95" w14:textId="77777777" w:rsidR="00C413FD" w:rsidRDefault="00C413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EB5"/>
    <w:multiLevelType w:val="multilevel"/>
    <w:tmpl w:val="C0E22244"/>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7153D0F"/>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AA27894"/>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D4"/>
    <w:rsid w:val="00010F93"/>
    <w:rsid w:val="00012B73"/>
    <w:rsid w:val="00035CDF"/>
    <w:rsid w:val="0004433B"/>
    <w:rsid w:val="00053023"/>
    <w:rsid w:val="00056BEB"/>
    <w:rsid w:val="00072277"/>
    <w:rsid w:val="00076236"/>
    <w:rsid w:val="000C040B"/>
    <w:rsid w:val="000C0F54"/>
    <w:rsid w:val="000D76F8"/>
    <w:rsid w:val="000D7BA3"/>
    <w:rsid w:val="000E5147"/>
    <w:rsid w:val="000F1621"/>
    <w:rsid w:val="000F5FF0"/>
    <w:rsid w:val="001129CB"/>
    <w:rsid w:val="00122F5E"/>
    <w:rsid w:val="00135F9B"/>
    <w:rsid w:val="0015218C"/>
    <w:rsid w:val="00152F39"/>
    <w:rsid w:val="00156A5B"/>
    <w:rsid w:val="0016249E"/>
    <w:rsid w:val="00162B88"/>
    <w:rsid w:val="0016334C"/>
    <w:rsid w:val="001D1E9F"/>
    <w:rsid w:val="001D36AF"/>
    <w:rsid w:val="001E61CF"/>
    <w:rsid w:val="001E62DE"/>
    <w:rsid w:val="001F2A4C"/>
    <w:rsid w:val="001F56DA"/>
    <w:rsid w:val="002106C2"/>
    <w:rsid w:val="002317D7"/>
    <w:rsid w:val="002669C6"/>
    <w:rsid w:val="00292DF0"/>
    <w:rsid w:val="002A5C36"/>
    <w:rsid w:val="002A64B9"/>
    <w:rsid w:val="002B3031"/>
    <w:rsid w:val="002F3B2F"/>
    <w:rsid w:val="00304462"/>
    <w:rsid w:val="00312D81"/>
    <w:rsid w:val="00324201"/>
    <w:rsid w:val="003347CC"/>
    <w:rsid w:val="003511F8"/>
    <w:rsid w:val="00352590"/>
    <w:rsid w:val="003576A3"/>
    <w:rsid w:val="00361A62"/>
    <w:rsid w:val="003A00F6"/>
    <w:rsid w:val="003B45A0"/>
    <w:rsid w:val="003C3954"/>
    <w:rsid w:val="003D0C78"/>
    <w:rsid w:val="003D15AB"/>
    <w:rsid w:val="003D1C84"/>
    <w:rsid w:val="003D225B"/>
    <w:rsid w:val="003F4119"/>
    <w:rsid w:val="00405306"/>
    <w:rsid w:val="00415BF4"/>
    <w:rsid w:val="00434887"/>
    <w:rsid w:val="004552C5"/>
    <w:rsid w:val="00457328"/>
    <w:rsid w:val="00497A27"/>
    <w:rsid w:val="004D4302"/>
    <w:rsid w:val="004F2330"/>
    <w:rsid w:val="00512E8D"/>
    <w:rsid w:val="00531F36"/>
    <w:rsid w:val="00541D1F"/>
    <w:rsid w:val="0057708F"/>
    <w:rsid w:val="005851F2"/>
    <w:rsid w:val="0059575D"/>
    <w:rsid w:val="005A6D07"/>
    <w:rsid w:val="005A78BB"/>
    <w:rsid w:val="005B638B"/>
    <w:rsid w:val="005C52DB"/>
    <w:rsid w:val="005C73ED"/>
    <w:rsid w:val="005C7F4F"/>
    <w:rsid w:val="005D5151"/>
    <w:rsid w:val="005F2C05"/>
    <w:rsid w:val="005F486C"/>
    <w:rsid w:val="006105FD"/>
    <w:rsid w:val="00617C78"/>
    <w:rsid w:val="00621635"/>
    <w:rsid w:val="006279B8"/>
    <w:rsid w:val="00641187"/>
    <w:rsid w:val="00652CDE"/>
    <w:rsid w:val="006950EB"/>
    <w:rsid w:val="006C3141"/>
    <w:rsid w:val="006D34AE"/>
    <w:rsid w:val="006E6781"/>
    <w:rsid w:val="006F0B79"/>
    <w:rsid w:val="00703E45"/>
    <w:rsid w:val="007050DB"/>
    <w:rsid w:val="00710FEE"/>
    <w:rsid w:val="00717333"/>
    <w:rsid w:val="00723713"/>
    <w:rsid w:val="00730F60"/>
    <w:rsid w:val="007332C8"/>
    <w:rsid w:val="00781D82"/>
    <w:rsid w:val="007B63AE"/>
    <w:rsid w:val="007B7B44"/>
    <w:rsid w:val="007C1E47"/>
    <w:rsid w:val="007C7F69"/>
    <w:rsid w:val="007D08FA"/>
    <w:rsid w:val="007D2F0C"/>
    <w:rsid w:val="007D5E15"/>
    <w:rsid w:val="007F1038"/>
    <w:rsid w:val="00802302"/>
    <w:rsid w:val="00806D15"/>
    <w:rsid w:val="00825AE4"/>
    <w:rsid w:val="0083287A"/>
    <w:rsid w:val="008433AD"/>
    <w:rsid w:val="00843E50"/>
    <w:rsid w:val="00852000"/>
    <w:rsid w:val="00854B03"/>
    <w:rsid w:val="00863FF2"/>
    <w:rsid w:val="0086471F"/>
    <w:rsid w:val="008662A8"/>
    <w:rsid w:val="0089533B"/>
    <w:rsid w:val="008C02CE"/>
    <w:rsid w:val="009152C7"/>
    <w:rsid w:val="009231A8"/>
    <w:rsid w:val="00940ECC"/>
    <w:rsid w:val="0095455F"/>
    <w:rsid w:val="00956F78"/>
    <w:rsid w:val="00981B44"/>
    <w:rsid w:val="009A09D4"/>
    <w:rsid w:val="009A2E0D"/>
    <w:rsid w:val="009B1ABB"/>
    <w:rsid w:val="009B3092"/>
    <w:rsid w:val="009B4B00"/>
    <w:rsid w:val="009D04EE"/>
    <w:rsid w:val="009E0321"/>
    <w:rsid w:val="009E3E40"/>
    <w:rsid w:val="009E609C"/>
    <w:rsid w:val="009F0DC3"/>
    <w:rsid w:val="00A03B39"/>
    <w:rsid w:val="00A0602A"/>
    <w:rsid w:val="00A173F4"/>
    <w:rsid w:val="00A2196F"/>
    <w:rsid w:val="00A30B80"/>
    <w:rsid w:val="00A35925"/>
    <w:rsid w:val="00A36A03"/>
    <w:rsid w:val="00A7647A"/>
    <w:rsid w:val="00A80C37"/>
    <w:rsid w:val="00AA3424"/>
    <w:rsid w:val="00AB522F"/>
    <w:rsid w:val="00AC1628"/>
    <w:rsid w:val="00AD48D9"/>
    <w:rsid w:val="00AD7D56"/>
    <w:rsid w:val="00AE584D"/>
    <w:rsid w:val="00AE60B2"/>
    <w:rsid w:val="00AE6D8B"/>
    <w:rsid w:val="00B04FAD"/>
    <w:rsid w:val="00B2146F"/>
    <w:rsid w:val="00B23693"/>
    <w:rsid w:val="00B540F1"/>
    <w:rsid w:val="00B6266A"/>
    <w:rsid w:val="00B67588"/>
    <w:rsid w:val="00B71FB9"/>
    <w:rsid w:val="00B7341E"/>
    <w:rsid w:val="00B75DD1"/>
    <w:rsid w:val="00B765DA"/>
    <w:rsid w:val="00B84BE9"/>
    <w:rsid w:val="00B967AA"/>
    <w:rsid w:val="00BD4487"/>
    <w:rsid w:val="00BE293A"/>
    <w:rsid w:val="00BE3DC4"/>
    <w:rsid w:val="00BF64F5"/>
    <w:rsid w:val="00C03315"/>
    <w:rsid w:val="00C05F84"/>
    <w:rsid w:val="00C071C0"/>
    <w:rsid w:val="00C413FD"/>
    <w:rsid w:val="00C447F8"/>
    <w:rsid w:val="00C54F97"/>
    <w:rsid w:val="00C5751F"/>
    <w:rsid w:val="00C60A89"/>
    <w:rsid w:val="00C903BC"/>
    <w:rsid w:val="00C910F8"/>
    <w:rsid w:val="00CA2026"/>
    <w:rsid w:val="00CA2BE7"/>
    <w:rsid w:val="00CB4B82"/>
    <w:rsid w:val="00CC6840"/>
    <w:rsid w:val="00CD092F"/>
    <w:rsid w:val="00CE1DCA"/>
    <w:rsid w:val="00D136C7"/>
    <w:rsid w:val="00D37A23"/>
    <w:rsid w:val="00D51AD4"/>
    <w:rsid w:val="00D665BF"/>
    <w:rsid w:val="00D671D6"/>
    <w:rsid w:val="00D941AD"/>
    <w:rsid w:val="00DF1A16"/>
    <w:rsid w:val="00E31F2D"/>
    <w:rsid w:val="00E353CF"/>
    <w:rsid w:val="00E53858"/>
    <w:rsid w:val="00E6002A"/>
    <w:rsid w:val="00E609D2"/>
    <w:rsid w:val="00E65CE1"/>
    <w:rsid w:val="00E73743"/>
    <w:rsid w:val="00E92057"/>
    <w:rsid w:val="00EB48D1"/>
    <w:rsid w:val="00EB6D78"/>
    <w:rsid w:val="00EB7258"/>
    <w:rsid w:val="00EC009D"/>
    <w:rsid w:val="00EC0570"/>
    <w:rsid w:val="00EC08F7"/>
    <w:rsid w:val="00EC7046"/>
    <w:rsid w:val="00EE5FE4"/>
    <w:rsid w:val="00EF2EF5"/>
    <w:rsid w:val="00F07202"/>
    <w:rsid w:val="00F15857"/>
    <w:rsid w:val="00F16F21"/>
    <w:rsid w:val="00F27505"/>
    <w:rsid w:val="00F3399E"/>
    <w:rsid w:val="00F40F09"/>
    <w:rsid w:val="00F50CE1"/>
    <w:rsid w:val="00F51A20"/>
    <w:rsid w:val="00F554FF"/>
    <w:rsid w:val="00F8459B"/>
    <w:rsid w:val="00F87845"/>
    <w:rsid w:val="00FB3CC9"/>
    <w:rsid w:val="00FD7812"/>
    <w:rsid w:val="00FF31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5767E"/>
  <w15:chartTrackingRefBased/>
  <w15:docId w15:val="{D215B0FF-F385-4AC2-9011-63FD9DB4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41E"/>
    <w:pPr>
      <w:spacing w:after="240" w:line="283" w:lineRule="auto"/>
      <w:ind w:left="624"/>
      <w:jc w:val="both"/>
    </w:pPr>
    <w:rPr>
      <w:rFonts w:ascii="Arial" w:hAnsi="Arial" w:cs="Arial"/>
      <w:sz w:val="24"/>
      <w:szCs w:val="24"/>
    </w:rPr>
  </w:style>
  <w:style w:type="paragraph" w:styleId="Ttulo1">
    <w:name w:val="heading 1"/>
    <w:basedOn w:val="Normal"/>
    <w:next w:val="Normal"/>
    <w:link w:val="Ttulo1Car"/>
    <w:uiPriority w:val="9"/>
    <w:qFormat/>
    <w:rsid w:val="002A64B9"/>
    <w:pPr>
      <w:numPr>
        <w:numId w:val="1"/>
      </w:numPr>
      <w:spacing w:before="480" w:after="360" w:line="288" w:lineRule="auto"/>
      <w:jc w:val="center"/>
      <w:outlineLvl w:val="0"/>
    </w:pPr>
    <w:rPr>
      <w:b/>
      <w:bCs/>
      <w:sz w:val="28"/>
      <w:szCs w:val="28"/>
    </w:rPr>
  </w:style>
  <w:style w:type="paragraph" w:styleId="Ttulo2">
    <w:name w:val="heading 2"/>
    <w:basedOn w:val="Normal"/>
    <w:next w:val="Normal"/>
    <w:link w:val="Ttulo2Car"/>
    <w:uiPriority w:val="9"/>
    <w:unhideWhenUsed/>
    <w:qFormat/>
    <w:rsid w:val="00B7341E"/>
    <w:pPr>
      <w:keepNext/>
      <w:keepLines/>
      <w:numPr>
        <w:ilvl w:val="1"/>
        <w:numId w:val="1"/>
      </w:numPr>
      <w:spacing w:before="360" w:after="0"/>
      <w:ind w:left="624" w:hanging="624"/>
      <w:outlineLvl w:val="1"/>
    </w:pPr>
    <w:rPr>
      <w:rFonts w:eastAsiaTheme="majorEastAsia"/>
      <w:b/>
      <w:bCs/>
    </w:rPr>
  </w:style>
  <w:style w:type="paragraph" w:styleId="Ttulo3">
    <w:name w:val="heading 3"/>
    <w:basedOn w:val="Normal"/>
    <w:next w:val="Normal"/>
    <w:link w:val="Ttulo3Car"/>
    <w:uiPriority w:val="9"/>
    <w:unhideWhenUsed/>
    <w:qFormat/>
    <w:rsid w:val="005C73ED"/>
    <w:pPr>
      <w:keepNext/>
      <w:keepLines/>
      <w:numPr>
        <w:ilvl w:val="2"/>
        <w:numId w:val="1"/>
      </w:numPr>
      <w:spacing w:before="40" w:after="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8662A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662A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662A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662A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662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662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A64B9"/>
    <w:rPr>
      <w:rFonts w:ascii="Calisto MT" w:hAnsi="Calisto MT"/>
      <w:b/>
      <w:bCs/>
      <w:sz w:val="28"/>
      <w:szCs w:val="28"/>
    </w:rPr>
  </w:style>
  <w:style w:type="character" w:customStyle="1" w:styleId="Ttulo3Car">
    <w:name w:val="Título 3 Car"/>
    <w:basedOn w:val="Fuentedeprrafopredeter"/>
    <w:link w:val="Ttulo3"/>
    <w:uiPriority w:val="9"/>
    <w:rsid w:val="005C73ED"/>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rsid w:val="00B7341E"/>
    <w:rPr>
      <w:rFonts w:ascii="Arial" w:eastAsiaTheme="majorEastAsia" w:hAnsi="Arial" w:cs="Arial"/>
      <w:b/>
      <w:bCs/>
      <w:sz w:val="24"/>
      <w:szCs w:val="24"/>
    </w:rPr>
  </w:style>
  <w:style w:type="paragraph" w:customStyle="1" w:styleId="Puntos">
    <w:name w:val="Puntos"/>
    <w:basedOn w:val="Normal"/>
    <w:link w:val="PuntosCar"/>
    <w:qFormat/>
    <w:rsid w:val="00D51AD4"/>
  </w:style>
  <w:style w:type="character" w:customStyle="1" w:styleId="Ttulo4Car">
    <w:name w:val="Título 4 Car"/>
    <w:basedOn w:val="Fuentedeprrafopredeter"/>
    <w:link w:val="Ttulo4"/>
    <w:uiPriority w:val="9"/>
    <w:semiHidden/>
    <w:rsid w:val="008662A8"/>
    <w:rPr>
      <w:rFonts w:asciiTheme="majorHAnsi" w:eastAsiaTheme="majorEastAsia" w:hAnsiTheme="majorHAnsi" w:cstheme="majorBidi"/>
      <w:i/>
      <w:iCs/>
      <w:color w:val="2F5496" w:themeColor="accent1" w:themeShade="BF"/>
      <w:sz w:val="24"/>
      <w:szCs w:val="24"/>
    </w:rPr>
  </w:style>
  <w:style w:type="character" w:customStyle="1" w:styleId="PuntosCar">
    <w:name w:val="Puntos Car"/>
    <w:basedOn w:val="Fuentedeprrafopredeter"/>
    <w:link w:val="Puntos"/>
    <w:rsid w:val="00D51AD4"/>
    <w:rPr>
      <w:rFonts w:ascii="Calisto MT" w:hAnsi="Calisto MT"/>
      <w:sz w:val="24"/>
      <w:szCs w:val="24"/>
    </w:rPr>
  </w:style>
  <w:style w:type="character" w:customStyle="1" w:styleId="Ttulo5Car">
    <w:name w:val="Título 5 Car"/>
    <w:basedOn w:val="Fuentedeprrafopredeter"/>
    <w:link w:val="Ttulo5"/>
    <w:uiPriority w:val="9"/>
    <w:semiHidden/>
    <w:rsid w:val="008662A8"/>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semiHidden/>
    <w:rsid w:val="008662A8"/>
    <w:rPr>
      <w:rFonts w:asciiTheme="majorHAnsi" w:eastAsiaTheme="majorEastAsia" w:hAnsiTheme="majorHAnsi" w:cstheme="majorBidi"/>
      <w:color w:val="1F3763" w:themeColor="accent1" w:themeShade="7F"/>
      <w:sz w:val="24"/>
      <w:szCs w:val="24"/>
    </w:rPr>
  </w:style>
  <w:style w:type="character" w:customStyle="1" w:styleId="Ttulo7Car">
    <w:name w:val="Título 7 Car"/>
    <w:basedOn w:val="Fuentedeprrafopredeter"/>
    <w:link w:val="Ttulo7"/>
    <w:uiPriority w:val="9"/>
    <w:semiHidden/>
    <w:rsid w:val="008662A8"/>
    <w:rPr>
      <w:rFonts w:asciiTheme="majorHAnsi" w:eastAsiaTheme="majorEastAsia" w:hAnsiTheme="majorHAnsi" w:cstheme="majorBidi"/>
      <w:i/>
      <w:iCs/>
      <w:color w:val="1F3763" w:themeColor="accent1" w:themeShade="7F"/>
      <w:sz w:val="24"/>
      <w:szCs w:val="24"/>
    </w:rPr>
  </w:style>
  <w:style w:type="character" w:customStyle="1" w:styleId="Ttulo8Car">
    <w:name w:val="Título 8 Car"/>
    <w:basedOn w:val="Fuentedeprrafopredeter"/>
    <w:link w:val="Ttulo8"/>
    <w:uiPriority w:val="9"/>
    <w:semiHidden/>
    <w:rsid w:val="008662A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662A8"/>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7050DB"/>
    <w:pPr>
      <w:widowControl w:val="0"/>
      <w:spacing w:after="480"/>
      <w:ind w:left="0"/>
    </w:pPr>
    <w:rPr>
      <w:rFonts w:cs="Louis George Cafe"/>
      <w:b/>
      <w:sz w:val="28"/>
      <w:szCs w:val="26"/>
    </w:rPr>
  </w:style>
  <w:style w:type="character" w:customStyle="1" w:styleId="TtuloCar">
    <w:name w:val="Título Car"/>
    <w:basedOn w:val="Fuentedeprrafopredeter"/>
    <w:link w:val="Ttulo"/>
    <w:uiPriority w:val="10"/>
    <w:rsid w:val="007050DB"/>
    <w:rPr>
      <w:rFonts w:ascii="Calisto MT" w:hAnsi="Calisto MT" w:cs="Louis George Cafe"/>
      <w:b/>
      <w:sz w:val="28"/>
      <w:szCs w:val="26"/>
    </w:rPr>
  </w:style>
  <w:style w:type="paragraph" w:styleId="Encabezado">
    <w:name w:val="header"/>
    <w:basedOn w:val="Normal"/>
    <w:link w:val="EncabezadoCar"/>
    <w:uiPriority w:val="99"/>
    <w:unhideWhenUsed/>
    <w:rsid w:val="00705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0DB"/>
    <w:rPr>
      <w:rFonts w:ascii="Calisto MT" w:hAnsi="Calisto MT"/>
      <w:sz w:val="24"/>
      <w:szCs w:val="24"/>
    </w:rPr>
  </w:style>
  <w:style w:type="paragraph" w:styleId="Piedepgina">
    <w:name w:val="footer"/>
    <w:basedOn w:val="Normal"/>
    <w:link w:val="PiedepginaCar"/>
    <w:uiPriority w:val="99"/>
    <w:unhideWhenUsed/>
    <w:rsid w:val="00705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0DB"/>
    <w:rPr>
      <w:rFonts w:ascii="Calisto MT" w:hAnsi="Calisto MT"/>
      <w:sz w:val="24"/>
      <w:szCs w:val="24"/>
    </w:rPr>
  </w:style>
  <w:style w:type="table" w:styleId="Tablaconcuadrcula">
    <w:name w:val="Table Grid"/>
    <w:basedOn w:val="Tablanormal"/>
    <w:uiPriority w:val="39"/>
    <w:rsid w:val="00AD4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2378</Words>
  <Characters>13083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Leon</dc:creator>
  <cp:keywords/>
  <dc:description/>
  <cp:lastModifiedBy>Lic_ Carlos E. León Mayo</cp:lastModifiedBy>
  <cp:revision>116</cp:revision>
  <cp:lastPrinted>2023-01-27T18:17:00Z</cp:lastPrinted>
  <dcterms:created xsi:type="dcterms:W3CDTF">2023-01-09T19:41:00Z</dcterms:created>
  <dcterms:modified xsi:type="dcterms:W3CDTF">2023-01-31T17:53:00Z</dcterms:modified>
</cp:coreProperties>
</file>