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C0C1" w14:textId="65FF1A6C" w:rsidR="00DA36C2" w:rsidRDefault="00DA36C2" w:rsidP="004D46E3">
      <w:pPr>
        <w:pStyle w:val="Ttulo"/>
        <w:spacing w:after="240" w:line="29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CE/2023/004</w:t>
      </w:r>
    </w:p>
    <w:p w14:paraId="08F76F92" w14:textId="32365EAF" w:rsidR="007050DB" w:rsidRPr="009A09D4" w:rsidRDefault="00DA36C2" w:rsidP="004D46E3">
      <w:pPr>
        <w:pStyle w:val="Ttulo"/>
        <w:spacing w:line="295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50DB" w:rsidRPr="009A09D4">
        <w:rPr>
          <w:rFonts w:ascii="Arial" w:hAnsi="Arial" w:cs="Arial"/>
        </w:rPr>
        <w:t xml:space="preserve">cuerdo que emite el Consejo Estatal del Instituto Electoral y de Participación Ciudadana de Tabasco, mediante el cual aprueba el Programa Anual de Trabajo </w:t>
      </w:r>
      <w:r w:rsidR="00A03B39" w:rsidRPr="009A09D4">
        <w:rPr>
          <w:rFonts w:ascii="Arial" w:hAnsi="Arial" w:cs="Arial"/>
        </w:rPr>
        <w:t xml:space="preserve">de </w:t>
      </w:r>
      <w:r w:rsidR="007050DB" w:rsidRPr="009A09D4">
        <w:rPr>
          <w:rFonts w:ascii="Arial" w:hAnsi="Arial" w:cs="Arial"/>
        </w:rPr>
        <w:t xml:space="preserve">la Comisión </w:t>
      </w:r>
      <w:r w:rsidR="003F4119" w:rsidRPr="009A09D4">
        <w:rPr>
          <w:rFonts w:ascii="Arial" w:hAnsi="Arial" w:cs="Arial"/>
        </w:rPr>
        <w:t xml:space="preserve">de Igualdad de Género y no Discriminación, </w:t>
      </w:r>
      <w:r w:rsidR="007050DB" w:rsidRPr="009A09D4">
        <w:rPr>
          <w:rFonts w:ascii="Arial" w:hAnsi="Arial" w:cs="Arial"/>
        </w:rPr>
        <w:t>para el año 2023</w:t>
      </w:r>
    </w:p>
    <w:p w14:paraId="177FF168" w14:textId="77777777" w:rsidR="007050DB" w:rsidRPr="009A09D4" w:rsidRDefault="007050DB" w:rsidP="004D46E3">
      <w:pPr>
        <w:spacing w:line="295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</w:rPr>
        <w:t>Para efectos del presente acuerdo se usarán las abreviaturas y definiciones siguientes:</w:t>
      </w:r>
    </w:p>
    <w:tbl>
      <w:tblPr>
        <w:tblW w:w="4162" w:type="pct"/>
        <w:jc w:val="center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3001"/>
        <w:gridCol w:w="4347"/>
      </w:tblGrid>
      <w:tr w:rsidR="007050DB" w:rsidRPr="009A09D4" w14:paraId="6DB13BF1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225CF38E" w14:textId="2DE607A6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 xml:space="preserve">Comisión de </w:t>
            </w:r>
            <w:r w:rsidR="00D37A23" w:rsidRPr="009A09D4">
              <w:rPr>
                <w:rFonts w:ascii="Arial" w:hAnsi="Arial" w:cs="Arial"/>
                <w:b/>
                <w:sz w:val="22"/>
                <w:szCs w:val="22"/>
              </w:rPr>
              <w:t>Género</w:t>
            </w:r>
            <w:r w:rsidRPr="009A09D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62F86115" w14:textId="4C76BB6A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 xml:space="preserve">Comisión de </w:t>
            </w:r>
            <w:r w:rsidR="00E92057" w:rsidRPr="009A09D4">
              <w:rPr>
                <w:rFonts w:ascii="Arial" w:hAnsi="Arial" w:cs="Arial"/>
                <w:sz w:val="22"/>
                <w:szCs w:val="22"/>
              </w:rPr>
              <w:t xml:space="preserve">Igualdad de Género y no Discriminación </w:t>
            </w:r>
            <w:r w:rsidRPr="009A09D4">
              <w:rPr>
                <w:rFonts w:ascii="Arial" w:hAnsi="Arial" w:cs="Arial"/>
                <w:sz w:val="22"/>
                <w:szCs w:val="22"/>
              </w:rPr>
              <w:t>del Instituto Electoral y de Participación Ciudadana de Tabasco.</w:t>
            </w:r>
          </w:p>
        </w:tc>
      </w:tr>
      <w:tr w:rsidR="007050DB" w:rsidRPr="009A09D4" w14:paraId="51B5D865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43557A2C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Consejo Estatal: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413CB9EF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Consejo Estatal del Instituto Electoral y de Participación Ciudadana de Tabasco.</w:t>
            </w:r>
          </w:p>
        </w:tc>
      </w:tr>
      <w:tr w:rsidR="007050DB" w:rsidRPr="009A09D4" w14:paraId="16AB0641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483B7AF9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Constitución Federal: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2CE98BF5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Constitución Política de los Estados Unidos Mexicanos.</w:t>
            </w:r>
          </w:p>
        </w:tc>
      </w:tr>
      <w:tr w:rsidR="007050DB" w:rsidRPr="009A09D4" w14:paraId="74C530DD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3A1BB3B2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Constitución Local: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53C98376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Constitución Política del Estado Libre y Soberano de Tabasco.</w:t>
            </w:r>
          </w:p>
        </w:tc>
      </w:tr>
      <w:tr w:rsidR="007050DB" w:rsidRPr="009A09D4" w14:paraId="3041E071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4BF076CF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INE: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630ACC06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Instituto Nacional Electoral.</w:t>
            </w:r>
          </w:p>
        </w:tc>
      </w:tr>
      <w:tr w:rsidR="007050DB" w:rsidRPr="009A09D4" w14:paraId="120FEBAA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A4C15DB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Instituto Electoral:</w:t>
            </w:r>
          </w:p>
        </w:tc>
        <w:tc>
          <w:tcPr>
            <w:tcW w:w="2958" w:type="pct"/>
            <w:shd w:val="clear" w:color="auto" w:fill="auto"/>
          </w:tcPr>
          <w:p w14:paraId="03EF655A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Instituto Electoral y de Participación Ciudadana de Tabasco.</w:t>
            </w:r>
          </w:p>
        </w:tc>
      </w:tr>
      <w:tr w:rsidR="007050DB" w:rsidRPr="009A09D4" w14:paraId="3188DB2B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3E599F48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Ley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0F4051A5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Ley Electoral y de Partidos Políticos del Estado de Tabasco.</w:t>
            </w:r>
          </w:p>
        </w:tc>
      </w:tr>
      <w:tr w:rsidR="007050DB" w:rsidRPr="009A09D4" w14:paraId="63A939B7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A4CCB3F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Ley General: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1F1E2CCB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Ley General de Instituciones y Procedimientos Electorales.</w:t>
            </w:r>
          </w:p>
        </w:tc>
      </w:tr>
      <w:tr w:rsidR="007050DB" w:rsidRPr="009A09D4" w14:paraId="400DCE3D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E1816BE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Organismo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2D2D5B21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 xml:space="preserve">Organismo(s) público(s) local(es) electoral(es). </w:t>
            </w:r>
          </w:p>
        </w:tc>
      </w:tr>
      <w:tr w:rsidR="007050DB" w:rsidRPr="009A09D4" w14:paraId="0C0F7FC1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CADDE69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Secretaría Ejecutiva: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653A63B2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Secretaría Ejecutiva del Instituto Electoral y de Participación Ciudadana de Tabasco.</w:t>
            </w:r>
          </w:p>
        </w:tc>
      </w:tr>
      <w:tr w:rsidR="007050DB" w:rsidRPr="009A09D4" w14:paraId="0CCBDD35" w14:textId="77777777" w:rsidTr="00594B1C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49A4CBA8" w14:textId="77777777" w:rsidR="007050DB" w:rsidRPr="009A09D4" w:rsidRDefault="007050DB" w:rsidP="004D46E3">
            <w:pPr>
              <w:spacing w:before="40" w:after="40" w:line="295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09D4">
              <w:rPr>
                <w:rFonts w:ascii="Arial" w:hAnsi="Arial" w:cs="Arial"/>
                <w:b/>
                <w:sz w:val="22"/>
                <w:szCs w:val="22"/>
              </w:rPr>
              <w:t>Reglamento de Comisiones: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5225BCE1" w14:textId="77777777" w:rsidR="007050DB" w:rsidRPr="009A09D4" w:rsidRDefault="007050DB" w:rsidP="004D46E3">
            <w:pPr>
              <w:spacing w:before="40" w:after="40" w:line="295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A09D4">
              <w:rPr>
                <w:rFonts w:ascii="Arial" w:hAnsi="Arial" w:cs="Arial"/>
                <w:sz w:val="22"/>
                <w:szCs w:val="22"/>
              </w:rPr>
              <w:t>Reglamento de Comisiones del Consejo Estatal.</w:t>
            </w:r>
          </w:p>
        </w:tc>
      </w:tr>
    </w:tbl>
    <w:p w14:paraId="53849C8A" w14:textId="34459100" w:rsidR="00D51AD4" w:rsidRPr="009A09D4" w:rsidRDefault="009A2E0D" w:rsidP="004D46E3">
      <w:pPr>
        <w:pStyle w:val="Ttulo1"/>
        <w:spacing w:before="840" w:line="295" w:lineRule="auto"/>
        <w:ind w:left="431" w:hanging="431"/>
        <w:rPr>
          <w:rFonts w:ascii="Arial" w:hAnsi="Arial" w:cs="Arial"/>
        </w:rPr>
      </w:pPr>
      <w:r w:rsidRPr="009A09D4">
        <w:rPr>
          <w:rFonts w:ascii="Arial" w:hAnsi="Arial" w:cs="Arial"/>
        </w:rPr>
        <w:br w:type="page"/>
      </w:r>
      <w:r w:rsidR="00D51AD4" w:rsidRPr="009A09D4">
        <w:rPr>
          <w:rFonts w:ascii="Arial" w:hAnsi="Arial" w:cs="Arial"/>
        </w:rPr>
        <w:lastRenderedPageBreak/>
        <w:t>Antecedentes</w:t>
      </w:r>
    </w:p>
    <w:p w14:paraId="21763D44" w14:textId="614682A3" w:rsidR="00D51AD4" w:rsidRPr="009A09D4" w:rsidRDefault="00D51AD4" w:rsidP="004D46E3">
      <w:pPr>
        <w:pStyle w:val="Ttulo2"/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Integración de la </w:t>
      </w:r>
      <w:r w:rsidR="00E92057" w:rsidRPr="009A09D4">
        <w:rPr>
          <w:rFonts w:ascii="Arial" w:hAnsi="Arial" w:cs="Arial"/>
        </w:rPr>
        <w:t>Comisión de Género</w:t>
      </w:r>
    </w:p>
    <w:p w14:paraId="50191918" w14:textId="51A5CDF3" w:rsidR="00D51AD4" w:rsidRPr="009A09D4" w:rsidRDefault="00D51AD4" w:rsidP="004D46E3">
      <w:pPr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El 08 de octubre del 2020</w:t>
      </w:r>
      <w:r w:rsidR="007B7B44" w:rsidRPr="009A09D4">
        <w:rPr>
          <w:rFonts w:ascii="Arial" w:hAnsi="Arial" w:cs="Arial"/>
        </w:rPr>
        <w:t xml:space="preserve">, </w:t>
      </w:r>
      <w:r w:rsidR="001F56DA" w:rsidRPr="009A09D4">
        <w:rPr>
          <w:rFonts w:ascii="Arial" w:hAnsi="Arial" w:cs="Arial"/>
        </w:rPr>
        <w:t>en cumplimiento a lo que señala el artículo 113 de la Ley Electoral</w:t>
      </w:r>
      <w:r w:rsidR="00C071C0" w:rsidRPr="009A09D4">
        <w:rPr>
          <w:rFonts w:ascii="Arial" w:hAnsi="Arial" w:cs="Arial"/>
        </w:rPr>
        <w:t xml:space="preserve">, </w:t>
      </w:r>
      <w:r w:rsidR="007B7B44" w:rsidRPr="009A09D4">
        <w:rPr>
          <w:rFonts w:ascii="Arial" w:hAnsi="Arial" w:cs="Arial"/>
        </w:rPr>
        <w:t xml:space="preserve">el Consejo Estatal mediante acuerdo CE/2020/43, </w:t>
      </w:r>
      <w:r w:rsidRPr="009A09D4">
        <w:rPr>
          <w:rFonts w:ascii="Arial" w:hAnsi="Arial" w:cs="Arial"/>
        </w:rPr>
        <w:t xml:space="preserve">constituyó la </w:t>
      </w:r>
      <w:r w:rsidR="00E92057" w:rsidRPr="009A09D4">
        <w:rPr>
          <w:rFonts w:ascii="Arial" w:hAnsi="Arial" w:cs="Arial"/>
        </w:rPr>
        <w:t>Comisión de Género</w:t>
      </w:r>
      <w:r w:rsidR="007F1038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la cual en términos del artículo 1</w:t>
      </w:r>
      <w:r w:rsidR="00E92057" w:rsidRPr="009A09D4">
        <w:rPr>
          <w:rFonts w:ascii="Arial" w:hAnsi="Arial" w:cs="Arial"/>
        </w:rPr>
        <w:t>9</w:t>
      </w:r>
      <w:r w:rsidRPr="009A09D4">
        <w:rPr>
          <w:rFonts w:ascii="Arial" w:hAnsi="Arial" w:cs="Arial"/>
        </w:rPr>
        <w:t xml:space="preserve"> del Reglamento de Comisiones, </w:t>
      </w:r>
      <w:r w:rsidR="00E92057" w:rsidRPr="009A09D4">
        <w:rPr>
          <w:rFonts w:ascii="Arial" w:hAnsi="Arial" w:cs="Arial"/>
        </w:rPr>
        <w:t>quedó integrada por las Consejeras Electorales, Lic. María Elvia Magaña Sandoval y Mtra. Rosselvy del Carmen Domínguez Arévalo, y el Consejero Electoral, Lic. Vladimir Hernández Venegas</w:t>
      </w:r>
      <w:r w:rsidRPr="009A09D4">
        <w:rPr>
          <w:rFonts w:ascii="Arial" w:hAnsi="Arial" w:cs="Arial"/>
        </w:rPr>
        <w:t>.</w:t>
      </w:r>
    </w:p>
    <w:p w14:paraId="6DE47AD1" w14:textId="585FE260" w:rsidR="00D51AD4" w:rsidRPr="009A09D4" w:rsidRDefault="00D51AD4" w:rsidP="004D46E3">
      <w:pPr>
        <w:pStyle w:val="Ttulo2"/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Ratificación de la Presidencia de la Comisión</w:t>
      </w:r>
    </w:p>
    <w:p w14:paraId="7148A09B" w14:textId="7E7F1519" w:rsidR="00D51AD4" w:rsidRPr="009A09D4" w:rsidRDefault="00D51AD4" w:rsidP="004D46E3">
      <w:pPr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El 31 de octubre de 2022, el Consejo Estatal</w:t>
      </w:r>
      <w:r w:rsidR="007F1038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mediante acuerdo CE/2022/032</w:t>
      </w:r>
      <w:r w:rsidR="007F1038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ratificó a las Consejeras y Consejeros Electorales que asumieron las Presidencias de las Comisiones Permanentes de Organización Electoral y Educación Cívica, de Denuncias y Quejas</w:t>
      </w:r>
      <w:r w:rsidR="00152F39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de Seguimiento al Servicio Profesional Electoral Nacional</w:t>
      </w:r>
      <w:r w:rsidR="00152F39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y de Igualdad de Género y no Discriminación.</w:t>
      </w:r>
    </w:p>
    <w:p w14:paraId="4741F56C" w14:textId="77777777" w:rsidR="006279B8" w:rsidRPr="009A09D4" w:rsidRDefault="006279B8" w:rsidP="004D46E3">
      <w:pPr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En el caso de la Comisión de Género, se ratificó la Presidencia a cargo del Consejero Electoral, Mtro. Vladimir Hernández Venegas.</w:t>
      </w:r>
    </w:p>
    <w:p w14:paraId="43BB56FF" w14:textId="7973104B" w:rsidR="00D51AD4" w:rsidRPr="009A09D4" w:rsidRDefault="00C447F8" w:rsidP="004D46E3">
      <w:pPr>
        <w:pStyle w:val="Ttulo2"/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Calendario de Sesiones</w:t>
      </w:r>
    </w:p>
    <w:p w14:paraId="05055E97" w14:textId="616010EF" w:rsidR="00D51AD4" w:rsidRPr="009A09D4" w:rsidRDefault="00D51AD4" w:rsidP="004D46E3">
      <w:pPr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El </w:t>
      </w:r>
      <w:r w:rsidR="005F2C05" w:rsidRPr="009A09D4">
        <w:rPr>
          <w:rFonts w:ascii="Arial" w:hAnsi="Arial" w:cs="Arial"/>
        </w:rPr>
        <w:t>2</w:t>
      </w:r>
      <w:r w:rsidR="00E81E10">
        <w:rPr>
          <w:rFonts w:ascii="Arial" w:hAnsi="Arial" w:cs="Arial"/>
        </w:rPr>
        <w:t>1</w:t>
      </w:r>
      <w:r w:rsidR="005F2C05" w:rsidRPr="009A09D4">
        <w:rPr>
          <w:rFonts w:ascii="Arial" w:hAnsi="Arial" w:cs="Arial"/>
        </w:rPr>
        <w:t xml:space="preserve"> de diciembre de 2022, </w:t>
      </w:r>
      <w:r w:rsidR="00415BF4" w:rsidRPr="009A09D4">
        <w:rPr>
          <w:rFonts w:ascii="Arial" w:hAnsi="Arial" w:cs="Arial"/>
        </w:rPr>
        <w:t xml:space="preserve">a propuesta de su Presidencia, </w:t>
      </w:r>
      <w:r w:rsidR="005F2C05" w:rsidRPr="009A09D4">
        <w:rPr>
          <w:rFonts w:ascii="Arial" w:hAnsi="Arial" w:cs="Arial"/>
        </w:rPr>
        <w:t xml:space="preserve">el Consejo Estatal aprobó el Calendario Anual de Sesiones Ordinarias correspondiente al ejercicio 2023. </w:t>
      </w:r>
    </w:p>
    <w:p w14:paraId="3A0A7430" w14:textId="7E40A642" w:rsidR="00D51AD4" w:rsidRPr="009A09D4" w:rsidRDefault="00D51AD4" w:rsidP="004D46E3">
      <w:pPr>
        <w:pStyle w:val="Ttulo2"/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Presentación </w:t>
      </w:r>
      <w:r w:rsidR="005C52DB" w:rsidRPr="009A09D4">
        <w:rPr>
          <w:rFonts w:ascii="Arial" w:hAnsi="Arial" w:cs="Arial"/>
        </w:rPr>
        <w:t xml:space="preserve">de la Propuesta </w:t>
      </w:r>
      <w:r w:rsidR="00852000" w:rsidRPr="009A09D4">
        <w:rPr>
          <w:rFonts w:ascii="Arial" w:hAnsi="Arial" w:cs="Arial"/>
        </w:rPr>
        <w:t xml:space="preserve">de </w:t>
      </w:r>
      <w:r w:rsidRPr="009A09D4">
        <w:rPr>
          <w:rFonts w:ascii="Arial" w:hAnsi="Arial" w:cs="Arial"/>
        </w:rPr>
        <w:t>Programa Anual de Trabajo</w:t>
      </w:r>
    </w:p>
    <w:p w14:paraId="3AB744AC" w14:textId="3F28DFA4" w:rsidR="00F87845" w:rsidRDefault="00F87845" w:rsidP="004D46E3">
      <w:pPr>
        <w:spacing w:line="295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23</w:t>
      </w:r>
      <w:r w:rsidRPr="009A09D4">
        <w:rPr>
          <w:rFonts w:ascii="Arial" w:hAnsi="Arial" w:cs="Arial"/>
        </w:rPr>
        <w:t xml:space="preserve"> de enero de 2023, la Secretaria Técnica</w:t>
      </w:r>
      <w:r>
        <w:rPr>
          <w:rFonts w:ascii="Arial" w:hAnsi="Arial" w:cs="Arial"/>
        </w:rPr>
        <w:t xml:space="preserve"> de la Comisión de Género,</w:t>
      </w:r>
      <w:r w:rsidRPr="009A09D4">
        <w:rPr>
          <w:rFonts w:ascii="Arial" w:hAnsi="Arial" w:cs="Arial"/>
        </w:rPr>
        <w:t xml:space="preserve"> mediante oficio </w:t>
      </w:r>
      <w:r>
        <w:rPr>
          <w:rFonts w:ascii="Arial" w:hAnsi="Arial" w:cs="Arial"/>
        </w:rPr>
        <w:t>ST/CIGYND/13/2023,</w:t>
      </w:r>
      <w:r w:rsidRPr="009A09D4">
        <w:rPr>
          <w:rFonts w:ascii="Arial" w:hAnsi="Arial" w:cs="Arial"/>
        </w:rPr>
        <w:t xml:space="preserve"> remitió a la Presidencia del Consejo</w:t>
      </w:r>
      <w:r>
        <w:rPr>
          <w:rFonts w:ascii="Arial" w:hAnsi="Arial" w:cs="Arial"/>
        </w:rPr>
        <w:t xml:space="preserve"> el </w:t>
      </w:r>
      <w:r w:rsidRPr="009A09D4">
        <w:rPr>
          <w:rFonts w:ascii="Arial" w:hAnsi="Arial" w:cs="Arial"/>
        </w:rPr>
        <w:t xml:space="preserve">Programa Anual de Trabajo </w:t>
      </w:r>
      <w:r>
        <w:rPr>
          <w:rFonts w:ascii="Arial" w:hAnsi="Arial" w:cs="Arial"/>
        </w:rPr>
        <w:t xml:space="preserve">propuesto </w:t>
      </w:r>
      <w:r w:rsidRPr="009A09D4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dicha </w:t>
      </w:r>
      <w:r w:rsidRPr="009A09D4">
        <w:rPr>
          <w:rFonts w:ascii="Arial" w:hAnsi="Arial" w:cs="Arial"/>
        </w:rPr>
        <w:t>Comisión</w:t>
      </w:r>
      <w:r>
        <w:rPr>
          <w:rFonts w:ascii="Arial" w:hAnsi="Arial" w:cs="Arial"/>
        </w:rPr>
        <w:t>, para su presentación y deliberación por parte de este Consejo Estatal.</w:t>
      </w:r>
    </w:p>
    <w:p w14:paraId="1E1870F2" w14:textId="3E83F4A9" w:rsidR="004D46E3" w:rsidRDefault="004D46E3">
      <w:pPr>
        <w:spacing w:after="160" w:line="259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3C6F94" w14:textId="77777777" w:rsidR="00D51AD4" w:rsidRPr="009A09D4" w:rsidRDefault="00D51AD4" w:rsidP="004D46E3">
      <w:pPr>
        <w:pStyle w:val="Ttulo1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lastRenderedPageBreak/>
        <w:t>Considerando</w:t>
      </w:r>
    </w:p>
    <w:p w14:paraId="699156A2" w14:textId="744CA686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Fines del Instituto Electoral </w:t>
      </w:r>
    </w:p>
    <w:p w14:paraId="07B564D7" w14:textId="674C8ECB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Que, de conformidad con los artículos 9, apartado C, fracción I, de la Constitución Local</w:t>
      </w:r>
      <w:r w:rsidR="000C0F54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3 numeral 3, 100 y 102 numeral 1</w:t>
      </w:r>
      <w:r w:rsidR="00A0602A" w:rsidRPr="009A09D4">
        <w:rPr>
          <w:rFonts w:ascii="Arial" w:hAnsi="Arial" w:cs="Arial"/>
        </w:rPr>
        <w:t>,</w:t>
      </w:r>
      <w:r w:rsidRPr="009A09D4">
        <w:rPr>
          <w:rFonts w:ascii="Arial" w:hAnsi="Arial" w:cs="Arial"/>
        </w:rPr>
        <w:t xml:space="preserve"> de la Ley Electoral, el Instituto Electoral es un organismo público local de carácter permanente, autónomo en su funcionamiento, independiente en sus decisiones y profesional en su desempeño, dotado de personalidad jurídica y patrimonio propio, cuyas actuaciones se rigen por los principios de certeza, legalidad, independencia, inclusión, imparcialidad, máxima publicidad, transparencia, rendición de cuentas, objetividad, paridad, interculturalidad y las realizarán con perspectiva de género y enfoque de derechos humanos.</w:t>
      </w:r>
    </w:p>
    <w:p w14:paraId="54EA335E" w14:textId="77777777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De acuerdo con el artículo 101 de la Ley Electoral, el Instituto Electoral tiene como finalidades: contribuir al desarrollo de la vida pública y democrática en el estado de Tabasco; preservar el fortalecimiento del régimen de partidos políticos; asegurar a las ciudadanas y ciudadanos el ejercicio de sus derechos políticos electorales y vigilar el cumplimiento de sus obligaciones; garantizar la celebración periódica y pacífica de las elecciones para renovar a los integrantes de los poderes Legislativo, Ejecutivo y los ayuntamientos del Estado; velar por la autenticidad y efectividad del voto; llevar a cabo la promoción del voto y coadyuvar en la difusión de la educación cívica y de la cultura democrática; garantizar la paridad de género y el respeto de los derechos humanos de las mujeres en el ámbito político y electoral; y, organizar o coadyuvar a la realización de los ejercicios de consultas populares y demás formas de participación ciudadana, de conformidad con lo que dispongan las leyes.</w:t>
      </w:r>
    </w:p>
    <w:p w14:paraId="37C17DE2" w14:textId="3B9D52B3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Órganos Centrales del Instituto Electoral</w:t>
      </w:r>
    </w:p>
    <w:p w14:paraId="15070DB0" w14:textId="77777777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Que, el artículo 105 de la Ley Electoral, señala que el Consejo Estatal; la Presidencia del Consejo Estatal; la Junta Estatal Ejecutiva, la Secretaría Ejecutiva y el Órgano Técnico de Fiscalización, constituyen los órganos centrales del Instituto Electoral.</w:t>
      </w:r>
    </w:p>
    <w:p w14:paraId="4AA4D076" w14:textId="1D7A65C9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Órgano Superior de Dirección del Instituto Electoral</w:t>
      </w:r>
    </w:p>
    <w:p w14:paraId="2FDE0933" w14:textId="77777777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Que, de acuerdo con el artículo 106 de la Ley Electoral, el Consejo Estatal es el órgano superior de dirección, responsable de vigilar el cumplimiento de las </w:t>
      </w:r>
      <w:r w:rsidRPr="009A09D4">
        <w:rPr>
          <w:rFonts w:ascii="Arial" w:hAnsi="Arial" w:cs="Arial"/>
        </w:rPr>
        <w:lastRenderedPageBreak/>
        <w:t>disposiciones constitucionales y legales en materia electoral, así como de velar porque los principios de certeza, legalidad, independencia, máxima publicidad, imparcialidad, objetividad y paridad de género, guíen todas las actividades del Instituto Electoral.</w:t>
      </w:r>
    </w:p>
    <w:p w14:paraId="7413A431" w14:textId="7B9F91CE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Integración del Órgano de Dirección Superior</w:t>
      </w:r>
    </w:p>
    <w:p w14:paraId="308EF49F" w14:textId="4140C834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Que, los artículos 99 de la Ley General y 107, numeral 1 de la Ley Electoral, disponen que el Consejo Estatal se integrará por una Consejera o un Consejero Presidente y seis consejeras y consejeros electorales, con voz y voto; la Secretaria o el Secretario Ejecutivo y una o un representante por cada partido político con registro nacional o estatal, quienes concurrirán a las sesiones sólo con derecho a voz.</w:t>
      </w:r>
    </w:p>
    <w:p w14:paraId="479429FB" w14:textId="35A7D924" w:rsidR="003D225B" w:rsidRPr="009A09D4" w:rsidRDefault="00A35925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Competencia </w:t>
      </w:r>
      <w:r w:rsidR="003D225B" w:rsidRPr="009A09D4">
        <w:rPr>
          <w:rFonts w:ascii="Arial" w:hAnsi="Arial" w:cs="Arial"/>
        </w:rPr>
        <w:t xml:space="preserve">del Consejo Estatal </w:t>
      </w:r>
    </w:p>
    <w:p w14:paraId="19877BDE" w14:textId="7518E31C" w:rsidR="00F16F21" w:rsidRPr="009A09D4" w:rsidRDefault="003D225B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Que, </w:t>
      </w:r>
      <w:r w:rsidR="00F16F21" w:rsidRPr="009A09D4">
        <w:rPr>
          <w:rFonts w:ascii="Arial" w:hAnsi="Arial" w:cs="Arial"/>
        </w:rPr>
        <w:t xml:space="preserve">de conformidad con el artículo 115, numeral 1, fracciones XI, XV y XXXIX de la Ley Electoral, corresponde al Consejo Estatal desarrollar y ejecutar los programas en el Estado, de educación cívica, paridad de género y respeto de los derechos humanos de las mujeres en el ámbito político electoral, </w:t>
      </w:r>
      <w:r w:rsidR="00F51A20" w:rsidRPr="009A09D4">
        <w:rPr>
          <w:rFonts w:ascii="Arial" w:hAnsi="Arial" w:cs="Arial"/>
        </w:rPr>
        <w:t xml:space="preserve">así como </w:t>
      </w:r>
      <w:r w:rsidR="00F16F21" w:rsidRPr="009A09D4">
        <w:rPr>
          <w:rFonts w:ascii="Arial" w:hAnsi="Arial" w:cs="Arial"/>
        </w:rPr>
        <w:t>llevar a cabo las actividades necesarias para la preparación de la jornada electoral y ejercer las atribuciones que determine la Ley General y aquellas no reservadas al INE que se establezcan en la legislación local.</w:t>
      </w:r>
    </w:p>
    <w:p w14:paraId="1A1B4BB1" w14:textId="08DD3919" w:rsidR="003D225B" w:rsidRPr="009A09D4" w:rsidRDefault="000F1621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Asimismo</w:t>
      </w:r>
      <w:r w:rsidR="00F16F21" w:rsidRPr="009A09D4">
        <w:rPr>
          <w:rFonts w:ascii="Arial" w:hAnsi="Arial" w:cs="Arial"/>
        </w:rPr>
        <w:t xml:space="preserve">, </w:t>
      </w:r>
      <w:r w:rsidR="009152C7" w:rsidRPr="009A09D4">
        <w:rPr>
          <w:rFonts w:ascii="Arial" w:hAnsi="Arial" w:cs="Arial"/>
        </w:rPr>
        <w:t xml:space="preserve">en términos del artículo </w:t>
      </w:r>
      <w:r w:rsidR="003D225B" w:rsidRPr="009A09D4">
        <w:rPr>
          <w:rFonts w:ascii="Arial" w:hAnsi="Arial" w:cs="Arial"/>
        </w:rPr>
        <w:t xml:space="preserve">115, numeral </w:t>
      </w:r>
      <w:r w:rsidR="009152C7" w:rsidRPr="009A09D4">
        <w:rPr>
          <w:rFonts w:ascii="Arial" w:hAnsi="Arial" w:cs="Arial"/>
        </w:rPr>
        <w:t xml:space="preserve">2 </w:t>
      </w:r>
      <w:r w:rsidR="003D225B" w:rsidRPr="009A09D4">
        <w:rPr>
          <w:rFonts w:ascii="Arial" w:hAnsi="Arial" w:cs="Arial"/>
        </w:rPr>
        <w:t>de la Ley Electoral, el Consejo Estatal podrá dictar los acuerdos necesarios que resulten pertinentes para garantizar el oportuno y adecuado ejercicio de sus facultades y atribuciones, previstas de manera implícita o expresa en la citada Ley.</w:t>
      </w:r>
    </w:p>
    <w:p w14:paraId="774B454F" w14:textId="33A9781C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Comisiones permanentes y temporales</w:t>
      </w:r>
    </w:p>
    <w:p w14:paraId="1DAEE7D4" w14:textId="68BBFFFD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Que, el artículo 113, numeral 1 de la Ley Electoral, establece que el Consejo Estatal constituirá las comisiones permanentes de Vinculación con el INE, de Organización Electoral y Educación Cívica, de Denuncias y Quejas, y de Igualdad de Género y no Discriminación; así como las comisiones temporales que considere pertinentes para el desempeño de sus atribuciones, las que serán presididas por una Consejera o un Consejero Electoral, salvo la de Vinculación con el INE, cuya titularidad corresponde a la Presidencia del Consejo.</w:t>
      </w:r>
    </w:p>
    <w:p w14:paraId="5A007ADE" w14:textId="5A88E6AA" w:rsidR="00D51AD4" w:rsidRPr="009A09D4" w:rsidRDefault="009D04EE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lastRenderedPageBreak/>
        <w:t>Además</w:t>
      </w:r>
      <w:r w:rsidR="00D51AD4" w:rsidRPr="009A09D4">
        <w:rPr>
          <w:rFonts w:ascii="Arial" w:hAnsi="Arial" w:cs="Arial"/>
        </w:rPr>
        <w:t>, en términos del numeral 2 del artículo en cita, las comisiones se integrarán con un máximo de tres consejeras y consejeros electorales bajo el principio de paridad de género; podrán participar en ellas, con voz, pero sin voto, las consejeras y los consejeros representantes de los partidos políticos.</w:t>
      </w:r>
    </w:p>
    <w:p w14:paraId="5F768218" w14:textId="07718FC9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Obligación de presentar un Programa Anual de Trabajo</w:t>
      </w:r>
    </w:p>
    <w:p w14:paraId="7F55E5BF" w14:textId="7CEC13BF" w:rsidR="00B2146F" w:rsidRPr="009A09D4" w:rsidRDefault="00B2146F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Que, el artículo 12 del Reglamento de Comisiones establece que, las comisiones permanentes, entre ellas la </w:t>
      </w:r>
      <w:r w:rsidR="00E92057" w:rsidRPr="009A09D4">
        <w:rPr>
          <w:rFonts w:ascii="Arial" w:hAnsi="Arial" w:cs="Arial"/>
        </w:rPr>
        <w:t>Comisión de Género</w:t>
      </w:r>
      <w:r w:rsidRPr="009A09D4">
        <w:rPr>
          <w:rFonts w:ascii="Arial" w:hAnsi="Arial" w:cs="Arial"/>
        </w:rPr>
        <w:t>, durante el mes de enero del año correspondiente, deberán presentar al Consejo Estatal para su aprobación, un Programa Anual de Trabajo acorde a los programas y políticas previamente establecidos.</w:t>
      </w:r>
    </w:p>
    <w:p w14:paraId="53C55C53" w14:textId="33F61854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Atribuciones de la </w:t>
      </w:r>
      <w:r w:rsidR="00E92057" w:rsidRPr="009A09D4">
        <w:rPr>
          <w:rFonts w:ascii="Arial" w:hAnsi="Arial" w:cs="Arial"/>
        </w:rPr>
        <w:t>Comisión de Género</w:t>
      </w:r>
    </w:p>
    <w:p w14:paraId="5573B5B1" w14:textId="664029F2" w:rsidR="00D51AD4" w:rsidRPr="009A09D4" w:rsidRDefault="00D51AD4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Que, de la interpretación sistemática y funcional de los artículos 38 y 113, numerales 1 y 3 de la Ley Electoral; y 1</w:t>
      </w:r>
      <w:r w:rsidR="003C3954" w:rsidRPr="009A09D4">
        <w:rPr>
          <w:rFonts w:ascii="Arial" w:hAnsi="Arial" w:cs="Arial"/>
        </w:rPr>
        <w:t>9</w:t>
      </w:r>
      <w:r w:rsidRPr="009A09D4">
        <w:rPr>
          <w:rFonts w:ascii="Arial" w:hAnsi="Arial" w:cs="Arial"/>
        </w:rPr>
        <w:t xml:space="preserve">, numeral 1 del Reglamento del Comisiones del Consejo Estatal, la </w:t>
      </w:r>
      <w:r w:rsidR="00E92057" w:rsidRPr="009A09D4">
        <w:rPr>
          <w:rFonts w:ascii="Arial" w:hAnsi="Arial" w:cs="Arial"/>
        </w:rPr>
        <w:t>Comisión de Género</w:t>
      </w:r>
      <w:r w:rsidRPr="009A09D4">
        <w:rPr>
          <w:rFonts w:ascii="Arial" w:hAnsi="Arial" w:cs="Arial"/>
        </w:rPr>
        <w:t xml:space="preserve"> es el órgano auxiliar del Consejo Estatal, </w:t>
      </w:r>
      <w:r w:rsidR="00D136C7" w:rsidRPr="009A09D4">
        <w:rPr>
          <w:rFonts w:ascii="Arial" w:hAnsi="Arial" w:cs="Arial"/>
        </w:rPr>
        <w:t>que tiene entre otras funciones, las de promover, respetar, proteger y garantizar los derechos humanos con apego a los principios de universalidad, interdependencia, indivisibilidad y progresividad, en términos de lo dispuesto por el artículo 1º. de la Constitución Federal, y el deber de vigilar la aplicación del principio constitucional de paridad de género, a través de la realización de acciones para prevenir y erradicar la violencia política contra cualquier grupo en situación de vulnerabilidad.</w:t>
      </w:r>
    </w:p>
    <w:p w14:paraId="530E2376" w14:textId="110AE4F5" w:rsidR="00D51AD4" w:rsidRPr="009A09D4" w:rsidRDefault="00D51AD4" w:rsidP="004D46E3">
      <w:pPr>
        <w:pStyle w:val="Ttulo2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Programa Anual de Trabajo de la Comisión</w:t>
      </w:r>
      <w:r w:rsidR="00076236" w:rsidRPr="009A09D4">
        <w:rPr>
          <w:rFonts w:ascii="Arial" w:hAnsi="Arial" w:cs="Arial"/>
        </w:rPr>
        <w:t xml:space="preserve"> de Género</w:t>
      </w:r>
    </w:p>
    <w:p w14:paraId="13A154D0" w14:textId="77777777" w:rsidR="00292DF0" w:rsidRPr="009A09D4" w:rsidRDefault="003D0C78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Que, con el fin de dar cabal cumplimiento a las facultades que la Ley Electoral establece, especialmente en lo relativo a la paridad de género y a la erradicación de la violencia política, </w:t>
      </w:r>
      <w:r w:rsidR="00292DF0" w:rsidRPr="009A09D4">
        <w:rPr>
          <w:rFonts w:ascii="Arial" w:hAnsi="Arial" w:cs="Arial"/>
        </w:rPr>
        <w:t xml:space="preserve">el Consejo Estatal y </w:t>
      </w:r>
      <w:r w:rsidRPr="009A09D4">
        <w:rPr>
          <w:rFonts w:ascii="Arial" w:hAnsi="Arial" w:cs="Arial"/>
        </w:rPr>
        <w:t xml:space="preserve">la Comisión </w:t>
      </w:r>
      <w:r w:rsidR="00292DF0" w:rsidRPr="009A09D4">
        <w:rPr>
          <w:rFonts w:ascii="Arial" w:hAnsi="Arial" w:cs="Arial"/>
        </w:rPr>
        <w:t xml:space="preserve">de Género propiciaron </w:t>
      </w:r>
      <w:r w:rsidRPr="009A09D4">
        <w:rPr>
          <w:rFonts w:ascii="Arial" w:hAnsi="Arial" w:cs="Arial"/>
        </w:rPr>
        <w:t>la celebración de diversos acuerdos y convenios de colaboración</w:t>
      </w:r>
      <w:r w:rsidR="00292DF0" w:rsidRPr="009A09D4">
        <w:rPr>
          <w:rFonts w:ascii="Arial" w:hAnsi="Arial" w:cs="Arial"/>
        </w:rPr>
        <w:t xml:space="preserve"> </w:t>
      </w:r>
      <w:r w:rsidRPr="009A09D4">
        <w:rPr>
          <w:rFonts w:ascii="Arial" w:hAnsi="Arial" w:cs="Arial"/>
        </w:rPr>
        <w:t xml:space="preserve">con diversas asociaciones e instituciones públicas, buscando con ello, establecer metas concretas que impulsen no sólo los objetivos mencionados, sino </w:t>
      </w:r>
      <w:r w:rsidR="00292DF0" w:rsidRPr="009A09D4">
        <w:rPr>
          <w:rFonts w:ascii="Arial" w:hAnsi="Arial" w:cs="Arial"/>
        </w:rPr>
        <w:t xml:space="preserve">la prevención de la violencia política, </w:t>
      </w:r>
      <w:r w:rsidRPr="009A09D4">
        <w:rPr>
          <w:rFonts w:ascii="Arial" w:hAnsi="Arial" w:cs="Arial"/>
        </w:rPr>
        <w:t>el fortalecimiento, la igualdad y no discriminación en la participación política de las mujeres</w:t>
      </w:r>
      <w:r w:rsidR="00292DF0" w:rsidRPr="009A09D4">
        <w:rPr>
          <w:rFonts w:ascii="Arial" w:hAnsi="Arial" w:cs="Arial"/>
        </w:rPr>
        <w:t xml:space="preserve">, </w:t>
      </w:r>
      <w:r w:rsidRPr="009A09D4">
        <w:rPr>
          <w:rFonts w:ascii="Arial" w:hAnsi="Arial" w:cs="Arial"/>
        </w:rPr>
        <w:t xml:space="preserve">además de su inclusión social, </w:t>
      </w:r>
      <w:r w:rsidR="00292DF0" w:rsidRPr="009A09D4">
        <w:rPr>
          <w:rFonts w:ascii="Arial" w:hAnsi="Arial" w:cs="Arial"/>
        </w:rPr>
        <w:t xml:space="preserve">así como </w:t>
      </w:r>
      <w:r w:rsidRPr="009A09D4">
        <w:rPr>
          <w:rFonts w:ascii="Arial" w:hAnsi="Arial" w:cs="Arial"/>
        </w:rPr>
        <w:t xml:space="preserve">el respeto a sus derechos humanos y  la capacitación a </w:t>
      </w:r>
      <w:r w:rsidR="00292DF0" w:rsidRPr="009A09D4">
        <w:rPr>
          <w:rFonts w:ascii="Arial" w:hAnsi="Arial" w:cs="Arial"/>
        </w:rPr>
        <w:t xml:space="preserve">las </w:t>
      </w:r>
      <w:r w:rsidRPr="009A09D4">
        <w:rPr>
          <w:rFonts w:ascii="Arial" w:hAnsi="Arial" w:cs="Arial"/>
        </w:rPr>
        <w:t>personas que conforman diversos grupos de personas en situación de vulnerabilidad, respecto al ejercicio de sus derechos políticos electorales.</w:t>
      </w:r>
    </w:p>
    <w:p w14:paraId="5690779D" w14:textId="1458D00B" w:rsidR="00292DF0" w:rsidRPr="009A09D4" w:rsidRDefault="00292DF0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lastRenderedPageBreak/>
        <w:t xml:space="preserve">En ese tenor, la Comisión de Género elaboró </w:t>
      </w:r>
      <w:r w:rsidR="003D0C78" w:rsidRPr="009A09D4">
        <w:rPr>
          <w:rFonts w:ascii="Arial" w:hAnsi="Arial" w:cs="Arial"/>
        </w:rPr>
        <w:t xml:space="preserve">el Programa Anual de Trabajo para el año 2023, por el que se regirán las actividades que realice en función de sus atribuciones y </w:t>
      </w:r>
      <w:r w:rsidRPr="009A09D4">
        <w:rPr>
          <w:rFonts w:ascii="Arial" w:hAnsi="Arial" w:cs="Arial"/>
        </w:rPr>
        <w:t xml:space="preserve">aquellas encomendadas por </w:t>
      </w:r>
      <w:r w:rsidR="003D0C78" w:rsidRPr="009A09D4">
        <w:rPr>
          <w:rFonts w:ascii="Arial" w:hAnsi="Arial" w:cs="Arial"/>
        </w:rPr>
        <w:t>el Consejo Estatal</w:t>
      </w:r>
      <w:r w:rsidRPr="009A09D4">
        <w:rPr>
          <w:rFonts w:ascii="Arial" w:hAnsi="Arial" w:cs="Arial"/>
        </w:rPr>
        <w:t>. Así, el programa comprende lo siguiente:</w:t>
      </w:r>
    </w:p>
    <w:p w14:paraId="5B59C353" w14:textId="59492ED0" w:rsidR="003D0C78" w:rsidRPr="009A09D4" w:rsidRDefault="00292DF0" w:rsidP="004D46E3">
      <w:pPr>
        <w:spacing w:line="283" w:lineRule="auto"/>
        <w:rPr>
          <w:rFonts w:ascii="Arial" w:hAnsi="Arial" w:cs="Arial"/>
          <w:b/>
        </w:rPr>
      </w:pPr>
      <w:r w:rsidRPr="009A09D4">
        <w:rPr>
          <w:rFonts w:ascii="Arial" w:hAnsi="Arial" w:cs="Arial"/>
          <w:b/>
        </w:rPr>
        <w:t>1</w:t>
      </w:r>
      <w:r w:rsidR="003D0C78" w:rsidRPr="009A09D4">
        <w:rPr>
          <w:rFonts w:ascii="Arial" w:hAnsi="Arial" w:cs="Arial"/>
          <w:b/>
        </w:rPr>
        <w:t>.</w:t>
      </w:r>
      <w:r w:rsidRPr="009A09D4">
        <w:rPr>
          <w:rFonts w:ascii="Arial" w:hAnsi="Arial" w:cs="Arial"/>
          <w:b/>
        </w:rPr>
        <w:t xml:space="preserve"> </w:t>
      </w:r>
      <w:r w:rsidR="00541D1F" w:rsidRPr="009A09D4">
        <w:rPr>
          <w:rFonts w:ascii="Arial" w:hAnsi="Arial" w:cs="Arial"/>
          <w:b/>
        </w:rPr>
        <w:t>Acciones al i</w:t>
      </w:r>
      <w:r w:rsidR="00531F36" w:rsidRPr="009A09D4">
        <w:rPr>
          <w:rFonts w:ascii="Arial" w:hAnsi="Arial" w:cs="Arial"/>
          <w:b/>
        </w:rPr>
        <w:t>nterior del Instituto Electoral:</w:t>
      </w:r>
    </w:p>
    <w:p w14:paraId="07518209" w14:textId="77777777" w:rsidR="00531F36" w:rsidRPr="009A09D4" w:rsidRDefault="00531F36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1.1. </w:t>
      </w:r>
      <w:r w:rsidRPr="009A09D4">
        <w:rPr>
          <w:rFonts w:ascii="Arial" w:hAnsi="Arial" w:cs="Arial"/>
        </w:rPr>
        <w:tab/>
      </w:r>
      <w:r w:rsidR="003D0C78" w:rsidRPr="009A09D4">
        <w:rPr>
          <w:rFonts w:ascii="Arial" w:hAnsi="Arial" w:cs="Arial"/>
        </w:rPr>
        <w:t xml:space="preserve">La realización de capacitaciones, pláticas y talleres, dirigidos al personal del </w:t>
      </w:r>
      <w:r w:rsidRPr="009A09D4">
        <w:rPr>
          <w:rFonts w:ascii="Arial" w:hAnsi="Arial" w:cs="Arial"/>
        </w:rPr>
        <w:t>Instituto Electoral</w:t>
      </w:r>
      <w:r w:rsidR="003D0C78" w:rsidRPr="009A09D4">
        <w:rPr>
          <w:rFonts w:ascii="Arial" w:hAnsi="Arial" w:cs="Arial"/>
        </w:rPr>
        <w:t>, para difundir el Protocolo para prevenir, atender y sancionar el hostigamiento y el acoso sexual y laboral.</w:t>
      </w:r>
    </w:p>
    <w:p w14:paraId="4844D888" w14:textId="77777777" w:rsidR="00531F36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>1.2.</w:t>
      </w:r>
      <w:r w:rsidRPr="009A09D4">
        <w:rPr>
          <w:rFonts w:ascii="Arial" w:hAnsi="Arial" w:cs="Arial"/>
        </w:rPr>
        <w:tab/>
        <w:t xml:space="preserve">Retroalimentar y actualizar los micrositios de la página electrónica del </w:t>
      </w:r>
      <w:r w:rsidR="00531F36" w:rsidRPr="009A09D4">
        <w:rPr>
          <w:rFonts w:ascii="Arial" w:hAnsi="Arial" w:cs="Arial"/>
        </w:rPr>
        <w:t xml:space="preserve">Instituto Electoral </w:t>
      </w:r>
      <w:r w:rsidRPr="009A09D4">
        <w:rPr>
          <w:rFonts w:ascii="Arial" w:hAnsi="Arial" w:cs="Arial"/>
        </w:rPr>
        <w:t xml:space="preserve">en temas de género, </w:t>
      </w:r>
      <w:r w:rsidR="00531F36" w:rsidRPr="009A09D4">
        <w:rPr>
          <w:rFonts w:ascii="Arial" w:hAnsi="Arial" w:cs="Arial"/>
        </w:rPr>
        <w:t xml:space="preserve">violencia política </w:t>
      </w:r>
      <w:r w:rsidRPr="009A09D4">
        <w:rPr>
          <w:rFonts w:ascii="Arial" w:hAnsi="Arial" w:cs="Arial"/>
        </w:rPr>
        <w:t>en razón de género</w:t>
      </w:r>
      <w:r w:rsidR="00531F36" w:rsidRPr="009A09D4">
        <w:rPr>
          <w:rFonts w:ascii="Arial" w:hAnsi="Arial" w:cs="Arial"/>
        </w:rPr>
        <w:t xml:space="preserve"> y combate a la discriminación.</w:t>
      </w:r>
    </w:p>
    <w:p w14:paraId="6BA404C9" w14:textId="5E00302B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>1.3.</w:t>
      </w:r>
      <w:r w:rsidRPr="009A09D4">
        <w:rPr>
          <w:rFonts w:ascii="Arial" w:hAnsi="Arial" w:cs="Arial"/>
        </w:rPr>
        <w:tab/>
        <w:t>Elaboración y aprobación del protocolo para garantizar el derecho a la no discriminación por identidad y expresión de género para las personas que laboran en el Instituto Electoral.</w:t>
      </w:r>
    </w:p>
    <w:p w14:paraId="7309F202" w14:textId="7F9F32C3" w:rsidR="003D0C78" w:rsidRPr="009A09D4" w:rsidRDefault="003D0C78" w:rsidP="004D46E3">
      <w:pPr>
        <w:spacing w:line="283" w:lineRule="auto"/>
        <w:rPr>
          <w:rFonts w:ascii="Arial" w:hAnsi="Arial" w:cs="Arial"/>
          <w:b/>
        </w:rPr>
      </w:pPr>
      <w:r w:rsidRPr="009A09D4">
        <w:rPr>
          <w:rFonts w:ascii="Arial" w:hAnsi="Arial" w:cs="Arial"/>
          <w:b/>
        </w:rPr>
        <w:t>2.</w:t>
      </w:r>
      <w:r w:rsidR="00531F36" w:rsidRPr="009A09D4">
        <w:rPr>
          <w:rFonts w:ascii="Arial" w:hAnsi="Arial" w:cs="Arial"/>
          <w:b/>
        </w:rPr>
        <w:t xml:space="preserve"> Paridad de género</w:t>
      </w:r>
    </w:p>
    <w:p w14:paraId="06B58592" w14:textId="77777777" w:rsidR="00072277" w:rsidRPr="009A09D4" w:rsidRDefault="00072277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>2.1.</w:t>
      </w:r>
      <w:r w:rsidRPr="009A09D4">
        <w:rPr>
          <w:rFonts w:ascii="Arial" w:hAnsi="Arial" w:cs="Arial"/>
        </w:rPr>
        <w:tab/>
        <w:t>P</w:t>
      </w:r>
      <w:r w:rsidR="003D0C78" w:rsidRPr="009A09D4">
        <w:rPr>
          <w:rFonts w:ascii="Arial" w:hAnsi="Arial" w:cs="Arial"/>
        </w:rPr>
        <w:t xml:space="preserve">romover acciones afirmativas para mujeres y demás grupos de atención prioritaria, a partir del análisis de las acciones afirmativas implementadas en los </w:t>
      </w:r>
      <w:r w:rsidRPr="009A09D4">
        <w:rPr>
          <w:rFonts w:ascii="Arial" w:hAnsi="Arial" w:cs="Arial"/>
        </w:rPr>
        <w:t xml:space="preserve">procesos electorales </w:t>
      </w:r>
      <w:r w:rsidR="003D0C78" w:rsidRPr="009A09D4">
        <w:rPr>
          <w:rFonts w:ascii="Arial" w:hAnsi="Arial" w:cs="Arial"/>
        </w:rPr>
        <w:t xml:space="preserve">2017-2018 y 2020-2021, y mesas de análisis con grupos en situación de discriminación, con un enfoque basado en el principio </w:t>
      </w:r>
      <w:proofErr w:type="spellStart"/>
      <w:r w:rsidR="003D0C78" w:rsidRPr="009A09D4">
        <w:rPr>
          <w:rFonts w:ascii="Arial" w:hAnsi="Arial" w:cs="Arial"/>
          <w:i/>
        </w:rPr>
        <w:t>pro</w:t>
      </w:r>
      <w:proofErr w:type="spellEnd"/>
      <w:r w:rsidR="003D0C78" w:rsidRPr="009A09D4">
        <w:rPr>
          <w:rFonts w:ascii="Arial" w:hAnsi="Arial" w:cs="Arial"/>
          <w:i/>
        </w:rPr>
        <w:t xml:space="preserve"> persona</w:t>
      </w:r>
      <w:r w:rsidRPr="009A09D4">
        <w:rPr>
          <w:rFonts w:ascii="Arial" w:hAnsi="Arial" w:cs="Arial"/>
        </w:rPr>
        <w:t xml:space="preserve"> y de progresividad.</w:t>
      </w:r>
    </w:p>
    <w:p w14:paraId="1FDD44C3" w14:textId="4BD00751" w:rsidR="003D0C78" w:rsidRPr="009A09D4" w:rsidRDefault="003D0C78" w:rsidP="004D46E3">
      <w:pPr>
        <w:spacing w:line="283" w:lineRule="auto"/>
        <w:ind w:left="1021"/>
        <w:rPr>
          <w:rFonts w:ascii="Arial" w:hAnsi="Arial" w:cs="Arial"/>
        </w:rPr>
      </w:pPr>
      <w:r w:rsidRPr="009A09D4">
        <w:rPr>
          <w:rFonts w:ascii="Arial" w:hAnsi="Arial" w:cs="Arial"/>
        </w:rPr>
        <w:t>Realizar mesas de discusión, foros y análisis sobre la representación política de personas con discapacidad, personas indígenas, afromexicanas y de la población LGBTTTIQ+.</w:t>
      </w:r>
    </w:p>
    <w:p w14:paraId="146E1AA9" w14:textId="2B7406C3" w:rsidR="003D0C78" w:rsidRPr="009A09D4" w:rsidRDefault="003D0C78" w:rsidP="004D46E3">
      <w:pPr>
        <w:spacing w:line="283" w:lineRule="auto"/>
        <w:rPr>
          <w:rFonts w:ascii="Arial" w:hAnsi="Arial" w:cs="Arial"/>
          <w:b/>
        </w:rPr>
      </w:pPr>
      <w:r w:rsidRPr="009A09D4">
        <w:rPr>
          <w:rFonts w:ascii="Arial" w:hAnsi="Arial" w:cs="Arial"/>
          <w:b/>
        </w:rPr>
        <w:t>3.</w:t>
      </w:r>
      <w:r w:rsidR="00072277" w:rsidRPr="009A09D4">
        <w:rPr>
          <w:rFonts w:ascii="Arial" w:hAnsi="Arial" w:cs="Arial"/>
          <w:b/>
        </w:rPr>
        <w:t xml:space="preserve"> </w:t>
      </w:r>
      <w:r w:rsidRPr="009A09D4">
        <w:rPr>
          <w:rFonts w:ascii="Arial" w:hAnsi="Arial" w:cs="Arial"/>
          <w:b/>
        </w:rPr>
        <w:t>Elecciones sin violencia política contra las mujeres en ra</w:t>
      </w:r>
      <w:r w:rsidR="00072277" w:rsidRPr="009A09D4">
        <w:rPr>
          <w:rFonts w:ascii="Arial" w:hAnsi="Arial" w:cs="Arial"/>
          <w:b/>
        </w:rPr>
        <w:t>zón de género</w:t>
      </w:r>
    </w:p>
    <w:p w14:paraId="01AF610B" w14:textId="77777777" w:rsidR="0004433B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3.1 </w:t>
      </w:r>
      <w:r w:rsidR="0004433B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Conmemorar los "25 Día Naranja” con conferencias, infografías y videos para visibilizar los tipos de violencia contra las mujeres, para combatirla y erradicarla.</w:t>
      </w:r>
    </w:p>
    <w:p w14:paraId="5769EA77" w14:textId="0557252A" w:rsidR="003D0C78" w:rsidRPr="009A09D4" w:rsidRDefault="003D0C78" w:rsidP="004D46E3">
      <w:pPr>
        <w:spacing w:line="283" w:lineRule="auto"/>
        <w:ind w:left="1021"/>
        <w:rPr>
          <w:rFonts w:ascii="Arial" w:hAnsi="Arial" w:cs="Arial"/>
        </w:rPr>
      </w:pPr>
      <w:r w:rsidRPr="009A09D4">
        <w:rPr>
          <w:rFonts w:ascii="Arial" w:hAnsi="Arial" w:cs="Arial"/>
        </w:rPr>
        <w:t>Talleres de prevención, atención y erradicación de la violencia política contra las mujeres en razón de género dirigido a las servidoras y servidores públicos del Estado.</w:t>
      </w:r>
    </w:p>
    <w:p w14:paraId="1554C454" w14:textId="3B91A220" w:rsidR="003D0C78" w:rsidRPr="009A09D4" w:rsidRDefault="003D0C78" w:rsidP="004D46E3">
      <w:pPr>
        <w:spacing w:line="283" w:lineRule="auto"/>
        <w:ind w:left="1021"/>
        <w:rPr>
          <w:rFonts w:ascii="Arial" w:hAnsi="Arial" w:cs="Arial"/>
        </w:rPr>
      </w:pPr>
      <w:r w:rsidRPr="009A09D4">
        <w:rPr>
          <w:rFonts w:ascii="Arial" w:hAnsi="Arial" w:cs="Arial"/>
        </w:rPr>
        <w:lastRenderedPageBreak/>
        <w:t>Intercambios de experiencias con los partidos políticos, respecto a los mecanismos que han implementado para la prevención, atención y erradicación de la violencia política contra las mujeres en razón de género, en cumplimiento a los lineamientos emitido por INE respecto al acuerdo INE/CG517/2020.</w:t>
      </w:r>
    </w:p>
    <w:p w14:paraId="6FFC8FF9" w14:textId="5790BFB3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3.2 </w:t>
      </w:r>
      <w:r w:rsidR="005851F2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Cursos y talleres, en tema de violencia política contra las mujeres en razón de género y la regla de 3 de 3.</w:t>
      </w:r>
    </w:p>
    <w:p w14:paraId="472C2BE8" w14:textId="0B524B9D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3.3 </w:t>
      </w:r>
      <w:r w:rsidR="005851F2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Actualización de acciones afirmativas en materia de violencia política contra las mujeres en razón de género.</w:t>
      </w:r>
    </w:p>
    <w:p w14:paraId="207511F8" w14:textId="00FC7DF8" w:rsidR="003D0C78" w:rsidRPr="009A09D4" w:rsidRDefault="003D0C78" w:rsidP="004D46E3">
      <w:pPr>
        <w:spacing w:line="283" w:lineRule="auto"/>
        <w:rPr>
          <w:rFonts w:ascii="Arial" w:hAnsi="Arial" w:cs="Arial"/>
          <w:b/>
        </w:rPr>
      </w:pPr>
      <w:r w:rsidRPr="009A09D4">
        <w:rPr>
          <w:rFonts w:ascii="Arial" w:hAnsi="Arial" w:cs="Arial"/>
          <w:b/>
        </w:rPr>
        <w:t>4.</w:t>
      </w:r>
      <w:r w:rsidR="00F3399E" w:rsidRPr="009A09D4">
        <w:rPr>
          <w:rFonts w:ascii="Arial" w:hAnsi="Arial" w:cs="Arial"/>
          <w:b/>
        </w:rPr>
        <w:t xml:space="preserve"> </w:t>
      </w:r>
      <w:r w:rsidRPr="009A09D4">
        <w:rPr>
          <w:rFonts w:ascii="Arial" w:hAnsi="Arial" w:cs="Arial"/>
          <w:b/>
        </w:rPr>
        <w:t>Capacitación a los grupos de personas en situación de vulnerabilidad, respecto al ejercicio de sus derechos políticos ele</w:t>
      </w:r>
      <w:r w:rsidR="00F3399E" w:rsidRPr="009A09D4">
        <w:rPr>
          <w:rFonts w:ascii="Arial" w:hAnsi="Arial" w:cs="Arial"/>
          <w:b/>
        </w:rPr>
        <w:t>ctorales</w:t>
      </w:r>
    </w:p>
    <w:p w14:paraId="463F1968" w14:textId="77777777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>4.1 Talleres, pláticas y reuniones, para brindar capacitación a los grupos de personas en situación de vulnerabilidad para el ejercicio libre y pleno de sus derechos políticos y electorales.</w:t>
      </w:r>
    </w:p>
    <w:p w14:paraId="7DBE7B1A" w14:textId="39377630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4.2 </w:t>
      </w:r>
      <w:r w:rsidR="00F3399E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Difusión y promoción de estrategias para el ejercicio de los derechos de los grupos de personas en situación de vulnerabilidad.</w:t>
      </w:r>
    </w:p>
    <w:p w14:paraId="0F8589DC" w14:textId="7F97C292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4.3 </w:t>
      </w:r>
      <w:r w:rsidR="00F3399E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Implementar acciones necesarias para promover el desarrollo del proceso electoral sin ningún tipo de discriminación, respecto a las personas que conforman los diversos grupos de personas en situación de vulnerabilidad.</w:t>
      </w:r>
    </w:p>
    <w:p w14:paraId="110688AD" w14:textId="0075C673" w:rsidR="003D0C78" w:rsidRPr="009A09D4" w:rsidRDefault="003D0C78" w:rsidP="004D46E3">
      <w:pPr>
        <w:spacing w:line="283" w:lineRule="auto"/>
        <w:ind w:left="1020" w:hanging="51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4.4 </w:t>
      </w:r>
      <w:r w:rsidR="00F3399E" w:rsidRPr="009A09D4">
        <w:rPr>
          <w:rFonts w:ascii="Arial" w:hAnsi="Arial" w:cs="Arial"/>
        </w:rPr>
        <w:tab/>
      </w:r>
      <w:r w:rsidRPr="009A09D4">
        <w:rPr>
          <w:rFonts w:ascii="Arial" w:hAnsi="Arial" w:cs="Arial"/>
        </w:rPr>
        <w:t>Pláticas, reuniones y todo tipo de actividades informativas, para visibilizar los desafíos para el ejercicio de la ciudadanía plena de quienes integran los diversos grupos de personas en situación de vulnerabilidad.</w:t>
      </w:r>
    </w:p>
    <w:p w14:paraId="4C2C1D74" w14:textId="1B618962" w:rsidR="00F3399E" w:rsidRPr="009A09D4" w:rsidRDefault="003D0C78" w:rsidP="004D46E3">
      <w:pPr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Respecto a los rubros que fungen como ejes rectores dentro del Programa de Trabajo, en cada uno de ellos se realizarán actividades específicas, como lo es la de coadyuvar </w:t>
      </w:r>
      <w:r w:rsidR="00F3399E" w:rsidRPr="009A09D4">
        <w:rPr>
          <w:rFonts w:ascii="Arial" w:hAnsi="Arial" w:cs="Arial"/>
        </w:rPr>
        <w:t>con</w:t>
      </w:r>
      <w:r w:rsidRPr="009A09D4">
        <w:rPr>
          <w:rFonts w:ascii="Arial" w:hAnsi="Arial" w:cs="Arial"/>
        </w:rPr>
        <w:t xml:space="preserve"> la Presidencia del </w:t>
      </w:r>
      <w:r w:rsidR="00F3399E" w:rsidRPr="009A09D4">
        <w:rPr>
          <w:rFonts w:ascii="Arial" w:hAnsi="Arial" w:cs="Arial"/>
        </w:rPr>
        <w:t xml:space="preserve">Consejo </w:t>
      </w:r>
      <w:r w:rsidRPr="009A09D4">
        <w:rPr>
          <w:rFonts w:ascii="Arial" w:hAnsi="Arial" w:cs="Arial"/>
        </w:rPr>
        <w:t>para la suscripción de acuerdos y convenios de colaboración con distintas asociaciones civiles, autoridades públicas, ó</w:t>
      </w:r>
      <w:r w:rsidR="0016249E" w:rsidRPr="009A09D4">
        <w:rPr>
          <w:rFonts w:ascii="Arial" w:hAnsi="Arial" w:cs="Arial"/>
        </w:rPr>
        <w:t>rganos centralizados, entre otra</w:t>
      </w:r>
      <w:r w:rsidRPr="009A09D4">
        <w:rPr>
          <w:rFonts w:ascii="Arial" w:hAnsi="Arial" w:cs="Arial"/>
        </w:rPr>
        <w:t>s.</w:t>
      </w:r>
      <w:r w:rsidR="00641187" w:rsidRPr="009A09D4">
        <w:rPr>
          <w:rFonts w:ascii="Arial" w:hAnsi="Arial" w:cs="Arial"/>
        </w:rPr>
        <w:t xml:space="preserve"> Finalmente, estas actividades</w:t>
      </w:r>
      <w:r w:rsidR="00F3399E" w:rsidRPr="009A09D4">
        <w:rPr>
          <w:rFonts w:ascii="Arial" w:hAnsi="Arial" w:cs="Arial"/>
        </w:rPr>
        <w:t xml:space="preserve"> son de carácter enunciativo, por lo que podrán ampliarse o modificarse, sin que </w:t>
      </w:r>
      <w:r w:rsidR="006950EB" w:rsidRPr="009A09D4">
        <w:rPr>
          <w:rFonts w:ascii="Arial" w:hAnsi="Arial" w:cs="Arial"/>
        </w:rPr>
        <w:t xml:space="preserve">se </w:t>
      </w:r>
      <w:r w:rsidR="00F3399E" w:rsidRPr="009A09D4">
        <w:rPr>
          <w:rFonts w:ascii="Arial" w:hAnsi="Arial" w:cs="Arial"/>
        </w:rPr>
        <w:t>afecte</w:t>
      </w:r>
      <w:r w:rsidR="006950EB" w:rsidRPr="009A09D4">
        <w:rPr>
          <w:rFonts w:ascii="Arial" w:hAnsi="Arial" w:cs="Arial"/>
        </w:rPr>
        <w:t>n</w:t>
      </w:r>
      <w:r w:rsidR="00F3399E" w:rsidRPr="009A09D4">
        <w:rPr>
          <w:rFonts w:ascii="Arial" w:hAnsi="Arial" w:cs="Arial"/>
        </w:rPr>
        <w:t xml:space="preserve"> las finalidades asignadas. </w:t>
      </w:r>
    </w:p>
    <w:p w14:paraId="733908FA" w14:textId="38B51B24" w:rsidR="00D51AD4" w:rsidRPr="009A09D4" w:rsidRDefault="00D51AD4" w:rsidP="004D46E3">
      <w:pPr>
        <w:spacing w:line="283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</w:rPr>
        <w:lastRenderedPageBreak/>
        <w:t>Sobre la base de las consideraciones señaladas, este Consejo Estatal emite el siguiente:</w:t>
      </w:r>
    </w:p>
    <w:p w14:paraId="6E1A4818" w14:textId="77777777" w:rsidR="00D51AD4" w:rsidRPr="009A09D4" w:rsidRDefault="00D51AD4" w:rsidP="004D46E3">
      <w:pPr>
        <w:pStyle w:val="Ttulo1"/>
        <w:spacing w:line="283" w:lineRule="auto"/>
        <w:rPr>
          <w:rFonts w:ascii="Arial" w:hAnsi="Arial" w:cs="Arial"/>
        </w:rPr>
      </w:pPr>
      <w:r w:rsidRPr="009A09D4">
        <w:rPr>
          <w:rFonts w:ascii="Arial" w:hAnsi="Arial" w:cs="Arial"/>
        </w:rPr>
        <w:t>Acuerdo</w:t>
      </w:r>
    </w:p>
    <w:p w14:paraId="014CA281" w14:textId="5A1080DE" w:rsidR="00D51AD4" w:rsidRPr="009A09D4" w:rsidRDefault="00D51AD4" w:rsidP="004D46E3">
      <w:pPr>
        <w:pStyle w:val="Puntos"/>
        <w:spacing w:line="283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  <w:b/>
          <w:bCs/>
        </w:rPr>
        <w:t>Primero.</w:t>
      </w:r>
      <w:r w:rsidRPr="009A09D4">
        <w:rPr>
          <w:rFonts w:ascii="Arial" w:hAnsi="Arial" w:cs="Arial"/>
        </w:rPr>
        <w:t xml:space="preserve"> Por las razones y argumentos mencionados, se aprueba el Programa Anual de Trabajo para el año 2023 de la </w:t>
      </w:r>
      <w:r w:rsidR="00E92057" w:rsidRPr="009A09D4">
        <w:rPr>
          <w:rFonts w:ascii="Arial" w:hAnsi="Arial" w:cs="Arial"/>
        </w:rPr>
        <w:t>Comisión de</w:t>
      </w:r>
      <w:r w:rsidR="006E6781" w:rsidRPr="009A09D4">
        <w:rPr>
          <w:rFonts w:ascii="Arial" w:hAnsi="Arial" w:cs="Arial"/>
        </w:rPr>
        <w:t xml:space="preserve"> Igualdad de Género y no Discriminación</w:t>
      </w:r>
      <w:r w:rsidRPr="009A09D4">
        <w:rPr>
          <w:rFonts w:ascii="Arial" w:hAnsi="Arial" w:cs="Arial"/>
        </w:rPr>
        <w:t xml:space="preserve"> del Instituto Electoral y de Participación Ciudadana de Tabasco</w:t>
      </w:r>
      <w:r w:rsidR="00312D81" w:rsidRPr="009A09D4">
        <w:rPr>
          <w:rFonts w:ascii="Arial" w:hAnsi="Arial" w:cs="Arial"/>
        </w:rPr>
        <w:t>,</w:t>
      </w:r>
      <w:r w:rsidR="00CD092F" w:rsidRPr="009A09D4">
        <w:rPr>
          <w:rFonts w:ascii="Arial" w:hAnsi="Arial" w:cs="Arial"/>
        </w:rPr>
        <w:t xml:space="preserve"> anexo</w:t>
      </w:r>
      <w:r w:rsidRPr="009A09D4">
        <w:rPr>
          <w:rFonts w:ascii="Arial" w:hAnsi="Arial" w:cs="Arial"/>
        </w:rPr>
        <w:t xml:space="preserve"> al presente acuerdo.</w:t>
      </w:r>
    </w:p>
    <w:p w14:paraId="7402E3FC" w14:textId="77777777" w:rsidR="00D51AD4" w:rsidRPr="009A09D4" w:rsidRDefault="00D51AD4" w:rsidP="004D46E3">
      <w:pPr>
        <w:pStyle w:val="Puntos"/>
        <w:spacing w:line="283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  <w:b/>
          <w:bCs/>
        </w:rPr>
        <w:t>Segundo.</w:t>
      </w:r>
      <w:r w:rsidRPr="009A09D4">
        <w:rPr>
          <w:rFonts w:ascii="Arial" w:hAnsi="Arial" w:cs="Arial"/>
        </w:rPr>
        <w:t xml:space="preserve"> Se instruye a la Secretaría Ejecutiva de este Instituto para que, a través de la Coordinación de Vinculación con el Instituto Nacional Electoral, notifique el presente acuerdo al citado organismo nacional, a través de su Unidad Técnica de Vinculación con los Organismos Públicos Locales, para los efectos correspondientes.</w:t>
      </w:r>
    </w:p>
    <w:p w14:paraId="2DF1326F" w14:textId="77777777" w:rsidR="00D51AD4" w:rsidRPr="009A09D4" w:rsidRDefault="00D51AD4" w:rsidP="004D46E3">
      <w:pPr>
        <w:pStyle w:val="Puntos"/>
        <w:spacing w:line="283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  <w:b/>
          <w:bCs/>
        </w:rPr>
        <w:t>Tercero.</w:t>
      </w:r>
      <w:r w:rsidRPr="009A09D4">
        <w:rPr>
          <w:rFonts w:ascii="Arial" w:hAnsi="Arial" w:cs="Arial"/>
        </w:rPr>
        <w:t xml:space="preserve"> De conformidad con lo dispuesto en el artículo 114 de la Ley Electoral y de Partidos Políticos del Estado de Tabasco, publíquese el contenido del presente acuerdo en el Periódico Oficial del Estado y en la página de internet del Instituto.</w:t>
      </w:r>
    </w:p>
    <w:p w14:paraId="1928A352" w14:textId="7E8E89C3" w:rsidR="00D51AD4" w:rsidRDefault="00D51AD4" w:rsidP="004D46E3">
      <w:pPr>
        <w:pStyle w:val="Puntos"/>
        <w:spacing w:line="283" w:lineRule="auto"/>
        <w:ind w:left="0"/>
        <w:rPr>
          <w:rFonts w:ascii="Arial" w:hAnsi="Arial" w:cs="Arial"/>
        </w:rPr>
      </w:pPr>
      <w:r w:rsidRPr="009A09D4">
        <w:rPr>
          <w:rFonts w:ascii="Arial" w:hAnsi="Arial" w:cs="Arial"/>
        </w:rPr>
        <w:t xml:space="preserve">El presente acuerdo fue aprobado en sesión ordinaria efectuada el </w:t>
      </w:r>
      <w:r w:rsidR="005D5151" w:rsidRPr="009A09D4">
        <w:rPr>
          <w:rFonts w:ascii="Arial" w:hAnsi="Arial" w:cs="Arial"/>
        </w:rPr>
        <w:t xml:space="preserve">31 de enero </w:t>
      </w:r>
      <w:r w:rsidRPr="009A09D4">
        <w:rPr>
          <w:rFonts w:ascii="Arial" w:hAnsi="Arial" w:cs="Arial"/>
        </w:rPr>
        <w:t xml:space="preserve">del año dos mil veintitrés, por votación </w:t>
      </w:r>
      <w:r w:rsidR="003C49C4">
        <w:rPr>
          <w:rFonts w:ascii="Arial" w:hAnsi="Arial" w:cs="Arial"/>
        </w:rPr>
        <w:t>unámine</w:t>
      </w:r>
      <w:bookmarkStart w:id="0" w:name="_GoBack"/>
      <w:bookmarkEnd w:id="0"/>
      <w:r w:rsidRPr="009A09D4">
        <w:rPr>
          <w:rFonts w:ascii="Arial" w:hAnsi="Arial" w:cs="Arial"/>
        </w:rPr>
        <w:t xml:space="preserve"> de las y los Consejeros Electorales del Consejo Estatal del Instituto Electoral y de Participación Ciudadana de Tabasco: Mtra. Rosselvy del Carmen Domínguez Arévalo, Licda. María Elvia Magaña Sandoval, Mtro. Juan Correa López, M.D. Víctor Humberto Mejía Naranjo, Lic. Hernán González Sala, Lic. Vladimir Hernández Venegas y la Consejera Presidenta, </w:t>
      </w:r>
      <w:r w:rsidR="00304462" w:rsidRPr="009A09D4">
        <w:rPr>
          <w:rFonts w:ascii="Arial" w:hAnsi="Arial" w:cs="Arial"/>
        </w:rPr>
        <w:t>Mtra</w:t>
      </w:r>
      <w:r w:rsidRPr="009A09D4">
        <w:rPr>
          <w:rFonts w:ascii="Arial" w:hAnsi="Arial" w:cs="Arial"/>
        </w:rPr>
        <w:t>. Elizabeth Nava Gutiérrez.</w:t>
      </w:r>
    </w:p>
    <w:p w14:paraId="6E9B0AB8" w14:textId="77777777" w:rsidR="00EC524C" w:rsidRPr="009A09D4" w:rsidRDefault="00EC524C" w:rsidP="004D46E3">
      <w:pPr>
        <w:pStyle w:val="Puntos"/>
        <w:spacing w:line="295" w:lineRule="auto"/>
        <w:ind w:left="0"/>
        <w:rPr>
          <w:rFonts w:ascii="Arial" w:hAnsi="Arial" w:cs="Arial"/>
        </w:rPr>
      </w:pPr>
    </w:p>
    <w:p w14:paraId="715B6C5C" w14:textId="5B58EBD9" w:rsidR="00EB7258" w:rsidRPr="009A09D4" w:rsidRDefault="00EB7258" w:rsidP="004D46E3">
      <w:pPr>
        <w:pStyle w:val="Puntos"/>
        <w:spacing w:line="295" w:lineRule="auto"/>
        <w:ind w:left="0"/>
        <w:rPr>
          <w:rFonts w:ascii="Arial" w:hAnsi="Arial" w:cs="Arial"/>
        </w:rPr>
      </w:pPr>
    </w:p>
    <w:p w14:paraId="7D5CC95B" w14:textId="77777777" w:rsidR="00EB7258" w:rsidRPr="009A09D4" w:rsidRDefault="00EB7258" w:rsidP="004D46E3">
      <w:pPr>
        <w:pStyle w:val="Puntos"/>
        <w:spacing w:line="295" w:lineRule="auto"/>
        <w:ind w:left="0"/>
        <w:rPr>
          <w:rFonts w:ascii="Arial" w:hAnsi="Arial" w:cs="Arial"/>
        </w:rPr>
      </w:pPr>
    </w:p>
    <w:tbl>
      <w:tblPr>
        <w:tblStyle w:val="Tablaconcuadrcula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8"/>
        <w:gridCol w:w="4400"/>
      </w:tblGrid>
      <w:tr w:rsidR="00EC524C" w:rsidRPr="001B4A09" w14:paraId="49224E5E" w14:textId="77777777" w:rsidTr="00D3762F">
        <w:tc>
          <w:tcPr>
            <w:tcW w:w="4395" w:type="dxa"/>
          </w:tcPr>
          <w:p w14:paraId="199B6F8C" w14:textId="77777777" w:rsidR="00EC524C" w:rsidRPr="00C26EA6" w:rsidRDefault="00EC524C" w:rsidP="004D46E3">
            <w:pPr>
              <w:widowControl w:val="0"/>
              <w:spacing w:after="0" w:line="295" w:lineRule="auto"/>
              <w:ind w:left="0"/>
              <w:jc w:val="center"/>
              <w:rPr>
                <w:rFonts w:ascii="Arial Negrita" w:hAnsi="Arial Negrita" w:cs="Arial"/>
                <w:b/>
                <w:spacing w:val="-10"/>
              </w:rPr>
            </w:pPr>
            <w:r w:rsidRPr="00C26EA6">
              <w:rPr>
                <w:rFonts w:ascii="Arial Negrita" w:hAnsi="Arial Negrita" w:cs="Arial"/>
                <w:b/>
                <w:spacing w:val="-10"/>
              </w:rPr>
              <w:t>MTRA. ELIZABETH NAVA GUTIÉRREZ</w:t>
            </w:r>
          </w:p>
          <w:p w14:paraId="7B1314BD" w14:textId="77777777" w:rsidR="00EC524C" w:rsidRPr="001B4A09" w:rsidRDefault="00EC524C" w:rsidP="004D46E3">
            <w:pPr>
              <w:widowControl w:val="0"/>
              <w:spacing w:after="0" w:line="295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26EA6">
              <w:rPr>
                <w:rFonts w:ascii="Arial" w:hAnsi="Arial" w:cs="Arial"/>
                <w:b/>
                <w:spacing w:val="-10"/>
              </w:rPr>
              <w:t>CONSEJERA PRESIDENTA</w:t>
            </w:r>
          </w:p>
        </w:tc>
        <w:tc>
          <w:tcPr>
            <w:tcW w:w="278" w:type="dxa"/>
          </w:tcPr>
          <w:p w14:paraId="260F906C" w14:textId="77777777" w:rsidR="00EC524C" w:rsidRPr="001B4A09" w:rsidRDefault="00EC524C" w:rsidP="004D46E3">
            <w:pPr>
              <w:widowControl w:val="0"/>
              <w:spacing w:after="0" w:line="295" w:lineRule="auto"/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</w:tcPr>
          <w:p w14:paraId="3E243928" w14:textId="77777777" w:rsidR="00EC524C" w:rsidRPr="004C5A07" w:rsidRDefault="00EC524C" w:rsidP="004D46E3">
            <w:pPr>
              <w:widowControl w:val="0"/>
              <w:spacing w:after="0" w:line="295" w:lineRule="auto"/>
              <w:ind w:left="0"/>
              <w:jc w:val="center"/>
              <w:rPr>
                <w:rFonts w:ascii="Arial Negrita" w:hAnsi="Arial Negrita" w:cs="Arial"/>
                <w:b/>
                <w:spacing w:val="-10"/>
              </w:rPr>
            </w:pPr>
            <w:r w:rsidRPr="004C5A07">
              <w:rPr>
                <w:rFonts w:ascii="Arial Negrita" w:hAnsi="Arial Negrita" w:cs="Arial"/>
                <w:b/>
                <w:spacing w:val="-10"/>
              </w:rPr>
              <w:t>LIC. JORGE ALBERTO ZAVALA FRÍAS</w:t>
            </w:r>
          </w:p>
          <w:p w14:paraId="0EB176AC" w14:textId="77777777" w:rsidR="00EC524C" w:rsidRPr="001B4A09" w:rsidRDefault="00EC524C" w:rsidP="004D46E3">
            <w:pPr>
              <w:widowControl w:val="0"/>
              <w:spacing w:after="0" w:line="295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C5A07">
              <w:rPr>
                <w:rFonts w:ascii="Arial Negrita" w:hAnsi="Arial Negrita" w:cs="Arial"/>
                <w:b/>
                <w:spacing w:val="-10"/>
              </w:rPr>
              <w:t>SECRETARIO DEL CONSEJO</w:t>
            </w:r>
          </w:p>
        </w:tc>
      </w:tr>
    </w:tbl>
    <w:p w14:paraId="66F7F176" w14:textId="77777777" w:rsidR="00012B73" w:rsidRPr="009A09D4" w:rsidRDefault="00012B73" w:rsidP="004D46E3">
      <w:pPr>
        <w:spacing w:line="295" w:lineRule="auto"/>
        <w:ind w:left="0"/>
        <w:rPr>
          <w:rFonts w:ascii="Arial" w:hAnsi="Arial" w:cs="Arial"/>
        </w:rPr>
      </w:pPr>
    </w:p>
    <w:sectPr w:rsidR="00012B73" w:rsidRPr="009A09D4" w:rsidSect="004D46E3">
      <w:headerReference w:type="default" r:id="rId8"/>
      <w:footerReference w:type="default" r:id="rId9"/>
      <w:headerReference w:type="first" r:id="rId10"/>
      <w:pgSz w:w="12240" w:h="15840" w:code="1"/>
      <w:pgMar w:top="2410" w:right="170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2B39" w14:textId="77777777" w:rsidR="00445817" w:rsidRDefault="00445817" w:rsidP="007050DB">
      <w:pPr>
        <w:spacing w:after="0" w:line="240" w:lineRule="auto"/>
      </w:pPr>
      <w:r>
        <w:separator/>
      </w:r>
    </w:p>
  </w:endnote>
  <w:endnote w:type="continuationSeparator" w:id="0">
    <w:p w14:paraId="3A85F234" w14:textId="77777777" w:rsidR="00445817" w:rsidRDefault="00445817" w:rsidP="007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uis George Cafe">
    <w:panose1 w:val="00000000000000000000"/>
    <w:charset w:val="81"/>
    <w:family w:val="auto"/>
    <w:pitch w:val="variable"/>
    <w:sig w:usb0="01002A87" w:usb1="090E0000" w:usb2="00000010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color w:val="660033"/>
        <w:lang w:val="es-ES"/>
      </w:rPr>
      <w:id w:val="2406088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D053B1" w14:textId="405A7DBB" w:rsidR="007050DB" w:rsidRPr="00956F78" w:rsidRDefault="007050DB" w:rsidP="007050DB">
        <w:pPr>
          <w:pStyle w:val="Piedepgina"/>
          <w:jc w:val="right"/>
          <w:rPr>
            <w:rFonts w:ascii="Arial" w:hAnsi="Arial" w:cs="Arial"/>
            <w:b/>
            <w:bCs/>
            <w:color w:val="660033"/>
            <w:sz w:val="20"/>
            <w:szCs w:val="20"/>
          </w:rPr>
        </w:pP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t xml:space="preserve">Página  </w: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</w:rPr>
          <w:fldChar w:fldCharType="begin"/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</w:rPr>
          <w:instrText>PAGE   \* MERGEFORMAT</w:instrTex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</w:rPr>
          <w:fldChar w:fldCharType="separate"/>
        </w:r>
        <w:r w:rsidR="003C49C4">
          <w:rPr>
            <w:rFonts w:ascii="Arial" w:hAnsi="Arial" w:cs="Arial"/>
            <w:b/>
            <w:bCs/>
            <w:noProof/>
            <w:color w:val="660033"/>
            <w:sz w:val="20"/>
            <w:szCs w:val="20"/>
          </w:rPr>
          <w:t>8</w: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</w:rPr>
          <w:fldChar w:fldCharType="end"/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t xml:space="preserve"> | </w: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fldChar w:fldCharType="begin"/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instrText xml:space="preserve"> NUMPAGES   \* MERGEFORMAT </w:instrTex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fldChar w:fldCharType="separate"/>
        </w:r>
        <w:r w:rsidR="003C49C4">
          <w:rPr>
            <w:rFonts w:ascii="Arial" w:hAnsi="Arial" w:cs="Arial"/>
            <w:b/>
            <w:bCs/>
            <w:noProof/>
            <w:color w:val="660033"/>
            <w:sz w:val="20"/>
            <w:szCs w:val="20"/>
            <w:lang w:val="es-ES"/>
          </w:rPr>
          <w:t>8</w:t>
        </w:r>
        <w:r w:rsidRPr="00956F78">
          <w:rPr>
            <w:rFonts w:ascii="Arial" w:hAnsi="Arial" w:cs="Arial"/>
            <w:b/>
            <w:bCs/>
            <w:color w:val="660033"/>
            <w:sz w:val="20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C810" w14:textId="77777777" w:rsidR="00445817" w:rsidRDefault="00445817" w:rsidP="007050DB">
      <w:pPr>
        <w:spacing w:after="0" w:line="240" w:lineRule="auto"/>
      </w:pPr>
      <w:r>
        <w:separator/>
      </w:r>
    </w:p>
  </w:footnote>
  <w:footnote w:type="continuationSeparator" w:id="0">
    <w:p w14:paraId="4D51A116" w14:textId="77777777" w:rsidR="00445817" w:rsidRDefault="00445817" w:rsidP="0070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E753F" w:rsidRPr="00063338" w14:paraId="0D03C9AD" w14:textId="77777777" w:rsidTr="00907833">
      <w:tc>
        <w:tcPr>
          <w:tcW w:w="1418" w:type="dxa"/>
        </w:tcPr>
        <w:p w14:paraId="1F9CF885" w14:textId="77777777" w:rsidR="007E753F" w:rsidRPr="00063338" w:rsidRDefault="007E753F" w:rsidP="007E753F">
          <w:pPr>
            <w:pStyle w:val="Encabezado"/>
            <w:ind w:left="-170"/>
            <w:jc w:val="left"/>
            <w:rPr>
              <w:rFonts w:ascii="Arial" w:hAnsi="Arial" w:cs="Arial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655C9EF4" wp14:editId="2D4ADDD1">
                <wp:extent cx="1014331" cy="1199403"/>
                <wp:effectExtent l="0" t="0" r="0" b="127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3F6C781" w14:textId="77777777" w:rsidR="007E753F" w:rsidRPr="00063338" w:rsidRDefault="007E753F" w:rsidP="007E753F">
          <w:pPr>
            <w:pStyle w:val="Encabezado"/>
            <w:spacing w:before="720"/>
            <w:ind w:left="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63338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14:paraId="0D507AC1" w14:textId="77777777" w:rsidR="007E753F" w:rsidRPr="00063338" w:rsidRDefault="007E753F" w:rsidP="007E753F">
          <w:pPr>
            <w:pStyle w:val="Encabezado"/>
            <w:ind w:left="0"/>
            <w:jc w:val="center"/>
            <w:rPr>
              <w:rFonts w:ascii="Arial" w:hAnsi="Arial" w:cs="Arial"/>
            </w:rPr>
          </w:pPr>
          <w:r w:rsidRPr="00063338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6381FE40" w14:textId="77777777" w:rsidR="007E753F" w:rsidRPr="00063338" w:rsidRDefault="007E753F" w:rsidP="007E753F">
          <w:pPr>
            <w:pStyle w:val="Encabezado"/>
            <w:spacing w:before="480"/>
            <w:ind w:left="0"/>
            <w:rPr>
              <w:rFonts w:ascii="Arial" w:hAnsi="Arial" w:cs="Arial"/>
            </w:rPr>
          </w:pPr>
          <w:r w:rsidRPr="00063338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C2C7956" wp14:editId="4137ACFD">
                <wp:extent cx="921600" cy="756000"/>
                <wp:effectExtent l="0" t="0" r="0" b="635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A33798" w14:textId="615DC750" w:rsidR="002317D7" w:rsidRPr="00DA36C2" w:rsidRDefault="00DA36C2" w:rsidP="00DA36C2">
    <w:pPr>
      <w:pStyle w:val="Encabezado"/>
      <w:ind w:left="0"/>
      <w:jc w:val="right"/>
      <w:rPr>
        <w:rFonts w:ascii="Arial" w:hAnsi="Arial" w:cs="Arial"/>
        <w:b/>
      </w:rPr>
    </w:pPr>
    <w:r w:rsidRPr="00DA36C2">
      <w:rPr>
        <w:rFonts w:ascii="Arial" w:hAnsi="Arial" w:cs="Arial"/>
        <w:b/>
      </w:rPr>
      <w:t>CE/2023/004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DA36C2" w:rsidRPr="00063338" w14:paraId="0260599F" w14:textId="77777777" w:rsidTr="00192380">
      <w:tc>
        <w:tcPr>
          <w:tcW w:w="1418" w:type="dxa"/>
        </w:tcPr>
        <w:p w14:paraId="1CFCDC6C" w14:textId="77777777" w:rsidR="00DA36C2" w:rsidRPr="00063338" w:rsidRDefault="00DA36C2" w:rsidP="00DA36C2">
          <w:pPr>
            <w:pStyle w:val="Encabezado"/>
            <w:ind w:left="-170"/>
            <w:jc w:val="left"/>
            <w:rPr>
              <w:rFonts w:ascii="Arial" w:hAnsi="Arial" w:cs="Arial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455ACD67" wp14:editId="4786BB71">
                <wp:extent cx="1014331" cy="1199403"/>
                <wp:effectExtent l="0" t="0" r="0" b="1270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BA0D05C" w14:textId="77777777" w:rsidR="00DA36C2" w:rsidRPr="00063338" w:rsidRDefault="00DA36C2" w:rsidP="00DA36C2">
          <w:pPr>
            <w:pStyle w:val="Encabezado"/>
            <w:spacing w:before="720"/>
            <w:ind w:left="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63338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14:paraId="53662AF1" w14:textId="77777777" w:rsidR="00DA36C2" w:rsidRPr="00063338" w:rsidRDefault="00DA36C2" w:rsidP="00DA36C2">
          <w:pPr>
            <w:pStyle w:val="Encabezado"/>
            <w:ind w:left="0"/>
            <w:jc w:val="center"/>
            <w:rPr>
              <w:rFonts w:ascii="Arial" w:hAnsi="Arial" w:cs="Arial"/>
            </w:rPr>
          </w:pPr>
          <w:r w:rsidRPr="00063338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118A515F" w14:textId="77777777" w:rsidR="00DA36C2" w:rsidRPr="00063338" w:rsidRDefault="00DA36C2" w:rsidP="00DA36C2">
          <w:pPr>
            <w:pStyle w:val="Encabezado"/>
            <w:spacing w:before="480"/>
            <w:ind w:left="0"/>
            <w:rPr>
              <w:rFonts w:ascii="Arial" w:hAnsi="Arial" w:cs="Arial"/>
            </w:rPr>
          </w:pPr>
          <w:r w:rsidRPr="00063338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6D1B26C" wp14:editId="05B6A0F2">
                <wp:extent cx="921600" cy="756000"/>
                <wp:effectExtent l="0" t="0" r="0" b="635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939524" w14:textId="77777777" w:rsidR="00DA36C2" w:rsidRDefault="00DA36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EB5"/>
    <w:multiLevelType w:val="multilevel"/>
    <w:tmpl w:val="27B83E0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153D0F"/>
    <w:multiLevelType w:val="multilevel"/>
    <w:tmpl w:val="0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A27894"/>
    <w:multiLevelType w:val="multilevel"/>
    <w:tmpl w:val="0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D4"/>
    <w:rsid w:val="00010F93"/>
    <w:rsid w:val="00012B73"/>
    <w:rsid w:val="0004433B"/>
    <w:rsid w:val="00056BEB"/>
    <w:rsid w:val="00072277"/>
    <w:rsid w:val="00076236"/>
    <w:rsid w:val="000A7559"/>
    <w:rsid w:val="000C040B"/>
    <w:rsid w:val="000C0F54"/>
    <w:rsid w:val="000D7BA3"/>
    <w:rsid w:val="000E5147"/>
    <w:rsid w:val="000F1621"/>
    <w:rsid w:val="000F5FF0"/>
    <w:rsid w:val="00135F9B"/>
    <w:rsid w:val="0015218C"/>
    <w:rsid w:val="00152F39"/>
    <w:rsid w:val="00156A5B"/>
    <w:rsid w:val="0016249E"/>
    <w:rsid w:val="0016334C"/>
    <w:rsid w:val="001D1E9F"/>
    <w:rsid w:val="001D36AF"/>
    <w:rsid w:val="001E5DC2"/>
    <w:rsid w:val="001E61CF"/>
    <w:rsid w:val="001E62DE"/>
    <w:rsid w:val="001F2A4C"/>
    <w:rsid w:val="001F56DA"/>
    <w:rsid w:val="002317D7"/>
    <w:rsid w:val="0023541D"/>
    <w:rsid w:val="00292DF0"/>
    <w:rsid w:val="002A64B9"/>
    <w:rsid w:val="002F3B2F"/>
    <w:rsid w:val="00304462"/>
    <w:rsid w:val="00312D81"/>
    <w:rsid w:val="003347CC"/>
    <w:rsid w:val="003511F8"/>
    <w:rsid w:val="00352590"/>
    <w:rsid w:val="003576A3"/>
    <w:rsid w:val="003A00F6"/>
    <w:rsid w:val="003B45A0"/>
    <w:rsid w:val="003C3954"/>
    <w:rsid w:val="003C49C4"/>
    <w:rsid w:val="003D0C78"/>
    <w:rsid w:val="003D1C84"/>
    <w:rsid w:val="003D225B"/>
    <w:rsid w:val="003F4119"/>
    <w:rsid w:val="00415B6C"/>
    <w:rsid w:val="00415BF4"/>
    <w:rsid w:val="00434887"/>
    <w:rsid w:val="00445817"/>
    <w:rsid w:val="004552C5"/>
    <w:rsid w:val="00457328"/>
    <w:rsid w:val="004D4302"/>
    <w:rsid w:val="004D46E3"/>
    <w:rsid w:val="004F2330"/>
    <w:rsid w:val="00512E8D"/>
    <w:rsid w:val="00531F36"/>
    <w:rsid w:val="00541D1F"/>
    <w:rsid w:val="0057708F"/>
    <w:rsid w:val="005851F2"/>
    <w:rsid w:val="0059575D"/>
    <w:rsid w:val="005A78BB"/>
    <w:rsid w:val="005B638B"/>
    <w:rsid w:val="005C52DB"/>
    <w:rsid w:val="005C73ED"/>
    <w:rsid w:val="005C7F4F"/>
    <w:rsid w:val="005D5151"/>
    <w:rsid w:val="005F2C05"/>
    <w:rsid w:val="006105FD"/>
    <w:rsid w:val="00617C78"/>
    <w:rsid w:val="006279B8"/>
    <w:rsid w:val="00641187"/>
    <w:rsid w:val="00652CDE"/>
    <w:rsid w:val="006950EB"/>
    <w:rsid w:val="006C3141"/>
    <w:rsid w:val="006D34AE"/>
    <w:rsid w:val="006E6781"/>
    <w:rsid w:val="006F0B79"/>
    <w:rsid w:val="00703E45"/>
    <w:rsid w:val="007050DB"/>
    <w:rsid w:val="00710FEE"/>
    <w:rsid w:val="007332C8"/>
    <w:rsid w:val="007B7B44"/>
    <w:rsid w:val="007D08FA"/>
    <w:rsid w:val="007D5E15"/>
    <w:rsid w:val="007E753F"/>
    <w:rsid w:val="007F1038"/>
    <w:rsid w:val="00806D15"/>
    <w:rsid w:val="008433AD"/>
    <w:rsid w:val="00843E50"/>
    <w:rsid w:val="00852000"/>
    <w:rsid w:val="00863FF2"/>
    <w:rsid w:val="008662A8"/>
    <w:rsid w:val="0089533B"/>
    <w:rsid w:val="008C02CE"/>
    <w:rsid w:val="009152C7"/>
    <w:rsid w:val="0095455F"/>
    <w:rsid w:val="00956F78"/>
    <w:rsid w:val="009A09D4"/>
    <w:rsid w:val="009A2E0D"/>
    <w:rsid w:val="009B4B00"/>
    <w:rsid w:val="009D04EE"/>
    <w:rsid w:val="009E0321"/>
    <w:rsid w:val="009E3E40"/>
    <w:rsid w:val="009E609C"/>
    <w:rsid w:val="009F0DC3"/>
    <w:rsid w:val="00A03B39"/>
    <w:rsid w:val="00A0602A"/>
    <w:rsid w:val="00A173F4"/>
    <w:rsid w:val="00A2196F"/>
    <w:rsid w:val="00A30B80"/>
    <w:rsid w:val="00A35925"/>
    <w:rsid w:val="00A36A03"/>
    <w:rsid w:val="00A53B69"/>
    <w:rsid w:val="00A63FD0"/>
    <w:rsid w:val="00A80C37"/>
    <w:rsid w:val="00AA3424"/>
    <w:rsid w:val="00AD48D9"/>
    <w:rsid w:val="00AD7D56"/>
    <w:rsid w:val="00AE60B2"/>
    <w:rsid w:val="00B2146F"/>
    <w:rsid w:val="00B23693"/>
    <w:rsid w:val="00B540F1"/>
    <w:rsid w:val="00B67588"/>
    <w:rsid w:val="00B71FB9"/>
    <w:rsid w:val="00B967AA"/>
    <w:rsid w:val="00BD4487"/>
    <w:rsid w:val="00BE3DC4"/>
    <w:rsid w:val="00C03315"/>
    <w:rsid w:val="00C04707"/>
    <w:rsid w:val="00C05F84"/>
    <w:rsid w:val="00C071C0"/>
    <w:rsid w:val="00C447F8"/>
    <w:rsid w:val="00C5751F"/>
    <w:rsid w:val="00C60A89"/>
    <w:rsid w:val="00C62C0D"/>
    <w:rsid w:val="00C903BC"/>
    <w:rsid w:val="00C910F8"/>
    <w:rsid w:val="00CA2BE7"/>
    <w:rsid w:val="00CD092F"/>
    <w:rsid w:val="00D136C7"/>
    <w:rsid w:val="00D37A23"/>
    <w:rsid w:val="00D51AD4"/>
    <w:rsid w:val="00D665BF"/>
    <w:rsid w:val="00D941AD"/>
    <w:rsid w:val="00DA36C2"/>
    <w:rsid w:val="00E31F2D"/>
    <w:rsid w:val="00E353CF"/>
    <w:rsid w:val="00E53858"/>
    <w:rsid w:val="00E609D2"/>
    <w:rsid w:val="00E65CE1"/>
    <w:rsid w:val="00E81E10"/>
    <w:rsid w:val="00E92057"/>
    <w:rsid w:val="00EB48D1"/>
    <w:rsid w:val="00EB7258"/>
    <w:rsid w:val="00EC009D"/>
    <w:rsid w:val="00EC08F7"/>
    <w:rsid w:val="00EC524C"/>
    <w:rsid w:val="00EC7046"/>
    <w:rsid w:val="00EE5FE4"/>
    <w:rsid w:val="00EF2EF5"/>
    <w:rsid w:val="00F07202"/>
    <w:rsid w:val="00F15857"/>
    <w:rsid w:val="00F16F21"/>
    <w:rsid w:val="00F3399E"/>
    <w:rsid w:val="00F40F09"/>
    <w:rsid w:val="00F50CE1"/>
    <w:rsid w:val="00F51A20"/>
    <w:rsid w:val="00F554FF"/>
    <w:rsid w:val="00F8459B"/>
    <w:rsid w:val="00F87845"/>
    <w:rsid w:val="00FD02FB"/>
    <w:rsid w:val="00FD7812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5767E"/>
  <w15:chartTrackingRefBased/>
  <w15:docId w15:val="{D215B0FF-F385-4AC2-9011-63FD9DB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D4"/>
    <w:pPr>
      <w:spacing w:after="240" w:line="276" w:lineRule="auto"/>
      <w:ind w:left="510"/>
      <w:jc w:val="both"/>
    </w:pPr>
    <w:rPr>
      <w:rFonts w:ascii="Calisto MT" w:hAnsi="Calisto MT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A64B9"/>
    <w:pPr>
      <w:numPr>
        <w:numId w:val="1"/>
      </w:numPr>
      <w:spacing w:before="480" w:after="360" w:line="288" w:lineRule="auto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41AD"/>
    <w:pPr>
      <w:keepNext/>
      <w:keepLines/>
      <w:numPr>
        <w:ilvl w:val="1"/>
        <w:numId w:val="1"/>
      </w:numPr>
      <w:spacing w:before="360" w:after="0" w:line="288" w:lineRule="auto"/>
      <w:ind w:left="510" w:hanging="510"/>
      <w:outlineLvl w:val="1"/>
    </w:pPr>
    <w:rPr>
      <w:rFonts w:ascii="Amasis MT Pro" w:eastAsiaTheme="majorEastAsia" w:hAnsi="Amasis MT Pro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3E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2A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62A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62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62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62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62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B9"/>
    <w:rPr>
      <w:rFonts w:ascii="Calisto MT" w:hAnsi="Calisto MT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C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941AD"/>
    <w:rPr>
      <w:rFonts w:ascii="Amasis MT Pro" w:eastAsiaTheme="majorEastAsia" w:hAnsi="Amasis MT Pro" w:cstheme="majorBidi"/>
      <w:b/>
      <w:bCs/>
      <w:sz w:val="24"/>
      <w:szCs w:val="24"/>
    </w:rPr>
  </w:style>
  <w:style w:type="paragraph" w:customStyle="1" w:styleId="Puntos">
    <w:name w:val="Puntos"/>
    <w:basedOn w:val="Normal"/>
    <w:link w:val="PuntosCar"/>
    <w:qFormat/>
    <w:rsid w:val="00D51AD4"/>
  </w:style>
  <w:style w:type="character" w:customStyle="1" w:styleId="Ttulo4Car">
    <w:name w:val="Título 4 Car"/>
    <w:basedOn w:val="Fuentedeprrafopredeter"/>
    <w:link w:val="Ttulo4"/>
    <w:uiPriority w:val="9"/>
    <w:semiHidden/>
    <w:rsid w:val="008662A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PuntosCar">
    <w:name w:val="Puntos Car"/>
    <w:basedOn w:val="Fuentedeprrafopredeter"/>
    <w:link w:val="Puntos"/>
    <w:rsid w:val="00D51AD4"/>
    <w:rPr>
      <w:rFonts w:ascii="Calisto MT" w:hAnsi="Calisto MT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62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62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62A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6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6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7050DB"/>
    <w:pPr>
      <w:widowControl w:val="0"/>
      <w:spacing w:after="480"/>
      <w:ind w:left="0"/>
    </w:pPr>
    <w:rPr>
      <w:rFonts w:cs="Louis George Cafe"/>
      <w:b/>
      <w:sz w:val="28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7050DB"/>
    <w:rPr>
      <w:rFonts w:ascii="Calisto MT" w:hAnsi="Calisto MT" w:cs="Louis George Cafe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05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0DB"/>
    <w:rPr>
      <w:rFonts w:ascii="Calisto MT" w:hAnsi="Calisto M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5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0DB"/>
    <w:rPr>
      <w:rFonts w:ascii="Calisto MT" w:hAnsi="Calisto MT"/>
      <w:sz w:val="24"/>
      <w:szCs w:val="24"/>
    </w:rPr>
  </w:style>
  <w:style w:type="table" w:styleId="Tablaconcuadrcula">
    <w:name w:val="Table Grid"/>
    <w:basedOn w:val="Tablanormal"/>
    <w:uiPriority w:val="39"/>
    <w:rsid w:val="00AD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6FF1-16F2-4CEB-8ECA-8013B5A4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2282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Leon</dc:creator>
  <cp:keywords/>
  <dc:description/>
  <cp:lastModifiedBy>Lic_ Carlos E. León Mayo</cp:lastModifiedBy>
  <cp:revision>69</cp:revision>
  <dcterms:created xsi:type="dcterms:W3CDTF">2023-01-09T19:41:00Z</dcterms:created>
  <dcterms:modified xsi:type="dcterms:W3CDTF">2023-01-31T17:52:00Z</dcterms:modified>
</cp:coreProperties>
</file>