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CBB51" w14:textId="415DF493" w:rsidR="00C962B5" w:rsidRDefault="00C962B5" w:rsidP="00C962B5">
      <w:pPr>
        <w:pStyle w:val="Ttulo"/>
        <w:spacing w:after="240"/>
        <w:jc w:val="right"/>
        <w:rPr>
          <w:rFonts w:ascii="Arial" w:hAnsi="Arial" w:cs="Arial"/>
        </w:rPr>
      </w:pPr>
      <w:r>
        <w:rPr>
          <w:rFonts w:ascii="Arial" w:hAnsi="Arial" w:cs="Arial"/>
        </w:rPr>
        <w:t>CE/2023/003</w:t>
      </w:r>
    </w:p>
    <w:p w14:paraId="08F76F92" w14:textId="616A0E20" w:rsidR="007050DB" w:rsidRPr="00DE5C54" w:rsidRDefault="00997FAE" w:rsidP="007050DB">
      <w:pPr>
        <w:pStyle w:val="Ttulo"/>
        <w:rPr>
          <w:rFonts w:ascii="Arial" w:hAnsi="Arial" w:cs="Arial"/>
        </w:rPr>
      </w:pPr>
      <w:r>
        <w:rPr>
          <w:rFonts w:ascii="Arial" w:hAnsi="Arial" w:cs="Arial"/>
        </w:rPr>
        <w:t>A</w:t>
      </w:r>
      <w:r w:rsidR="007050DB" w:rsidRPr="00DE5C54">
        <w:rPr>
          <w:rFonts w:ascii="Arial" w:hAnsi="Arial" w:cs="Arial"/>
        </w:rPr>
        <w:t xml:space="preserve">cuerdo que emite el Consejo Estatal del Instituto Electoral y de Participación Ciudadana de Tabasco, mediante el cual aprueba el Programa Anual de Trabajo </w:t>
      </w:r>
      <w:r w:rsidR="00A03B39" w:rsidRPr="00DE5C54">
        <w:rPr>
          <w:rFonts w:ascii="Arial" w:hAnsi="Arial" w:cs="Arial"/>
        </w:rPr>
        <w:t xml:space="preserve">de </w:t>
      </w:r>
      <w:r w:rsidR="007050DB" w:rsidRPr="00DE5C54">
        <w:rPr>
          <w:rFonts w:ascii="Arial" w:hAnsi="Arial" w:cs="Arial"/>
        </w:rPr>
        <w:t xml:space="preserve">la </w:t>
      </w:r>
      <w:r w:rsidR="00F903F7" w:rsidRPr="00DE5C54">
        <w:rPr>
          <w:rFonts w:ascii="Arial" w:hAnsi="Arial" w:cs="Arial"/>
        </w:rPr>
        <w:t xml:space="preserve">Comisión de Denuncias y Quejas, para </w:t>
      </w:r>
      <w:r w:rsidR="007050DB" w:rsidRPr="00DE5C54">
        <w:rPr>
          <w:rFonts w:ascii="Arial" w:hAnsi="Arial" w:cs="Arial"/>
        </w:rPr>
        <w:t>el año 2023</w:t>
      </w:r>
    </w:p>
    <w:p w14:paraId="177FF168" w14:textId="77777777" w:rsidR="007050DB" w:rsidRPr="00DE5C54" w:rsidRDefault="007050DB" w:rsidP="00A2196F">
      <w:pPr>
        <w:ind w:left="0"/>
        <w:rPr>
          <w:rFonts w:ascii="Arial" w:hAnsi="Arial" w:cs="Arial"/>
        </w:rPr>
      </w:pPr>
      <w:r w:rsidRPr="00DE5C54">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7050DB" w:rsidRPr="00DE5C54" w14:paraId="6DB13BF1" w14:textId="77777777" w:rsidTr="00594B1C">
        <w:trPr>
          <w:trHeight w:val="624"/>
          <w:jc w:val="center"/>
        </w:trPr>
        <w:tc>
          <w:tcPr>
            <w:tcW w:w="2042" w:type="pct"/>
            <w:shd w:val="clear" w:color="auto" w:fill="auto"/>
            <w:vAlign w:val="center"/>
          </w:tcPr>
          <w:p w14:paraId="225CF38E" w14:textId="62341F34" w:rsidR="007050DB" w:rsidRPr="00DE5C54" w:rsidRDefault="007050DB" w:rsidP="00F903F7">
            <w:pPr>
              <w:spacing w:before="40" w:after="40"/>
              <w:ind w:left="0"/>
              <w:jc w:val="right"/>
              <w:rPr>
                <w:rFonts w:ascii="Arial" w:hAnsi="Arial" w:cs="Arial"/>
                <w:b/>
                <w:sz w:val="22"/>
                <w:szCs w:val="22"/>
              </w:rPr>
            </w:pPr>
            <w:r w:rsidRPr="00DE5C54">
              <w:rPr>
                <w:rFonts w:ascii="Arial" w:hAnsi="Arial" w:cs="Arial"/>
                <w:b/>
                <w:sz w:val="22"/>
                <w:szCs w:val="22"/>
              </w:rPr>
              <w:t xml:space="preserve">Comisión de </w:t>
            </w:r>
            <w:r w:rsidR="00F903F7" w:rsidRPr="00DE5C54">
              <w:rPr>
                <w:rFonts w:ascii="Arial" w:hAnsi="Arial" w:cs="Arial"/>
                <w:b/>
                <w:sz w:val="22"/>
                <w:szCs w:val="22"/>
              </w:rPr>
              <w:t>Denuncias</w:t>
            </w:r>
            <w:r w:rsidRPr="00DE5C54">
              <w:rPr>
                <w:rFonts w:ascii="Arial" w:hAnsi="Arial" w:cs="Arial"/>
                <w:b/>
                <w:sz w:val="22"/>
                <w:szCs w:val="22"/>
              </w:rPr>
              <w:t>:</w:t>
            </w:r>
          </w:p>
        </w:tc>
        <w:tc>
          <w:tcPr>
            <w:tcW w:w="2958" w:type="pct"/>
            <w:shd w:val="clear" w:color="auto" w:fill="auto"/>
            <w:vAlign w:val="center"/>
          </w:tcPr>
          <w:p w14:paraId="62F86115" w14:textId="6D709856" w:rsidR="007050DB" w:rsidRPr="00DE5C54" w:rsidRDefault="00F903F7" w:rsidP="006D34AE">
            <w:pPr>
              <w:spacing w:before="40" w:after="40"/>
              <w:ind w:left="113" w:right="113"/>
              <w:rPr>
                <w:rFonts w:ascii="Arial" w:hAnsi="Arial" w:cs="Arial"/>
                <w:sz w:val="22"/>
                <w:szCs w:val="22"/>
              </w:rPr>
            </w:pPr>
            <w:r w:rsidRPr="00DE5C54">
              <w:rPr>
                <w:rFonts w:ascii="Arial" w:hAnsi="Arial" w:cs="Arial"/>
                <w:sz w:val="22"/>
                <w:szCs w:val="22"/>
              </w:rPr>
              <w:t>Comisión de Denuncias y Quejas del Instituto Electoral y de Participación Ciudadana de Tabasco.</w:t>
            </w:r>
          </w:p>
        </w:tc>
      </w:tr>
      <w:tr w:rsidR="007050DB" w:rsidRPr="00DE5C54" w14:paraId="51B5D865" w14:textId="77777777" w:rsidTr="00594B1C">
        <w:trPr>
          <w:trHeight w:val="624"/>
          <w:jc w:val="center"/>
        </w:trPr>
        <w:tc>
          <w:tcPr>
            <w:tcW w:w="2042" w:type="pct"/>
            <w:shd w:val="clear" w:color="auto" w:fill="auto"/>
            <w:vAlign w:val="center"/>
          </w:tcPr>
          <w:p w14:paraId="43557A2C" w14:textId="77777777" w:rsidR="007050DB" w:rsidRPr="00DE5C54" w:rsidRDefault="007050DB" w:rsidP="00C903BC">
            <w:pPr>
              <w:spacing w:before="40" w:after="40"/>
              <w:ind w:left="0"/>
              <w:jc w:val="right"/>
              <w:rPr>
                <w:rFonts w:ascii="Arial" w:hAnsi="Arial" w:cs="Arial"/>
                <w:b/>
                <w:sz w:val="22"/>
                <w:szCs w:val="22"/>
              </w:rPr>
            </w:pPr>
            <w:r w:rsidRPr="00DE5C54">
              <w:rPr>
                <w:rFonts w:ascii="Arial" w:hAnsi="Arial" w:cs="Arial"/>
                <w:b/>
                <w:sz w:val="22"/>
                <w:szCs w:val="22"/>
              </w:rPr>
              <w:t>Consejo Estatal:</w:t>
            </w:r>
          </w:p>
        </w:tc>
        <w:tc>
          <w:tcPr>
            <w:tcW w:w="2958" w:type="pct"/>
            <w:shd w:val="clear" w:color="auto" w:fill="auto"/>
            <w:vAlign w:val="center"/>
          </w:tcPr>
          <w:p w14:paraId="413CB9EF" w14:textId="77777777" w:rsidR="007050DB" w:rsidRPr="00DE5C54" w:rsidRDefault="007050DB" w:rsidP="006D34AE">
            <w:pPr>
              <w:spacing w:before="40" w:after="40"/>
              <w:ind w:left="113" w:right="113"/>
              <w:rPr>
                <w:rFonts w:ascii="Arial" w:hAnsi="Arial" w:cs="Arial"/>
                <w:sz w:val="22"/>
                <w:szCs w:val="22"/>
              </w:rPr>
            </w:pPr>
            <w:r w:rsidRPr="00DE5C54">
              <w:rPr>
                <w:rFonts w:ascii="Arial" w:hAnsi="Arial" w:cs="Arial"/>
                <w:sz w:val="22"/>
                <w:szCs w:val="22"/>
              </w:rPr>
              <w:t>Consejo Estatal del Instituto Electoral y de Participación Ciudadana de Tabasco.</w:t>
            </w:r>
          </w:p>
        </w:tc>
      </w:tr>
      <w:tr w:rsidR="007050DB" w:rsidRPr="00DE5C54" w14:paraId="16AB0641" w14:textId="77777777" w:rsidTr="00594B1C">
        <w:trPr>
          <w:trHeight w:val="624"/>
          <w:jc w:val="center"/>
        </w:trPr>
        <w:tc>
          <w:tcPr>
            <w:tcW w:w="2042" w:type="pct"/>
            <w:shd w:val="clear" w:color="auto" w:fill="auto"/>
            <w:vAlign w:val="center"/>
          </w:tcPr>
          <w:p w14:paraId="483B7AF9" w14:textId="77777777" w:rsidR="007050DB" w:rsidRPr="00DE5C54" w:rsidRDefault="007050DB" w:rsidP="00C903BC">
            <w:pPr>
              <w:spacing w:before="40" w:after="40"/>
              <w:ind w:left="0"/>
              <w:jc w:val="right"/>
              <w:rPr>
                <w:rFonts w:ascii="Arial" w:hAnsi="Arial" w:cs="Arial"/>
                <w:b/>
                <w:sz w:val="22"/>
                <w:szCs w:val="22"/>
              </w:rPr>
            </w:pPr>
            <w:r w:rsidRPr="00DE5C54">
              <w:rPr>
                <w:rFonts w:ascii="Arial" w:hAnsi="Arial" w:cs="Arial"/>
                <w:b/>
                <w:sz w:val="22"/>
                <w:szCs w:val="22"/>
              </w:rPr>
              <w:t>Constitución Federal:</w:t>
            </w:r>
          </w:p>
        </w:tc>
        <w:tc>
          <w:tcPr>
            <w:tcW w:w="2958" w:type="pct"/>
            <w:shd w:val="clear" w:color="auto" w:fill="auto"/>
            <w:vAlign w:val="center"/>
          </w:tcPr>
          <w:p w14:paraId="2CE98BF5" w14:textId="77777777" w:rsidR="007050DB" w:rsidRPr="00DE5C54" w:rsidRDefault="007050DB" w:rsidP="006D34AE">
            <w:pPr>
              <w:spacing w:before="40" w:after="40"/>
              <w:ind w:left="113" w:right="113"/>
              <w:rPr>
                <w:rFonts w:ascii="Arial" w:hAnsi="Arial" w:cs="Arial"/>
                <w:sz w:val="22"/>
                <w:szCs w:val="22"/>
              </w:rPr>
            </w:pPr>
            <w:r w:rsidRPr="00DE5C54">
              <w:rPr>
                <w:rFonts w:ascii="Arial" w:hAnsi="Arial" w:cs="Arial"/>
                <w:sz w:val="22"/>
                <w:szCs w:val="22"/>
              </w:rPr>
              <w:t>Constitución Política de los Estados Unidos Mexicanos.</w:t>
            </w:r>
          </w:p>
        </w:tc>
      </w:tr>
      <w:tr w:rsidR="007050DB" w:rsidRPr="00DE5C54" w14:paraId="74C530DD" w14:textId="77777777" w:rsidTr="00594B1C">
        <w:trPr>
          <w:trHeight w:val="624"/>
          <w:jc w:val="center"/>
        </w:trPr>
        <w:tc>
          <w:tcPr>
            <w:tcW w:w="2042" w:type="pct"/>
            <w:shd w:val="clear" w:color="auto" w:fill="auto"/>
            <w:vAlign w:val="center"/>
          </w:tcPr>
          <w:p w14:paraId="3A1BB3B2" w14:textId="77777777" w:rsidR="007050DB" w:rsidRPr="00DE5C54" w:rsidRDefault="007050DB" w:rsidP="00C903BC">
            <w:pPr>
              <w:spacing w:before="40" w:after="40"/>
              <w:ind w:left="0"/>
              <w:jc w:val="right"/>
              <w:rPr>
                <w:rFonts w:ascii="Arial" w:hAnsi="Arial" w:cs="Arial"/>
                <w:b/>
                <w:sz w:val="22"/>
                <w:szCs w:val="22"/>
              </w:rPr>
            </w:pPr>
            <w:r w:rsidRPr="00DE5C54">
              <w:rPr>
                <w:rFonts w:ascii="Arial" w:hAnsi="Arial" w:cs="Arial"/>
                <w:b/>
                <w:sz w:val="22"/>
                <w:szCs w:val="22"/>
              </w:rPr>
              <w:t>Constitución Local:</w:t>
            </w:r>
          </w:p>
        </w:tc>
        <w:tc>
          <w:tcPr>
            <w:tcW w:w="2958" w:type="pct"/>
            <w:shd w:val="clear" w:color="auto" w:fill="auto"/>
            <w:vAlign w:val="center"/>
          </w:tcPr>
          <w:p w14:paraId="53C98376" w14:textId="77777777" w:rsidR="007050DB" w:rsidRPr="00DE5C54" w:rsidRDefault="007050DB" w:rsidP="006D34AE">
            <w:pPr>
              <w:spacing w:before="40" w:after="40"/>
              <w:ind w:left="113" w:right="113"/>
              <w:rPr>
                <w:rFonts w:ascii="Arial" w:hAnsi="Arial" w:cs="Arial"/>
                <w:sz w:val="22"/>
                <w:szCs w:val="22"/>
              </w:rPr>
            </w:pPr>
            <w:r w:rsidRPr="00DE5C54">
              <w:rPr>
                <w:rFonts w:ascii="Arial" w:hAnsi="Arial" w:cs="Arial"/>
                <w:sz w:val="22"/>
                <w:szCs w:val="22"/>
              </w:rPr>
              <w:t>Constitución Política del Estado Libre y Soberano de Tabasco.</w:t>
            </w:r>
          </w:p>
        </w:tc>
      </w:tr>
      <w:tr w:rsidR="007050DB" w:rsidRPr="00DE5C54" w14:paraId="3041E071" w14:textId="77777777" w:rsidTr="00594B1C">
        <w:trPr>
          <w:trHeight w:val="624"/>
          <w:jc w:val="center"/>
        </w:trPr>
        <w:tc>
          <w:tcPr>
            <w:tcW w:w="2042" w:type="pct"/>
            <w:shd w:val="clear" w:color="auto" w:fill="auto"/>
            <w:vAlign w:val="center"/>
          </w:tcPr>
          <w:p w14:paraId="4BF076CF" w14:textId="77777777" w:rsidR="007050DB" w:rsidRPr="00DE5C54" w:rsidRDefault="007050DB" w:rsidP="00C903BC">
            <w:pPr>
              <w:spacing w:before="40" w:after="40"/>
              <w:ind w:left="0"/>
              <w:jc w:val="right"/>
              <w:rPr>
                <w:rFonts w:ascii="Arial" w:hAnsi="Arial" w:cs="Arial"/>
                <w:b/>
                <w:sz w:val="22"/>
                <w:szCs w:val="22"/>
              </w:rPr>
            </w:pPr>
            <w:r w:rsidRPr="00DE5C54">
              <w:rPr>
                <w:rFonts w:ascii="Arial" w:hAnsi="Arial" w:cs="Arial"/>
                <w:b/>
                <w:sz w:val="22"/>
                <w:szCs w:val="22"/>
              </w:rPr>
              <w:t>INE:</w:t>
            </w:r>
          </w:p>
        </w:tc>
        <w:tc>
          <w:tcPr>
            <w:tcW w:w="2958" w:type="pct"/>
            <w:shd w:val="clear" w:color="auto" w:fill="auto"/>
            <w:vAlign w:val="center"/>
          </w:tcPr>
          <w:p w14:paraId="630ACC06" w14:textId="77777777" w:rsidR="007050DB" w:rsidRPr="00DE5C54" w:rsidRDefault="007050DB" w:rsidP="006D34AE">
            <w:pPr>
              <w:spacing w:before="40" w:after="40"/>
              <w:ind w:left="113" w:right="113"/>
              <w:rPr>
                <w:rFonts w:ascii="Arial" w:hAnsi="Arial" w:cs="Arial"/>
                <w:sz w:val="22"/>
                <w:szCs w:val="22"/>
              </w:rPr>
            </w:pPr>
            <w:r w:rsidRPr="00DE5C54">
              <w:rPr>
                <w:rFonts w:ascii="Arial" w:hAnsi="Arial" w:cs="Arial"/>
                <w:sz w:val="22"/>
                <w:szCs w:val="22"/>
              </w:rPr>
              <w:t>Instituto Nacional Electoral.</w:t>
            </w:r>
          </w:p>
        </w:tc>
      </w:tr>
      <w:tr w:rsidR="007050DB" w:rsidRPr="00DE5C54" w14:paraId="120FEBAA" w14:textId="77777777" w:rsidTr="00594B1C">
        <w:trPr>
          <w:trHeight w:val="624"/>
          <w:jc w:val="center"/>
        </w:trPr>
        <w:tc>
          <w:tcPr>
            <w:tcW w:w="2042" w:type="pct"/>
            <w:shd w:val="clear" w:color="auto" w:fill="auto"/>
            <w:vAlign w:val="center"/>
          </w:tcPr>
          <w:p w14:paraId="6A4C15DB" w14:textId="77777777" w:rsidR="007050DB" w:rsidRPr="00DE5C54" w:rsidRDefault="007050DB" w:rsidP="00C903BC">
            <w:pPr>
              <w:spacing w:before="40" w:after="40"/>
              <w:ind w:left="0"/>
              <w:jc w:val="right"/>
              <w:rPr>
                <w:rFonts w:ascii="Arial" w:hAnsi="Arial" w:cs="Arial"/>
                <w:b/>
                <w:sz w:val="22"/>
                <w:szCs w:val="22"/>
              </w:rPr>
            </w:pPr>
            <w:r w:rsidRPr="00DE5C54">
              <w:rPr>
                <w:rFonts w:ascii="Arial" w:hAnsi="Arial" w:cs="Arial"/>
                <w:b/>
                <w:sz w:val="22"/>
                <w:szCs w:val="22"/>
              </w:rPr>
              <w:t>Instituto Electoral:</w:t>
            </w:r>
          </w:p>
        </w:tc>
        <w:tc>
          <w:tcPr>
            <w:tcW w:w="2958" w:type="pct"/>
            <w:shd w:val="clear" w:color="auto" w:fill="auto"/>
          </w:tcPr>
          <w:p w14:paraId="03EF655A" w14:textId="77777777" w:rsidR="007050DB" w:rsidRPr="00DE5C54" w:rsidRDefault="007050DB" w:rsidP="006D34AE">
            <w:pPr>
              <w:spacing w:before="40" w:after="40"/>
              <w:ind w:left="113" w:right="113"/>
              <w:rPr>
                <w:rFonts w:ascii="Arial" w:hAnsi="Arial" w:cs="Arial"/>
                <w:sz w:val="22"/>
                <w:szCs w:val="22"/>
              </w:rPr>
            </w:pPr>
            <w:r w:rsidRPr="00DE5C54">
              <w:rPr>
                <w:rFonts w:ascii="Arial" w:hAnsi="Arial" w:cs="Arial"/>
                <w:sz w:val="22"/>
                <w:szCs w:val="22"/>
              </w:rPr>
              <w:t>Instituto Electoral y de Participación Ciudadana de Tabasco.</w:t>
            </w:r>
          </w:p>
        </w:tc>
      </w:tr>
      <w:tr w:rsidR="007050DB" w:rsidRPr="00DE5C54" w14:paraId="3188DB2B" w14:textId="77777777" w:rsidTr="00594B1C">
        <w:trPr>
          <w:trHeight w:val="624"/>
          <w:jc w:val="center"/>
        </w:trPr>
        <w:tc>
          <w:tcPr>
            <w:tcW w:w="2042" w:type="pct"/>
            <w:shd w:val="clear" w:color="auto" w:fill="auto"/>
            <w:vAlign w:val="center"/>
          </w:tcPr>
          <w:p w14:paraId="3E599F48" w14:textId="77777777" w:rsidR="007050DB" w:rsidRPr="00DE5C54" w:rsidRDefault="007050DB" w:rsidP="00C903BC">
            <w:pPr>
              <w:spacing w:before="40" w:after="40"/>
              <w:ind w:left="0"/>
              <w:jc w:val="right"/>
              <w:rPr>
                <w:rFonts w:ascii="Arial" w:hAnsi="Arial" w:cs="Arial"/>
                <w:b/>
                <w:sz w:val="22"/>
                <w:szCs w:val="22"/>
              </w:rPr>
            </w:pPr>
            <w:r w:rsidRPr="00DE5C54">
              <w:rPr>
                <w:rFonts w:ascii="Arial" w:hAnsi="Arial" w:cs="Arial"/>
                <w:b/>
                <w:sz w:val="22"/>
                <w:szCs w:val="22"/>
              </w:rPr>
              <w:t>Ley Electoral:</w:t>
            </w:r>
          </w:p>
        </w:tc>
        <w:tc>
          <w:tcPr>
            <w:tcW w:w="2958" w:type="pct"/>
            <w:shd w:val="clear" w:color="auto" w:fill="auto"/>
            <w:vAlign w:val="center"/>
          </w:tcPr>
          <w:p w14:paraId="0F4051A5" w14:textId="77777777" w:rsidR="007050DB" w:rsidRPr="00DE5C54" w:rsidRDefault="007050DB" w:rsidP="006D34AE">
            <w:pPr>
              <w:spacing w:before="40" w:after="40"/>
              <w:ind w:left="113" w:right="113"/>
              <w:rPr>
                <w:rFonts w:ascii="Arial" w:hAnsi="Arial" w:cs="Arial"/>
                <w:sz w:val="22"/>
                <w:szCs w:val="22"/>
              </w:rPr>
            </w:pPr>
            <w:r w:rsidRPr="00DE5C54">
              <w:rPr>
                <w:rFonts w:ascii="Arial" w:hAnsi="Arial" w:cs="Arial"/>
                <w:sz w:val="22"/>
                <w:szCs w:val="22"/>
              </w:rPr>
              <w:t>Ley Electoral y de Partidos Políticos del Estado de Tabasco.</w:t>
            </w:r>
          </w:p>
        </w:tc>
      </w:tr>
      <w:tr w:rsidR="007050DB" w:rsidRPr="00DE5C54" w14:paraId="63A939B7" w14:textId="77777777" w:rsidTr="00594B1C">
        <w:trPr>
          <w:trHeight w:val="624"/>
          <w:jc w:val="center"/>
        </w:trPr>
        <w:tc>
          <w:tcPr>
            <w:tcW w:w="2042" w:type="pct"/>
            <w:shd w:val="clear" w:color="auto" w:fill="auto"/>
            <w:vAlign w:val="center"/>
          </w:tcPr>
          <w:p w14:paraId="6A4CCB3F" w14:textId="77777777" w:rsidR="007050DB" w:rsidRPr="00DE5C54" w:rsidRDefault="007050DB" w:rsidP="00C903BC">
            <w:pPr>
              <w:spacing w:before="40" w:after="40"/>
              <w:ind w:left="0"/>
              <w:jc w:val="right"/>
              <w:rPr>
                <w:rFonts w:ascii="Arial" w:hAnsi="Arial" w:cs="Arial"/>
                <w:b/>
                <w:sz w:val="22"/>
                <w:szCs w:val="22"/>
              </w:rPr>
            </w:pPr>
            <w:r w:rsidRPr="00DE5C54">
              <w:rPr>
                <w:rFonts w:ascii="Arial" w:hAnsi="Arial" w:cs="Arial"/>
                <w:b/>
                <w:sz w:val="22"/>
                <w:szCs w:val="22"/>
              </w:rPr>
              <w:t>Ley General:</w:t>
            </w:r>
          </w:p>
        </w:tc>
        <w:tc>
          <w:tcPr>
            <w:tcW w:w="2958" w:type="pct"/>
            <w:shd w:val="clear" w:color="auto" w:fill="auto"/>
            <w:vAlign w:val="center"/>
          </w:tcPr>
          <w:p w14:paraId="1F1E2CCB" w14:textId="77777777" w:rsidR="007050DB" w:rsidRPr="00DE5C54" w:rsidRDefault="007050DB" w:rsidP="006D34AE">
            <w:pPr>
              <w:spacing w:before="40" w:after="40"/>
              <w:ind w:left="113" w:right="113"/>
              <w:rPr>
                <w:rFonts w:ascii="Arial" w:hAnsi="Arial" w:cs="Arial"/>
                <w:sz w:val="22"/>
                <w:szCs w:val="22"/>
              </w:rPr>
            </w:pPr>
            <w:r w:rsidRPr="00DE5C54">
              <w:rPr>
                <w:rFonts w:ascii="Arial" w:hAnsi="Arial" w:cs="Arial"/>
                <w:sz w:val="22"/>
                <w:szCs w:val="22"/>
              </w:rPr>
              <w:t>Ley General de Instituciones y Procedimientos Electorales.</w:t>
            </w:r>
          </w:p>
        </w:tc>
      </w:tr>
      <w:tr w:rsidR="007050DB" w:rsidRPr="00DE5C54" w14:paraId="400DCE3D" w14:textId="77777777" w:rsidTr="00594B1C">
        <w:trPr>
          <w:trHeight w:val="624"/>
          <w:jc w:val="center"/>
        </w:trPr>
        <w:tc>
          <w:tcPr>
            <w:tcW w:w="2042" w:type="pct"/>
            <w:shd w:val="clear" w:color="auto" w:fill="auto"/>
            <w:vAlign w:val="center"/>
          </w:tcPr>
          <w:p w14:paraId="6E1816BE" w14:textId="77777777" w:rsidR="007050DB" w:rsidRPr="00DE5C54" w:rsidRDefault="007050DB" w:rsidP="00C903BC">
            <w:pPr>
              <w:spacing w:before="40" w:after="40"/>
              <w:ind w:left="0"/>
              <w:jc w:val="right"/>
              <w:rPr>
                <w:rFonts w:ascii="Arial" w:hAnsi="Arial" w:cs="Arial"/>
                <w:b/>
                <w:sz w:val="22"/>
                <w:szCs w:val="22"/>
              </w:rPr>
            </w:pPr>
            <w:r w:rsidRPr="00DE5C54">
              <w:rPr>
                <w:rFonts w:ascii="Arial" w:hAnsi="Arial" w:cs="Arial"/>
                <w:b/>
                <w:sz w:val="22"/>
                <w:szCs w:val="22"/>
              </w:rPr>
              <w:t>Organismo electoral:</w:t>
            </w:r>
          </w:p>
        </w:tc>
        <w:tc>
          <w:tcPr>
            <w:tcW w:w="2958" w:type="pct"/>
            <w:shd w:val="clear" w:color="auto" w:fill="auto"/>
            <w:vAlign w:val="center"/>
          </w:tcPr>
          <w:p w14:paraId="2D2D5B21" w14:textId="77777777" w:rsidR="007050DB" w:rsidRPr="00DE5C54" w:rsidRDefault="007050DB" w:rsidP="006D34AE">
            <w:pPr>
              <w:spacing w:before="40" w:after="40"/>
              <w:ind w:left="113" w:right="113"/>
              <w:rPr>
                <w:rFonts w:ascii="Arial" w:hAnsi="Arial" w:cs="Arial"/>
                <w:sz w:val="22"/>
                <w:szCs w:val="22"/>
              </w:rPr>
            </w:pPr>
            <w:r w:rsidRPr="00DE5C54">
              <w:rPr>
                <w:rFonts w:ascii="Arial" w:hAnsi="Arial" w:cs="Arial"/>
                <w:sz w:val="22"/>
                <w:szCs w:val="22"/>
              </w:rPr>
              <w:t xml:space="preserve">Organismo(s) público(s) local(es) electoral(es). </w:t>
            </w:r>
          </w:p>
        </w:tc>
      </w:tr>
      <w:tr w:rsidR="007050DB" w:rsidRPr="00DE5C54" w14:paraId="0C0F7FC1" w14:textId="77777777" w:rsidTr="00594B1C">
        <w:trPr>
          <w:trHeight w:val="624"/>
          <w:jc w:val="center"/>
        </w:trPr>
        <w:tc>
          <w:tcPr>
            <w:tcW w:w="2042" w:type="pct"/>
            <w:shd w:val="clear" w:color="auto" w:fill="auto"/>
            <w:vAlign w:val="center"/>
          </w:tcPr>
          <w:p w14:paraId="6CADDE69" w14:textId="77777777" w:rsidR="007050DB" w:rsidRPr="00DE5C54" w:rsidRDefault="007050DB" w:rsidP="00C903BC">
            <w:pPr>
              <w:spacing w:before="40" w:after="40"/>
              <w:ind w:left="0"/>
              <w:jc w:val="right"/>
              <w:rPr>
                <w:rFonts w:ascii="Arial" w:hAnsi="Arial" w:cs="Arial"/>
                <w:b/>
                <w:sz w:val="22"/>
                <w:szCs w:val="22"/>
              </w:rPr>
            </w:pPr>
            <w:r w:rsidRPr="00DE5C54">
              <w:rPr>
                <w:rFonts w:ascii="Arial" w:hAnsi="Arial" w:cs="Arial"/>
                <w:b/>
                <w:sz w:val="22"/>
                <w:szCs w:val="22"/>
              </w:rPr>
              <w:t>Secretaría Ejecutiva:</w:t>
            </w:r>
          </w:p>
        </w:tc>
        <w:tc>
          <w:tcPr>
            <w:tcW w:w="2958" w:type="pct"/>
            <w:shd w:val="clear" w:color="auto" w:fill="auto"/>
            <w:vAlign w:val="center"/>
          </w:tcPr>
          <w:p w14:paraId="653A63B2" w14:textId="77777777" w:rsidR="007050DB" w:rsidRPr="00DE5C54" w:rsidRDefault="007050DB" w:rsidP="006D34AE">
            <w:pPr>
              <w:spacing w:before="40" w:after="40"/>
              <w:ind w:left="113" w:right="113"/>
              <w:rPr>
                <w:rFonts w:ascii="Arial" w:hAnsi="Arial" w:cs="Arial"/>
                <w:sz w:val="22"/>
                <w:szCs w:val="22"/>
              </w:rPr>
            </w:pPr>
            <w:r w:rsidRPr="00DE5C54">
              <w:rPr>
                <w:rFonts w:ascii="Arial" w:hAnsi="Arial" w:cs="Arial"/>
                <w:sz w:val="22"/>
                <w:szCs w:val="22"/>
              </w:rPr>
              <w:t>Secretaría Ejecutiva del Instituto Electoral y de Participación Ciudadana de Tabasco.</w:t>
            </w:r>
          </w:p>
        </w:tc>
      </w:tr>
      <w:tr w:rsidR="007050DB" w:rsidRPr="00DE5C54" w14:paraId="0CCBDD35" w14:textId="77777777" w:rsidTr="00594B1C">
        <w:trPr>
          <w:trHeight w:val="624"/>
          <w:jc w:val="center"/>
        </w:trPr>
        <w:tc>
          <w:tcPr>
            <w:tcW w:w="2042" w:type="pct"/>
            <w:shd w:val="clear" w:color="auto" w:fill="auto"/>
            <w:vAlign w:val="center"/>
          </w:tcPr>
          <w:p w14:paraId="49A4CBA8" w14:textId="77777777" w:rsidR="007050DB" w:rsidRPr="00DE5C54" w:rsidRDefault="007050DB" w:rsidP="00C903BC">
            <w:pPr>
              <w:spacing w:before="40" w:after="40"/>
              <w:ind w:left="0"/>
              <w:jc w:val="right"/>
              <w:rPr>
                <w:rFonts w:ascii="Arial" w:hAnsi="Arial" w:cs="Arial"/>
                <w:b/>
                <w:sz w:val="22"/>
                <w:szCs w:val="22"/>
              </w:rPr>
            </w:pPr>
            <w:r w:rsidRPr="00DE5C54">
              <w:rPr>
                <w:rFonts w:ascii="Arial" w:hAnsi="Arial" w:cs="Arial"/>
                <w:b/>
                <w:sz w:val="22"/>
                <w:szCs w:val="22"/>
              </w:rPr>
              <w:t>Reglamento de Comisiones:</w:t>
            </w:r>
          </w:p>
        </w:tc>
        <w:tc>
          <w:tcPr>
            <w:tcW w:w="2958" w:type="pct"/>
            <w:shd w:val="clear" w:color="auto" w:fill="auto"/>
            <w:vAlign w:val="center"/>
          </w:tcPr>
          <w:p w14:paraId="5225BCE1" w14:textId="77777777" w:rsidR="007050DB" w:rsidRPr="00DE5C54" w:rsidRDefault="007050DB" w:rsidP="006D34AE">
            <w:pPr>
              <w:spacing w:before="40" w:after="40"/>
              <w:ind w:left="113" w:right="113"/>
              <w:rPr>
                <w:rFonts w:ascii="Arial" w:hAnsi="Arial" w:cs="Arial"/>
                <w:sz w:val="22"/>
                <w:szCs w:val="22"/>
              </w:rPr>
            </w:pPr>
            <w:r w:rsidRPr="00DE5C54">
              <w:rPr>
                <w:rFonts w:ascii="Arial" w:hAnsi="Arial" w:cs="Arial"/>
                <w:sz w:val="22"/>
                <w:szCs w:val="22"/>
              </w:rPr>
              <w:t>Reglamento de Comisiones del Consejo Estatal.</w:t>
            </w:r>
          </w:p>
        </w:tc>
      </w:tr>
    </w:tbl>
    <w:p w14:paraId="03F1E917" w14:textId="3CCC884B" w:rsidR="009A2E0D" w:rsidRPr="00DE5C54" w:rsidRDefault="009A2E0D" w:rsidP="007050DB">
      <w:pPr>
        <w:rPr>
          <w:rFonts w:ascii="Arial" w:hAnsi="Arial" w:cs="Arial"/>
        </w:rPr>
      </w:pPr>
    </w:p>
    <w:p w14:paraId="53849C8A" w14:textId="29CD5061" w:rsidR="00D51AD4" w:rsidRPr="00DE5C54" w:rsidRDefault="009A2E0D" w:rsidP="0068671C">
      <w:pPr>
        <w:pStyle w:val="Ttulo1"/>
        <w:spacing w:line="295" w:lineRule="auto"/>
        <w:rPr>
          <w:rFonts w:ascii="Arial" w:hAnsi="Arial" w:cs="Arial"/>
        </w:rPr>
      </w:pPr>
      <w:r w:rsidRPr="00DE5C54">
        <w:rPr>
          <w:rFonts w:ascii="Arial" w:hAnsi="Arial" w:cs="Arial"/>
        </w:rPr>
        <w:br w:type="page"/>
      </w:r>
      <w:r w:rsidR="00D51AD4" w:rsidRPr="00DE5C54">
        <w:rPr>
          <w:rFonts w:ascii="Arial" w:hAnsi="Arial" w:cs="Arial"/>
        </w:rPr>
        <w:lastRenderedPageBreak/>
        <w:t>Antecedentes</w:t>
      </w:r>
    </w:p>
    <w:p w14:paraId="21763D44" w14:textId="1E18AD47" w:rsidR="00D51AD4" w:rsidRPr="00DE5C54" w:rsidRDefault="00D51AD4" w:rsidP="0068671C">
      <w:pPr>
        <w:pStyle w:val="Ttulo2"/>
        <w:spacing w:line="295" w:lineRule="auto"/>
        <w:rPr>
          <w:rFonts w:ascii="Arial" w:hAnsi="Arial" w:cs="Arial"/>
        </w:rPr>
      </w:pPr>
      <w:r w:rsidRPr="00DE5C54">
        <w:rPr>
          <w:rFonts w:ascii="Arial" w:hAnsi="Arial" w:cs="Arial"/>
        </w:rPr>
        <w:t xml:space="preserve">Integración de la Comisión de </w:t>
      </w:r>
      <w:r w:rsidR="003D1861" w:rsidRPr="00DE5C54">
        <w:rPr>
          <w:rFonts w:ascii="Arial" w:hAnsi="Arial" w:cs="Arial"/>
        </w:rPr>
        <w:t>Denuncias</w:t>
      </w:r>
    </w:p>
    <w:p w14:paraId="39C0C09F" w14:textId="6338DAA7" w:rsidR="00F903F7" w:rsidRPr="00DE5C54" w:rsidRDefault="00D51AD4" w:rsidP="0068671C">
      <w:pPr>
        <w:spacing w:line="295" w:lineRule="auto"/>
        <w:rPr>
          <w:rFonts w:ascii="Arial" w:hAnsi="Arial" w:cs="Arial"/>
        </w:rPr>
      </w:pPr>
      <w:r w:rsidRPr="00DE5C54">
        <w:rPr>
          <w:rFonts w:ascii="Arial" w:hAnsi="Arial" w:cs="Arial"/>
        </w:rPr>
        <w:t>El 08 de octubre del 2020</w:t>
      </w:r>
      <w:r w:rsidR="007B7B44" w:rsidRPr="00DE5C54">
        <w:rPr>
          <w:rFonts w:ascii="Arial" w:hAnsi="Arial" w:cs="Arial"/>
        </w:rPr>
        <w:t xml:space="preserve">, </w:t>
      </w:r>
      <w:r w:rsidR="001F56DA" w:rsidRPr="00DE5C54">
        <w:rPr>
          <w:rFonts w:ascii="Arial" w:hAnsi="Arial" w:cs="Arial"/>
        </w:rPr>
        <w:t>en cumplimiento a lo que señala el artículo 113 de la Ley Electoral</w:t>
      </w:r>
      <w:r w:rsidR="00C071C0" w:rsidRPr="00DE5C54">
        <w:rPr>
          <w:rFonts w:ascii="Arial" w:hAnsi="Arial" w:cs="Arial"/>
        </w:rPr>
        <w:t xml:space="preserve">, </w:t>
      </w:r>
      <w:r w:rsidR="007B7B44" w:rsidRPr="00DE5C54">
        <w:rPr>
          <w:rFonts w:ascii="Arial" w:hAnsi="Arial" w:cs="Arial"/>
        </w:rPr>
        <w:t xml:space="preserve">el Consejo Estatal mediante acuerdo CE/2020/43, </w:t>
      </w:r>
      <w:r w:rsidRPr="00DE5C54">
        <w:rPr>
          <w:rFonts w:ascii="Arial" w:hAnsi="Arial" w:cs="Arial"/>
        </w:rPr>
        <w:t xml:space="preserve">constituyó la Comisión de </w:t>
      </w:r>
      <w:r w:rsidR="00F903F7" w:rsidRPr="00DE5C54">
        <w:rPr>
          <w:rFonts w:ascii="Arial" w:hAnsi="Arial" w:cs="Arial"/>
        </w:rPr>
        <w:t>Denuncias, la cual, en términos del artículo 15 del Reglamento de Comisiones, quedó integrada por la Consejera Electoral, Mtra. Rosselvy del Carmen Domínguez Arévalo y los Consejeros Electorales, Lic. Vladimir Hernández Venegas y Lic. Hernán González Sala.</w:t>
      </w:r>
    </w:p>
    <w:p w14:paraId="6DE47AD1" w14:textId="75A896B4" w:rsidR="00D51AD4" w:rsidRPr="00DE5C54" w:rsidRDefault="00D51AD4" w:rsidP="0068671C">
      <w:pPr>
        <w:pStyle w:val="Ttulo2"/>
        <w:spacing w:line="295" w:lineRule="auto"/>
        <w:rPr>
          <w:rFonts w:ascii="Arial" w:hAnsi="Arial" w:cs="Arial"/>
        </w:rPr>
      </w:pPr>
      <w:r w:rsidRPr="00DE5C54">
        <w:rPr>
          <w:rFonts w:ascii="Arial" w:hAnsi="Arial" w:cs="Arial"/>
        </w:rPr>
        <w:t>Ratificación de la Presidencia de la Comisión</w:t>
      </w:r>
      <w:r w:rsidR="00F9221C" w:rsidRPr="00DE5C54">
        <w:rPr>
          <w:rFonts w:ascii="Arial" w:hAnsi="Arial" w:cs="Arial"/>
        </w:rPr>
        <w:t xml:space="preserve"> de </w:t>
      </w:r>
      <w:r w:rsidR="003D1861" w:rsidRPr="00DE5C54">
        <w:rPr>
          <w:rFonts w:ascii="Arial" w:hAnsi="Arial" w:cs="Arial"/>
        </w:rPr>
        <w:t>Denuncias</w:t>
      </w:r>
    </w:p>
    <w:p w14:paraId="7148A09B" w14:textId="7E7F1519" w:rsidR="00D51AD4" w:rsidRPr="00DE5C54" w:rsidRDefault="00D51AD4" w:rsidP="0068671C">
      <w:pPr>
        <w:spacing w:line="295" w:lineRule="auto"/>
        <w:rPr>
          <w:rFonts w:ascii="Arial" w:hAnsi="Arial" w:cs="Arial"/>
        </w:rPr>
      </w:pPr>
      <w:r w:rsidRPr="00DE5C54">
        <w:rPr>
          <w:rFonts w:ascii="Arial" w:hAnsi="Arial" w:cs="Arial"/>
        </w:rPr>
        <w:t>El 31 de octubre de 2022, el Consejo Estatal</w:t>
      </w:r>
      <w:r w:rsidR="007F1038" w:rsidRPr="00DE5C54">
        <w:rPr>
          <w:rFonts w:ascii="Arial" w:hAnsi="Arial" w:cs="Arial"/>
        </w:rPr>
        <w:t>,</w:t>
      </w:r>
      <w:r w:rsidRPr="00DE5C54">
        <w:rPr>
          <w:rFonts w:ascii="Arial" w:hAnsi="Arial" w:cs="Arial"/>
        </w:rPr>
        <w:t xml:space="preserve"> mediante acuerdo CE/2022/032</w:t>
      </w:r>
      <w:r w:rsidR="007F1038" w:rsidRPr="00DE5C54">
        <w:rPr>
          <w:rFonts w:ascii="Arial" w:hAnsi="Arial" w:cs="Arial"/>
        </w:rPr>
        <w:t>,</w:t>
      </w:r>
      <w:r w:rsidRPr="00DE5C54">
        <w:rPr>
          <w:rFonts w:ascii="Arial" w:hAnsi="Arial" w:cs="Arial"/>
        </w:rPr>
        <w:t xml:space="preserve"> ratificó a las Consejeras y Consejeros Electorales que asumieron las Presidencias de las Comisiones Permanentes de Organización Electoral y Educación Cívica, de Denuncias y Quejas</w:t>
      </w:r>
      <w:r w:rsidR="00152F39" w:rsidRPr="00DE5C54">
        <w:rPr>
          <w:rFonts w:ascii="Arial" w:hAnsi="Arial" w:cs="Arial"/>
        </w:rPr>
        <w:t>,</w:t>
      </w:r>
      <w:r w:rsidRPr="00DE5C54">
        <w:rPr>
          <w:rFonts w:ascii="Arial" w:hAnsi="Arial" w:cs="Arial"/>
        </w:rPr>
        <w:t xml:space="preserve"> de Seguimiento al Servicio Profesional Electoral Nacional</w:t>
      </w:r>
      <w:r w:rsidR="00152F39" w:rsidRPr="00DE5C54">
        <w:rPr>
          <w:rFonts w:ascii="Arial" w:hAnsi="Arial" w:cs="Arial"/>
        </w:rPr>
        <w:t>,</w:t>
      </w:r>
      <w:r w:rsidRPr="00DE5C54">
        <w:rPr>
          <w:rFonts w:ascii="Arial" w:hAnsi="Arial" w:cs="Arial"/>
        </w:rPr>
        <w:t xml:space="preserve"> y de Igualdad de Género y no Discriminación.</w:t>
      </w:r>
    </w:p>
    <w:p w14:paraId="0A463DBE" w14:textId="238F633D" w:rsidR="00D51AD4" w:rsidRPr="00DE5C54" w:rsidRDefault="000138E7" w:rsidP="0068671C">
      <w:pPr>
        <w:spacing w:line="295" w:lineRule="auto"/>
        <w:rPr>
          <w:rFonts w:ascii="Arial" w:hAnsi="Arial" w:cs="Arial"/>
        </w:rPr>
      </w:pPr>
      <w:r w:rsidRPr="00DE5C54">
        <w:rPr>
          <w:rFonts w:ascii="Arial" w:hAnsi="Arial" w:cs="Arial"/>
        </w:rPr>
        <w:t>En el caso de la Comisión de Denuncias se ratificó la Presidencia a cargo de la Consejera Electoral, Mtra. Rosselvy del Carmen Domínguez Arévalo</w:t>
      </w:r>
      <w:r w:rsidR="00D51AD4" w:rsidRPr="00DE5C54">
        <w:rPr>
          <w:rFonts w:ascii="Arial" w:hAnsi="Arial" w:cs="Arial"/>
        </w:rPr>
        <w:t>.</w:t>
      </w:r>
    </w:p>
    <w:p w14:paraId="43BB56FF" w14:textId="7973104B" w:rsidR="00D51AD4" w:rsidRPr="00DE5C54" w:rsidRDefault="00C447F8" w:rsidP="0068671C">
      <w:pPr>
        <w:pStyle w:val="Ttulo2"/>
        <w:spacing w:line="295" w:lineRule="auto"/>
        <w:rPr>
          <w:rFonts w:ascii="Arial" w:hAnsi="Arial" w:cs="Arial"/>
        </w:rPr>
      </w:pPr>
      <w:r w:rsidRPr="00DE5C54">
        <w:rPr>
          <w:rFonts w:ascii="Arial" w:hAnsi="Arial" w:cs="Arial"/>
        </w:rPr>
        <w:t>Calendario de Sesiones</w:t>
      </w:r>
    </w:p>
    <w:p w14:paraId="05055E97" w14:textId="3C87E125" w:rsidR="00D51AD4" w:rsidRPr="00DE5C54" w:rsidRDefault="00D51AD4" w:rsidP="0068671C">
      <w:pPr>
        <w:spacing w:line="295" w:lineRule="auto"/>
        <w:rPr>
          <w:rFonts w:ascii="Arial" w:hAnsi="Arial" w:cs="Arial"/>
        </w:rPr>
      </w:pPr>
      <w:r w:rsidRPr="00DE5C54">
        <w:rPr>
          <w:rFonts w:ascii="Arial" w:hAnsi="Arial" w:cs="Arial"/>
        </w:rPr>
        <w:t xml:space="preserve">El </w:t>
      </w:r>
      <w:r w:rsidR="00BE48B5">
        <w:rPr>
          <w:rFonts w:ascii="Arial" w:hAnsi="Arial" w:cs="Arial"/>
        </w:rPr>
        <w:t>21</w:t>
      </w:r>
      <w:r w:rsidR="005F2C05" w:rsidRPr="00DE5C54">
        <w:rPr>
          <w:rFonts w:ascii="Arial" w:hAnsi="Arial" w:cs="Arial"/>
        </w:rPr>
        <w:t xml:space="preserve"> de diciembre de 2022, </w:t>
      </w:r>
      <w:r w:rsidR="00415BF4" w:rsidRPr="00DE5C54">
        <w:rPr>
          <w:rFonts w:ascii="Arial" w:hAnsi="Arial" w:cs="Arial"/>
        </w:rPr>
        <w:t xml:space="preserve">a propuesta de su Presidencia, </w:t>
      </w:r>
      <w:r w:rsidR="005F2C05" w:rsidRPr="00DE5C54">
        <w:rPr>
          <w:rFonts w:ascii="Arial" w:hAnsi="Arial" w:cs="Arial"/>
        </w:rPr>
        <w:t xml:space="preserve">el Consejo Estatal aprobó el Calendario Anual de Sesiones Ordinarias correspondiente al ejercicio 2023. </w:t>
      </w:r>
    </w:p>
    <w:p w14:paraId="3A0A7430" w14:textId="7E40A642" w:rsidR="00D51AD4" w:rsidRPr="00DE5C54" w:rsidRDefault="00D51AD4" w:rsidP="0068671C">
      <w:pPr>
        <w:pStyle w:val="Ttulo2"/>
        <w:spacing w:line="295" w:lineRule="auto"/>
        <w:rPr>
          <w:rFonts w:ascii="Arial" w:hAnsi="Arial" w:cs="Arial"/>
        </w:rPr>
      </w:pPr>
      <w:r w:rsidRPr="00DE5C54">
        <w:rPr>
          <w:rFonts w:ascii="Arial" w:hAnsi="Arial" w:cs="Arial"/>
        </w:rPr>
        <w:t xml:space="preserve">Presentación </w:t>
      </w:r>
      <w:r w:rsidR="005C52DB" w:rsidRPr="00DE5C54">
        <w:rPr>
          <w:rFonts w:ascii="Arial" w:hAnsi="Arial" w:cs="Arial"/>
        </w:rPr>
        <w:t xml:space="preserve">de la Propuesta </w:t>
      </w:r>
      <w:r w:rsidR="00852000" w:rsidRPr="00DE5C54">
        <w:rPr>
          <w:rFonts w:ascii="Arial" w:hAnsi="Arial" w:cs="Arial"/>
        </w:rPr>
        <w:t xml:space="preserve">de </w:t>
      </w:r>
      <w:r w:rsidRPr="00DE5C54">
        <w:rPr>
          <w:rFonts w:ascii="Arial" w:hAnsi="Arial" w:cs="Arial"/>
        </w:rPr>
        <w:t>Programa Anual de Trabajo</w:t>
      </w:r>
    </w:p>
    <w:p w14:paraId="27FB69DC" w14:textId="48289245" w:rsidR="00D20294" w:rsidRDefault="00D20294" w:rsidP="0068671C">
      <w:pPr>
        <w:spacing w:line="295" w:lineRule="auto"/>
        <w:rPr>
          <w:rFonts w:ascii="Arial" w:hAnsi="Arial" w:cs="Arial"/>
        </w:rPr>
      </w:pPr>
      <w:r w:rsidRPr="009A09D4">
        <w:rPr>
          <w:rFonts w:ascii="Arial" w:hAnsi="Arial" w:cs="Arial"/>
        </w:rPr>
        <w:t xml:space="preserve">El </w:t>
      </w:r>
      <w:r>
        <w:rPr>
          <w:rFonts w:ascii="Arial" w:hAnsi="Arial" w:cs="Arial"/>
        </w:rPr>
        <w:t>23</w:t>
      </w:r>
      <w:r w:rsidRPr="009A09D4">
        <w:rPr>
          <w:rFonts w:ascii="Arial" w:hAnsi="Arial" w:cs="Arial"/>
        </w:rPr>
        <w:t xml:space="preserve"> de enero de 2023, </w:t>
      </w:r>
      <w:r>
        <w:rPr>
          <w:rFonts w:ascii="Arial" w:hAnsi="Arial" w:cs="Arial"/>
        </w:rPr>
        <w:t>el Secretario Técnico de la Comisión de Denuncias,</w:t>
      </w:r>
      <w:r w:rsidRPr="009A09D4">
        <w:rPr>
          <w:rFonts w:ascii="Arial" w:hAnsi="Arial" w:cs="Arial"/>
        </w:rPr>
        <w:t xml:space="preserve"> mediante oficio </w:t>
      </w:r>
      <w:r w:rsidRPr="00D20294">
        <w:rPr>
          <w:rFonts w:ascii="Arial" w:hAnsi="Arial" w:cs="Arial"/>
        </w:rPr>
        <w:t>CDYQ/ST/27/2023</w:t>
      </w:r>
      <w:r>
        <w:rPr>
          <w:rFonts w:ascii="Arial" w:hAnsi="Arial" w:cs="Arial"/>
        </w:rPr>
        <w:t>,</w:t>
      </w:r>
      <w:r w:rsidRPr="009A09D4">
        <w:rPr>
          <w:rFonts w:ascii="Arial" w:hAnsi="Arial" w:cs="Arial"/>
        </w:rPr>
        <w:t xml:space="preserve"> remitió a la Presidencia del Consejo</w:t>
      </w:r>
      <w:r>
        <w:rPr>
          <w:rFonts w:ascii="Arial" w:hAnsi="Arial" w:cs="Arial"/>
        </w:rPr>
        <w:t xml:space="preserve"> el </w:t>
      </w:r>
      <w:r w:rsidRPr="009A09D4">
        <w:rPr>
          <w:rFonts w:ascii="Arial" w:hAnsi="Arial" w:cs="Arial"/>
        </w:rPr>
        <w:t xml:space="preserve">Programa Anual de Trabajo </w:t>
      </w:r>
      <w:r>
        <w:rPr>
          <w:rFonts w:ascii="Arial" w:hAnsi="Arial" w:cs="Arial"/>
        </w:rPr>
        <w:t xml:space="preserve">propuesto </w:t>
      </w:r>
      <w:r w:rsidRPr="009A09D4">
        <w:rPr>
          <w:rFonts w:ascii="Arial" w:hAnsi="Arial" w:cs="Arial"/>
        </w:rPr>
        <w:t xml:space="preserve">por </w:t>
      </w:r>
      <w:r>
        <w:rPr>
          <w:rFonts w:ascii="Arial" w:hAnsi="Arial" w:cs="Arial"/>
        </w:rPr>
        <w:t xml:space="preserve">dicha </w:t>
      </w:r>
      <w:r w:rsidRPr="009A09D4">
        <w:rPr>
          <w:rFonts w:ascii="Arial" w:hAnsi="Arial" w:cs="Arial"/>
        </w:rPr>
        <w:t>Comisión</w:t>
      </w:r>
      <w:r>
        <w:rPr>
          <w:rFonts w:ascii="Arial" w:hAnsi="Arial" w:cs="Arial"/>
        </w:rPr>
        <w:t>, para su presentación y deliberación por parte de este Consejo Estatal.</w:t>
      </w:r>
    </w:p>
    <w:p w14:paraId="57802B8B" w14:textId="659F925F" w:rsidR="009818BB" w:rsidRDefault="009818BB">
      <w:pPr>
        <w:spacing w:after="160" w:line="259" w:lineRule="auto"/>
        <w:ind w:left="0"/>
        <w:jc w:val="left"/>
        <w:rPr>
          <w:rFonts w:ascii="Arial" w:hAnsi="Arial" w:cs="Arial"/>
        </w:rPr>
      </w:pPr>
      <w:r>
        <w:rPr>
          <w:rFonts w:ascii="Arial" w:hAnsi="Arial" w:cs="Arial"/>
        </w:rPr>
        <w:br w:type="page"/>
      </w:r>
    </w:p>
    <w:p w14:paraId="403C6F94" w14:textId="77777777" w:rsidR="00D51AD4" w:rsidRPr="00DE5C54" w:rsidRDefault="00D51AD4" w:rsidP="0068671C">
      <w:pPr>
        <w:pStyle w:val="Ttulo1"/>
        <w:spacing w:line="295" w:lineRule="auto"/>
        <w:rPr>
          <w:rFonts w:ascii="Arial" w:hAnsi="Arial" w:cs="Arial"/>
        </w:rPr>
      </w:pPr>
      <w:r w:rsidRPr="00DE5C54">
        <w:rPr>
          <w:rFonts w:ascii="Arial" w:hAnsi="Arial" w:cs="Arial"/>
        </w:rPr>
        <w:lastRenderedPageBreak/>
        <w:t>Considerando</w:t>
      </w:r>
    </w:p>
    <w:p w14:paraId="699156A2" w14:textId="744CA686" w:rsidR="00D51AD4" w:rsidRPr="00DE5C54" w:rsidRDefault="00D51AD4" w:rsidP="0068671C">
      <w:pPr>
        <w:pStyle w:val="Ttulo2"/>
        <w:spacing w:line="295" w:lineRule="auto"/>
        <w:rPr>
          <w:rFonts w:ascii="Arial" w:hAnsi="Arial" w:cs="Arial"/>
        </w:rPr>
      </w:pPr>
      <w:r w:rsidRPr="00DE5C54">
        <w:rPr>
          <w:rFonts w:ascii="Arial" w:hAnsi="Arial" w:cs="Arial"/>
        </w:rPr>
        <w:t xml:space="preserve">Fines del Instituto Electoral </w:t>
      </w:r>
    </w:p>
    <w:p w14:paraId="07B564D7" w14:textId="674C8ECB" w:rsidR="00D51AD4" w:rsidRPr="00DE5C54" w:rsidRDefault="00D51AD4" w:rsidP="0068671C">
      <w:pPr>
        <w:spacing w:line="295" w:lineRule="auto"/>
        <w:rPr>
          <w:rFonts w:ascii="Arial" w:hAnsi="Arial" w:cs="Arial"/>
        </w:rPr>
      </w:pPr>
      <w:r w:rsidRPr="00DE5C54">
        <w:rPr>
          <w:rFonts w:ascii="Arial" w:hAnsi="Arial" w:cs="Arial"/>
        </w:rPr>
        <w:t>Que, de conformidad con los artículos 9, apartado C, fracción I, de la Constitución Local</w:t>
      </w:r>
      <w:r w:rsidR="000C0F54" w:rsidRPr="00DE5C54">
        <w:rPr>
          <w:rFonts w:ascii="Arial" w:hAnsi="Arial" w:cs="Arial"/>
        </w:rPr>
        <w:t>,</w:t>
      </w:r>
      <w:r w:rsidRPr="00DE5C54">
        <w:rPr>
          <w:rFonts w:ascii="Arial" w:hAnsi="Arial" w:cs="Arial"/>
        </w:rPr>
        <w:t xml:space="preserve"> 3 numeral 3, 100 y 102 numeral 1</w:t>
      </w:r>
      <w:r w:rsidR="00A0602A" w:rsidRPr="00DE5C54">
        <w:rPr>
          <w:rFonts w:ascii="Arial" w:hAnsi="Arial" w:cs="Arial"/>
        </w:rPr>
        <w:t>,</w:t>
      </w:r>
      <w:r w:rsidRPr="00DE5C54">
        <w:rPr>
          <w:rFonts w:ascii="Arial" w:hAnsi="Arial" w:cs="Arial"/>
        </w:rPr>
        <w:t xml:space="preserve">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4EA335E" w14:textId="77777777" w:rsidR="00D51AD4" w:rsidRPr="00DE5C54" w:rsidRDefault="00D51AD4" w:rsidP="0068671C">
      <w:pPr>
        <w:spacing w:line="295" w:lineRule="auto"/>
        <w:rPr>
          <w:rFonts w:ascii="Arial" w:hAnsi="Arial" w:cs="Arial"/>
        </w:rPr>
      </w:pPr>
      <w:r w:rsidRPr="00DE5C54">
        <w:rPr>
          <w:rFonts w:ascii="Arial" w:hAnsi="Arial" w:cs="Arial"/>
        </w:rPr>
        <w:t>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7C17DE2" w14:textId="3B9D52B3" w:rsidR="00D51AD4" w:rsidRPr="00DE5C54" w:rsidRDefault="00D51AD4" w:rsidP="0068671C">
      <w:pPr>
        <w:pStyle w:val="Ttulo2"/>
        <w:spacing w:line="295" w:lineRule="auto"/>
        <w:rPr>
          <w:rFonts w:ascii="Arial" w:hAnsi="Arial" w:cs="Arial"/>
        </w:rPr>
      </w:pPr>
      <w:r w:rsidRPr="00DE5C54">
        <w:rPr>
          <w:rFonts w:ascii="Arial" w:hAnsi="Arial" w:cs="Arial"/>
        </w:rPr>
        <w:t>Órganos Centrales del Instituto Electoral</w:t>
      </w:r>
    </w:p>
    <w:p w14:paraId="15070DB0" w14:textId="77777777" w:rsidR="00D51AD4" w:rsidRPr="00DE5C54" w:rsidRDefault="00D51AD4" w:rsidP="0068671C">
      <w:pPr>
        <w:spacing w:line="295" w:lineRule="auto"/>
        <w:rPr>
          <w:rFonts w:ascii="Arial" w:hAnsi="Arial" w:cs="Arial"/>
        </w:rPr>
      </w:pPr>
      <w:r w:rsidRPr="00DE5C54">
        <w:rPr>
          <w:rFonts w:ascii="Arial" w:hAnsi="Arial" w:cs="Arial"/>
        </w:rPr>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4AA4D076" w14:textId="1D7A65C9" w:rsidR="00D51AD4" w:rsidRPr="00DE5C54" w:rsidRDefault="00D51AD4" w:rsidP="0068671C">
      <w:pPr>
        <w:pStyle w:val="Ttulo2"/>
        <w:spacing w:line="295" w:lineRule="auto"/>
        <w:rPr>
          <w:rFonts w:ascii="Arial" w:hAnsi="Arial" w:cs="Arial"/>
        </w:rPr>
      </w:pPr>
      <w:r w:rsidRPr="00DE5C54">
        <w:rPr>
          <w:rFonts w:ascii="Arial" w:hAnsi="Arial" w:cs="Arial"/>
        </w:rPr>
        <w:lastRenderedPageBreak/>
        <w:t>Órgano Superior de Dirección del Instituto Electoral</w:t>
      </w:r>
    </w:p>
    <w:p w14:paraId="2FDE0933" w14:textId="77777777" w:rsidR="00D51AD4" w:rsidRPr="00DE5C54" w:rsidRDefault="00D51AD4" w:rsidP="0068671C">
      <w:pPr>
        <w:spacing w:line="295" w:lineRule="auto"/>
        <w:rPr>
          <w:rFonts w:ascii="Arial" w:hAnsi="Arial" w:cs="Arial"/>
        </w:rPr>
      </w:pPr>
      <w:r w:rsidRPr="00DE5C54">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7413A431" w14:textId="7B9F91CE" w:rsidR="00D51AD4" w:rsidRPr="00DE5C54" w:rsidRDefault="00D51AD4" w:rsidP="0068671C">
      <w:pPr>
        <w:pStyle w:val="Ttulo2"/>
        <w:spacing w:line="295" w:lineRule="auto"/>
        <w:rPr>
          <w:rFonts w:ascii="Arial" w:hAnsi="Arial" w:cs="Arial"/>
        </w:rPr>
      </w:pPr>
      <w:r w:rsidRPr="00DE5C54">
        <w:rPr>
          <w:rFonts w:ascii="Arial" w:hAnsi="Arial" w:cs="Arial"/>
        </w:rPr>
        <w:t>Integración del Órgano de Dirección Superior</w:t>
      </w:r>
    </w:p>
    <w:p w14:paraId="308EF49F" w14:textId="4140C834" w:rsidR="00D51AD4" w:rsidRPr="00DE5C54" w:rsidRDefault="00D51AD4" w:rsidP="0068671C">
      <w:pPr>
        <w:spacing w:line="295" w:lineRule="auto"/>
        <w:rPr>
          <w:rFonts w:ascii="Arial" w:hAnsi="Arial" w:cs="Arial"/>
        </w:rPr>
      </w:pPr>
      <w:r w:rsidRPr="00DE5C54">
        <w:rPr>
          <w:rFonts w:ascii="Arial" w:hAnsi="Arial" w:cs="Arial"/>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79429FB" w14:textId="35A7D924" w:rsidR="003D225B" w:rsidRPr="00DE5C54" w:rsidRDefault="00A35925" w:rsidP="0068671C">
      <w:pPr>
        <w:pStyle w:val="Ttulo2"/>
        <w:spacing w:line="295" w:lineRule="auto"/>
        <w:rPr>
          <w:rFonts w:ascii="Arial" w:hAnsi="Arial" w:cs="Arial"/>
        </w:rPr>
      </w:pPr>
      <w:r w:rsidRPr="00DE5C54">
        <w:rPr>
          <w:rFonts w:ascii="Arial" w:hAnsi="Arial" w:cs="Arial"/>
        </w:rPr>
        <w:t xml:space="preserve">Competencia </w:t>
      </w:r>
      <w:r w:rsidR="003D225B" w:rsidRPr="00DE5C54">
        <w:rPr>
          <w:rFonts w:ascii="Arial" w:hAnsi="Arial" w:cs="Arial"/>
        </w:rPr>
        <w:t xml:space="preserve">del Consejo Estatal </w:t>
      </w:r>
    </w:p>
    <w:p w14:paraId="19877BDE" w14:textId="7518E31C" w:rsidR="00F16F21" w:rsidRPr="00DE5C54" w:rsidRDefault="003D225B" w:rsidP="0068671C">
      <w:pPr>
        <w:spacing w:line="295" w:lineRule="auto"/>
        <w:rPr>
          <w:rFonts w:ascii="Arial" w:hAnsi="Arial" w:cs="Arial"/>
        </w:rPr>
      </w:pPr>
      <w:r w:rsidRPr="00DE5C54">
        <w:rPr>
          <w:rFonts w:ascii="Arial" w:hAnsi="Arial" w:cs="Arial"/>
        </w:rPr>
        <w:t xml:space="preserve">Que, </w:t>
      </w:r>
      <w:r w:rsidR="00F16F21" w:rsidRPr="00DE5C54">
        <w:rPr>
          <w:rFonts w:ascii="Arial" w:hAnsi="Arial" w:cs="Arial"/>
        </w:rPr>
        <w:t xml:space="preserve">de conformidad con el artículo 115, numeral 1, fracciones XI, XV y XXXIX de la Ley Electoral, corresponde al Consejo Estatal desarrollar y ejecutar los programas en el Estado, de educación cívica, paridad de género y respeto de los derechos humanos de las mujeres en el ámbito político electoral, </w:t>
      </w:r>
      <w:r w:rsidR="00F51A20" w:rsidRPr="00DE5C54">
        <w:rPr>
          <w:rFonts w:ascii="Arial" w:hAnsi="Arial" w:cs="Arial"/>
        </w:rPr>
        <w:t xml:space="preserve">así como </w:t>
      </w:r>
      <w:r w:rsidR="00F16F21" w:rsidRPr="00DE5C54">
        <w:rPr>
          <w:rFonts w:ascii="Arial" w:hAnsi="Arial" w:cs="Arial"/>
        </w:rPr>
        <w:t>llevar a cabo las actividades necesarias para la preparación de la jornada electoral y ejercer las atribuciones que determine la Ley General y aquellas no reservadas al INE que se establezcan en la legislación local.</w:t>
      </w:r>
    </w:p>
    <w:p w14:paraId="1A1B4BB1" w14:textId="08DD3919" w:rsidR="003D225B" w:rsidRPr="00DE5C54" w:rsidRDefault="000F1621" w:rsidP="0068671C">
      <w:pPr>
        <w:spacing w:line="295" w:lineRule="auto"/>
        <w:rPr>
          <w:rFonts w:ascii="Arial" w:hAnsi="Arial" w:cs="Arial"/>
        </w:rPr>
      </w:pPr>
      <w:r w:rsidRPr="00DE5C54">
        <w:rPr>
          <w:rFonts w:ascii="Arial" w:hAnsi="Arial" w:cs="Arial"/>
        </w:rPr>
        <w:t>Asimismo</w:t>
      </w:r>
      <w:r w:rsidR="00F16F21" w:rsidRPr="00DE5C54">
        <w:rPr>
          <w:rFonts w:ascii="Arial" w:hAnsi="Arial" w:cs="Arial"/>
        </w:rPr>
        <w:t xml:space="preserve">, </w:t>
      </w:r>
      <w:r w:rsidR="009152C7" w:rsidRPr="00DE5C54">
        <w:rPr>
          <w:rFonts w:ascii="Arial" w:hAnsi="Arial" w:cs="Arial"/>
        </w:rPr>
        <w:t xml:space="preserve">en términos del artículo </w:t>
      </w:r>
      <w:r w:rsidR="003D225B" w:rsidRPr="00DE5C54">
        <w:rPr>
          <w:rFonts w:ascii="Arial" w:hAnsi="Arial" w:cs="Arial"/>
        </w:rPr>
        <w:t xml:space="preserve">115, numeral </w:t>
      </w:r>
      <w:r w:rsidR="009152C7" w:rsidRPr="00DE5C54">
        <w:rPr>
          <w:rFonts w:ascii="Arial" w:hAnsi="Arial" w:cs="Arial"/>
        </w:rPr>
        <w:t xml:space="preserve">2 </w:t>
      </w:r>
      <w:r w:rsidR="003D225B" w:rsidRPr="00DE5C54">
        <w:rPr>
          <w:rFonts w:ascii="Arial" w:hAnsi="Arial" w:cs="Arial"/>
        </w:rPr>
        <w:t>de la Ley Electoral, el Consejo Estatal podrá dictar los acuerdos necesarios que resulten pertinentes para garantizar el oportuno y adecuado ejercicio de sus facultades y atribuciones, previstas de manera implícita o expresa en la citada Ley.</w:t>
      </w:r>
    </w:p>
    <w:p w14:paraId="774B454F" w14:textId="33A9781C" w:rsidR="00D51AD4" w:rsidRPr="00DE5C54" w:rsidRDefault="00D51AD4" w:rsidP="0068671C">
      <w:pPr>
        <w:pStyle w:val="Ttulo2"/>
        <w:spacing w:line="295" w:lineRule="auto"/>
        <w:rPr>
          <w:rFonts w:ascii="Arial" w:hAnsi="Arial" w:cs="Arial"/>
        </w:rPr>
      </w:pPr>
      <w:r w:rsidRPr="00DE5C54">
        <w:rPr>
          <w:rFonts w:ascii="Arial" w:hAnsi="Arial" w:cs="Arial"/>
        </w:rPr>
        <w:t>Comisiones permanentes y temporales</w:t>
      </w:r>
    </w:p>
    <w:p w14:paraId="1DAEE7D4" w14:textId="68BBFFFD" w:rsidR="00D51AD4" w:rsidRPr="00DE5C54" w:rsidRDefault="00D51AD4" w:rsidP="0068671C">
      <w:pPr>
        <w:spacing w:line="295" w:lineRule="auto"/>
        <w:rPr>
          <w:rFonts w:ascii="Arial" w:hAnsi="Arial" w:cs="Arial"/>
        </w:rPr>
      </w:pPr>
      <w:r w:rsidRPr="00DE5C54">
        <w:rPr>
          <w:rFonts w:ascii="Arial" w:hAnsi="Arial" w:cs="Arial"/>
        </w:rPr>
        <w:t xml:space="preserve">Que, el artículo 113, numeral 1 de la Ley Electoral, establece que el Consejo Estatal constituirá las comisiones permanentes de Vinculación con el INE, de Organización Electoral y Educación Cívica, de Denuncias y Quejas, y de Igualdad de Género y no Discriminación; así como las comisiones temporales </w:t>
      </w:r>
      <w:r w:rsidRPr="00DE5C54">
        <w:rPr>
          <w:rFonts w:ascii="Arial" w:hAnsi="Arial" w:cs="Arial"/>
        </w:rPr>
        <w:lastRenderedPageBreak/>
        <w:t>que considere pertinentes para el desempeño de sus atribuciones, las que serán presididas por una Consejera o un Consejero Electoral, salvo la de Vinculación con el INE, cuya titularidad corresponde a la Presidencia del Consejo.</w:t>
      </w:r>
    </w:p>
    <w:p w14:paraId="5A007ADE" w14:textId="224B2B44" w:rsidR="00D51AD4" w:rsidRPr="00DE5C54" w:rsidRDefault="008779A6" w:rsidP="0068671C">
      <w:pPr>
        <w:spacing w:line="295" w:lineRule="auto"/>
        <w:rPr>
          <w:rFonts w:ascii="Arial" w:hAnsi="Arial" w:cs="Arial"/>
        </w:rPr>
      </w:pPr>
      <w:r w:rsidRPr="00DE5C54">
        <w:rPr>
          <w:rFonts w:ascii="Arial" w:hAnsi="Arial" w:cs="Arial"/>
        </w:rPr>
        <w:t>Además</w:t>
      </w:r>
      <w:r w:rsidR="00D51AD4" w:rsidRPr="00DE5C54">
        <w:rPr>
          <w:rFonts w:ascii="Arial" w:hAnsi="Arial" w:cs="Arial"/>
        </w:rPr>
        <w:t>, en términos del numeral 2 del artículo en cita, las comisiones se integrarán con un máximo de tres consejeras y consejeros electorales bajo el principio de paridad de género; podrán participar en ellas, con voz, pero sin voto, las consejeras y los consejeros representantes de los partidos políticos.</w:t>
      </w:r>
    </w:p>
    <w:p w14:paraId="5F768218" w14:textId="07718FC9" w:rsidR="00D51AD4" w:rsidRPr="00DE5C54" w:rsidRDefault="00D51AD4" w:rsidP="0068671C">
      <w:pPr>
        <w:pStyle w:val="Ttulo2"/>
        <w:spacing w:line="295" w:lineRule="auto"/>
        <w:rPr>
          <w:rFonts w:ascii="Arial" w:hAnsi="Arial" w:cs="Arial"/>
        </w:rPr>
      </w:pPr>
      <w:r w:rsidRPr="00DE5C54">
        <w:rPr>
          <w:rFonts w:ascii="Arial" w:hAnsi="Arial" w:cs="Arial"/>
        </w:rPr>
        <w:t>Obligación de presentar un Programa Anual de Trabajo</w:t>
      </w:r>
    </w:p>
    <w:p w14:paraId="7F55E5BF" w14:textId="03D5C5F2" w:rsidR="00B2146F" w:rsidRPr="00DE5C54" w:rsidRDefault="00B2146F" w:rsidP="0068671C">
      <w:pPr>
        <w:spacing w:line="295" w:lineRule="auto"/>
        <w:rPr>
          <w:rFonts w:ascii="Arial" w:hAnsi="Arial" w:cs="Arial"/>
        </w:rPr>
      </w:pPr>
      <w:r w:rsidRPr="00DE5C54">
        <w:rPr>
          <w:rFonts w:ascii="Arial" w:hAnsi="Arial" w:cs="Arial"/>
        </w:rPr>
        <w:t xml:space="preserve">Que, el artículo 12 del Reglamento de Comisiones establece que, las comisiones permanentes, entre ellas la Comisión de </w:t>
      </w:r>
      <w:r w:rsidR="00A26CFC" w:rsidRPr="00DE5C54">
        <w:rPr>
          <w:rFonts w:ascii="Arial" w:hAnsi="Arial" w:cs="Arial"/>
        </w:rPr>
        <w:t>Denuncias</w:t>
      </w:r>
      <w:r w:rsidRPr="00DE5C54">
        <w:rPr>
          <w:rFonts w:ascii="Arial" w:hAnsi="Arial" w:cs="Arial"/>
        </w:rPr>
        <w:t>, durante el mes de enero del año correspondiente, deberán presentar al Consejo Estatal para su aprobación, un Programa Anual de Trabajo acorde a los programas y políticas previamente establecidos.</w:t>
      </w:r>
    </w:p>
    <w:p w14:paraId="53C55C53" w14:textId="245D2107" w:rsidR="00D51AD4" w:rsidRPr="00DE5C54" w:rsidRDefault="00D51AD4" w:rsidP="0068671C">
      <w:pPr>
        <w:pStyle w:val="Ttulo2"/>
        <w:spacing w:line="295" w:lineRule="auto"/>
        <w:rPr>
          <w:rFonts w:ascii="Arial" w:hAnsi="Arial" w:cs="Arial"/>
        </w:rPr>
      </w:pPr>
      <w:r w:rsidRPr="00DE5C54">
        <w:rPr>
          <w:rFonts w:ascii="Arial" w:hAnsi="Arial" w:cs="Arial"/>
        </w:rPr>
        <w:t xml:space="preserve">Atribuciones de la Comisión de </w:t>
      </w:r>
      <w:r w:rsidR="00057456" w:rsidRPr="00DE5C54">
        <w:rPr>
          <w:rFonts w:ascii="Arial" w:hAnsi="Arial" w:cs="Arial"/>
        </w:rPr>
        <w:t>Denuncias</w:t>
      </w:r>
    </w:p>
    <w:p w14:paraId="5573B5B1" w14:textId="5A7EA6EF" w:rsidR="00D51AD4" w:rsidRPr="00DE5C54" w:rsidRDefault="00D51AD4" w:rsidP="0068671C">
      <w:pPr>
        <w:spacing w:line="295" w:lineRule="auto"/>
        <w:rPr>
          <w:rFonts w:ascii="Arial" w:hAnsi="Arial" w:cs="Arial"/>
        </w:rPr>
      </w:pPr>
      <w:r w:rsidRPr="00DE5C54">
        <w:rPr>
          <w:rFonts w:ascii="Arial" w:hAnsi="Arial" w:cs="Arial"/>
        </w:rPr>
        <w:t>Que, de la interpretación sistemática y funcional de los artículos 38 y 113, numerales 1 y 3 de la Ley Electoral; y 1</w:t>
      </w:r>
      <w:r w:rsidR="008779A6" w:rsidRPr="00DE5C54">
        <w:rPr>
          <w:rFonts w:ascii="Arial" w:hAnsi="Arial" w:cs="Arial"/>
        </w:rPr>
        <w:t>5</w:t>
      </w:r>
      <w:r w:rsidRPr="00DE5C54">
        <w:rPr>
          <w:rFonts w:ascii="Arial" w:hAnsi="Arial" w:cs="Arial"/>
        </w:rPr>
        <w:t xml:space="preserve">, numeral 1 del Reglamento del Comisiones del Consejo Estatal, </w:t>
      </w:r>
      <w:r w:rsidR="008779A6" w:rsidRPr="00DE5C54">
        <w:rPr>
          <w:rFonts w:ascii="Arial" w:hAnsi="Arial" w:cs="Arial"/>
        </w:rPr>
        <w:t>la Comisión de Denuncias es el órgano auxiliar del Consejo Estatal, que tiene entre otras funciones, la de conocer y resolver sobre las medidas cautelares y en su caso, proponer los proyectos de resolución relacionados con los procedimientos sancionadores electorales.</w:t>
      </w:r>
    </w:p>
    <w:p w14:paraId="530E2376" w14:textId="41288897" w:rsidR="00D51AD4" w:rsidRPr="00DE5C54" w:rsidRDefault="00D51AD4" w:rsidP="0068671C">
      <w:pPr>
        <w:pStyle w:val="Ttulo2"/>
        <w:spacing w:line="295" w:lineRule="auto"/>
        <w:rPr>
          <w:rFonts w:ascii="Arial" w:hAnsi="Arial" w:cs="Arial"/>
        </w:rPr>
      </w:pPr>
      <w:r w:rsidRPr="00DE5C54">
        <w:rPr>
          <w:rFonts w:ascii="Arial" w:hAnsi="Arial" w:cs="Arial"/>
        </w:rPr>
        <w:t>Programa Anual de Trabajo de la Comisión</w:t>
      </w:r>
      <w:r w:rsidR="009A34FE" w:rsidRPr="00DE5C54">
        <w:rPr>
          <w:rFonts w:ascii="Arial" w:hAnsi="Arial" w:cs="Arial"/>
        </w:rPr>
        <w:t xml:space="preserve"> de </w:t>
      </w:r>
      <w:r w:rsidR="00512D7A" w:rsidRPr="00DE5C54">
        <w:rPr>
          <w:rFonts w:ascii="Arial" w:hAnsi="Arial" w:cs="Arial"/>
        </w:rPr>
        <w:t>Denuncias</w:t>
      </w:r>
    </w:p>
    <w:p w14:paraId="5EB331AB" w14:textId="77777777" w:rsidR="008D09D6" w:rsidRPr="008D09D6" w:rsidRDefault="008D09D6" w:rsidP="0068671C">
      <w:pPr>
        <w:spacing w:line="295" w:lineRule="auto"/>
        <w:rPr>
          <w:rFonts w:ascii="Arial" w:hAnsi="Arial" w:cs="Arial"/>
        </w:rPr>
      </w:pPr>
      <w:r w:rsidRPr="008D09D6">
        <w:rPr>
          <w:rFonts w:ascii="Arial" w:hAnsi="Arial" w:cs="Arial"/>
        </w:rPr>
        <w:t>Que, acorde a sus atribuciones, la Comisión de Denuncias presenta su Programa Anual de Trabajo para el año 2023, el cual describe las actividades que realizarán en conjunto con la Coordinación de lo Contencioso Electoral. La propuesta tiene como objetivo principal, la atención prioritaria de los procedimientos sancionadores, de manera pronta y expedita, aplicando en todo momento los principios rectores, constitucionales y legales que rigen la materia.</w:t>
      </w:r>
    </w:p>
    <w:p w14:paraId="1B855653" w14:textId="77777777" w:rsidR="008D09D6" w:rsidRPr="008D09D6" w:rsidRDefault="008D09D6" w:rsidP="0068671C">
      <w:pPr>
        <w:spacing w:line="295" w:lineRule="auto"/>
        <w:rPr>
          <w:rFonts w:ascii="Arial" w:hAnsi="Arial" w:cs="Arial"/>
        </w:rPr>
      </w:pPr>
      <w:r w:rsidRPr="008D09D6">
        <w:rPr>
          <w:rFonts w:ascii="Arial" w:hAnsi="Arial" w:cs="Arial"/>
        </w:rPr>
        <w:lastRenderedPageBreak/>
        <w:t>El programa establece las metas y actividades específicas que permitan alcanzar el objetivo general y los fines de la Comisión de Denuncias. Para ello, considera la implementación de mecanismos para agilizar la tramitación de los procedimientos sancionadores, la emisión de las medidas cautelares y la elaboración de las resoluciones correspondientes.</w:t>
      </w:r>
    </w:p>
    <w:p w14:paraId="654D6286" w14:textId="77777777" w:rsidR="008D09D6" w:rsidRPr="008D09D6" w:rsidRDefault="008D09D6" w:rsidP="0068671C">
      <w:pPr>
        <w:spacing w:line="295" w:lineRule="auto"/>
        <w:rPr>
          <w:rFonts w:ascii="Arial" w:hAnsi="Arial" w:cs="Arial"/>
        </w:rPr>
      </w:pPr>
      <w:r w:rsidRPr="008D09D6">
        <w:rPr>
          <w:rFonts w:ascii="Arial" w:hAnsi="Arial" w:cs="Arial"/>
        </w:rPr>
        <w:t>Otro de los aspectos que comprende el programa, es el fortalecimiento de las áreas involucradas en los procedimientos sancionadores a través de la capacitación presencial o a distancia, respecto a temas relacionados con la materia electoral.</w:t>
      </w:r>
    </w:p>
    <w:p w14:paraId="64C9AD9B" w14:textId="77777777" w:rsidR="008D09D6" w:rsidRPr="008D09D6" w:rsidRDefault="008D09D6" w:rsidP="0068671C">
      <w:pPr>
        <w:spacing w:line="295" w:lineRule="auto"/>
        <w:rPr>
          <w:rFonts w:ascii="Arial" w:hAnsi="Arial" w:cs="Arial"/>
        </w:rPr>
      </w:pPr>
      <w:r w:rsidRPr="008D09D6">
        <w:rPr>
          <w:rFonts w:ascii="Arial" w:hAnsi="Arial" w:cs="Arial"/>
        </w:rPr>
        <w:t xml:space="preserve">Además, se propicia la cultura de la legalidad, a través del fomento e impulso a la denuncia, particularmente encaminado a la protección de los derechos humanos de las mujeres, la no discriminación y la erradicación de la violencia política en razón de género. </w:t>
      </w:r>
    </w:p>
    <w:p w14:paraId="281607F9" w14:textId="77777777" w:rsidR="008D09D6" w:rsidRPr="008D09D6" w:rsidRDefault="008D09D6" w:rsidP="0068671C">
      <w:pPr>
        <w:spacing w:line="295" w:lineRule="auto"/>
        <w:rPr>
          <w:rFonts w:ascii="Arial" w:hAnsi="Arial" w:cs="Arial"/>
        </w:rPr>
      </w:pPr>
      <w:r w:rsidRPr="008D09D6">
        <w:rPr>
          <w:rFonts w:ascii="Arial" w:hAnsi="Arial" w:cs="Arial"/>
        </w:rPr>
        <w:t>Como herramientas para la consecución de los objetivos del programa, se prevé la celebración de reuniones de trabajo con el propósito de analizar y revisar las actuaciones y resoluciones vinculadas con los procedimientos sancionadores, a fin de aplicar criterios en asuntos de similar naturaleza.</w:t>
      </w:r>
    </w:p>
    <w:p w14:paraId="09ACD07E" w14:textId="703CAE2D" w:rsidR="008D09D6" w:rsidRDefault="008D09D6" w:rsidP="0068671C">
      <w:pPr>
        <w:spacing w:line="295" w:lineRule="auto"/>
        <w:rPr>
          <w:rFonts w:ascii="Arial" w:hAnsi="Arial" w:cs="Arial"/>
        </w:rPr>
      </w:pPr>
      <w:r w:rsidRPr="008D09D6">
        <w:rPr>
          <w:rFonts w:ascii="Arial" w:hAnsi="Arial" w:cs="Arial"/>
        </w:rPr>
        <w:t>Finalmente, como actividad sustancial, se fomentará la creación de espacios de interacción con instituciones y partidos políticos en la entidad, para que, a través de un diálogo circular —eventos académicos, cursos presenciales y en línea, pláticas, conferencias, mesas de análisis, simposios, talleres, entre otros—, se aborden los alcances del derecho administrativo sancionador en materia electoral.</w:t>
      </w:r>
    </w:p>
    <w:p w14:paraId="6641B796" w14:textId="4254EEF4" w:rsidR="00D51AD4" w:rsidRPr="00DE5C54" w:rsidRDefault="00D51AD4" w:rsidP="0068671C">
      <w:pPr>
        <w:spacing w:line="295" w:lineRule="auto"/>
        <w:rPr>
          <w:rFonts w:ascii="Arial" w:hAnsi="Arial" w:cs="Arial"/>
        </w:rPr>
      </w:pPr>
      <w:r w:rsidRPr="00DE5C54">
        <w:rPr>
          <w:rFonts w:ascii="Arial" w:hAnsi="Arial" w:cs="Arial"/>
        </w:rPr>
        <w:t xml:space="preserve">Es importante señalar que, las actividades que conforman el Programa de Trabajo de la Comisión </w:t>
      </w:r>
      <w:r w:rsidR="00EA115A" w:rsidRPr="00DE5C54">
        <w:rPr>
          <w:rFonts w:ascii="Arial" w:hAnsi="Arial" w:cs="Arial"/>
        </w:rPr>
        <w:t xml:space="preserve">de </w:t>
      </w:r>
      <w:r w:rsidR="00B153CF" w:rsidRPr="00DE5C54">
        <w:rPr>
          <w:rFonts w:ascii="Arial" w:hAnsi="Arial" w:cs="Arial"/>
        </w:rPr>
        <w:t>Denuncias</w:t>
      </w:r>
      <w:r w:rsidR="00EA115A" w:rsidRPr="00DE5C54">
        <w:rPr>
          <w:rFonts w:ascii="Arial" w:hAnsi="Arial" w:cs="Arial"/>
        </w:rPr>
        <w:t xml:space="preserve"> </w:t>
      </w:r>
      <w:r w:rsidRPr="00DE5C54">
        <w:rPr>
          <w:rFonts w:ascii="Arial" w:hAnsi="Arial" w:cs="Arial"/>
        </w:rPr>
        <w:t>para el año 2023 se encuentran establecidas de forma enunciativa, más no limitativa, toda vez que podrán llevarse a cabo tareas adicionales en beneficio de las y los servidores públicos del Instituto, conforme lo permitan las actividades propias del Proceso Electoral y la disponibilidad presupuestal.</w:t>
      </w:r>
    </w:p>
    <w:p w14:paraId="78AAC88C" w14:textId="77777777" w:rsidR="000F6C21" w:rsidRDefault="000F6C21" w:rsidP="0068671C">
      <w:pPr>
        <w:spacing w:line="295" w:lineRule="auto"/>
        <w:ind w:left="0"/>
        <w:rPr>
          <w:rFonts w:ascii="Arial" w:hAnsi="Arial" w:cs="Arial"/>
        </w:rPr>
      </w:pPr>
    </w:p>
    <w:p w14:paraId="733908FA" w14:textId="1D4845CF" w:rsidR="00D51AD4" w:rsidRPr="00DE5C54" w:rsidRDefault="00D51AD4" w:rsidP="0068671C">
      <w:pPr>
        <w:spacing w:line="295" w:lineRule="auto"/>
        <w:ind w:left="0"/>
        <w:rPr>
          <w:rFonts w:ascii="Arial" w:hAnsi="Arial" w:cs="Arial"/>
        </w:rPr>
      </w:pPr>
      <w:r w:rsidRPr="00DE5C54">
        <w:rPr>
          <w:rFonts w:ascii="Arial" w:hAnsi="Arial" w:cs="Arial"/>
        </w:rPr>
        <w:lastRenderedPageBreak/>
        <w:t>Sobre la base de las consideraciones señaladas, este Consejo Estatal emite el siguiente:</w:t>
      </w:r>
    </w:p>
    <w:p w14:paraId="6E1A4818" w14:textId="77777777" w:rsidR="00D51AD4" w:rsidRPr="00DE5C54" w:rsidRDefault="00D51AD4" w:rsidP="0068671C">
      <w:pPr>
        <w:pStyle w:val="Ttulo1"/>
        <w:spacing w:line="295" w:lineRule="auto"/>
        <w:rPr>
          <w:rFonts w:ascii="Arial" w:hAnsi="Arial" w:cs="Arial"/>
        </w:rPr>
      </w:pPr>
      <w:r w:rsidRPr="00DE5C54">
        <w:rPr>
          <w:rFonts w:ascii="Arial" w:hAnsi="Arial" w:cs="Arial"/>
        </w:rPr>
        <w:t>Acuerdo</w:t>
      </w:r>
    </w:p>
    <w:p w14:paraId="014CA281" w14:textId="3BC98972" w:rsidR="00D51AD4" w:rsidRPr="00DE5C54" w:rsidRDefault="00D51AD4" w:rsidP="0068671C">
      <w:pPr>
        <w:pStyle w:val="Puntos"/>
        <w:spacing w:line="295" w:lineRule="auto"/>
        <w:ind w:left="0"/>
        <w:rPr>
          <w:rFonts w:ascii="Arial" w:hAnsi="Arial" w:cs="Arial"/>
        </w:rPr>
      </w:pPr>
      <w:r w:rsidRPr="00DE5C54">
        <w:rPr>
          <w:rFonts w:ascii="Arial" w:hAnsi="Arial" w:cs="Arial"/>
          <w:b/>
          <w:bCs/>
        </w:rPr>
        <w:t>Primero.</w:t>
      </w:r>
      <w:r w:rsidRPr="00DE5C54">
        <w:rPr>
          <w:rFonts w:ascii="Arial" w:hAnsi="Arial" w:cs="Arial"/>
        </w:rPr>
        <w:t xml:space="preserve"> Por las razones y argumentos mencionados, se aprueba el Programa Anual de Trabajo para el año 2023 de la Comisión de </w:t>
      </w:r>
      <w:r w:rsidR="004757DC" w:rsidRPr="00DE5C54">
        <w:rPr>
          <w:rFonts w:ascii="Arial" w:hAnsi="Arial" w:cs="Arial"/>
        </w:rPr>
        <w:t>Denuncias y Quejas</w:t>
      </w:r>
      <w:r w:rsidRPr="00DE5C54">
        <w:rPr>
          <w:rFonts w:ascii="Arial" w:hAnsi="Arial" w:cs="Arial"/>
        </w:rPr>
        <w:t xml:space="preserve"> del Instituto Electoral y de Participación Ciudadana de Tabasco</w:t>
      </w:r>
      <w:r w:rsidR="00312D81" w:rsidRPr="00DE5C54">
        <w:rPr>
          <w:rFonts w:ascii="Arial" w:hAnsi="Arial" w:cs="Arial"/>
        </w:rPr>
        <w:t>,</w:t>
      </w:r>
      <w:r w:rsidR="00CD092F" w:rsidRPr="00DE5C54">
        <w:rPr>
          <w:rFonts w:ascii="Arial" w:hAnsi="Arial" w:cs="Arial"/>
        </w:rPr>
        <w:t xml:space="preserve"> anexo</w:t>
      </w:r>
      <w:r w:rsidRPr="00DE5C54">
        <w:rPr>
          <w:rFonts w:ascii="Arial" w:hAnsi="Arial" w:cs="Arial"/>
        </w:rPr>
        <w:t xml:space="preserve"> al presente acuerdo.</w:t>
      </w:r>
    </w:p>
    <w:p w14:paraId="7402E3FC" w14:textId="77777777" w:rsidR="00D51AD4" w:rsidRPr="00DE5C54" w:rsidRDefault="00D51AD4" w:rsidP="0068671C">
      <w:pPr>
        <w:pStyle w:val="Puntos"/>
        <w:spacing w:line="295" w:lineRule="auto"/>
        <w:ind w:left="0"/>
        <w:rPr>
          <w:rFonts w:ascii="Arial" w:hAnsi="Arial" w:cs="Arial"/>
        </w:rPr>
      </w:pPr>
      <w:r w:rsidRPr="00DE5C54">
        <w:rPr>
          <w:rFonts w:ascii="Arial" w:hAnsi="Arial" w:cs="Arial"/>
          <w:b/>
          <w:bCs/>
        </w:rPr>
        <w:t>Segundo.</w:t>
      </w:r>
      <w:r w:rsidRPr="00DE5C54">
        <w:rPr>
          <w:rFonts w:ascii="Arial" w:hAnsi="Arial" w:cs="Arial"/>
        </w:rPr>
        <w:t xml:space="preserve"> 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DF1326F" w14:textId="77777777" w:rsidR="00D51AD4" w:rsidRPr="00DE5C54" w:rsidRDefault="00D51AD4" w:rsidP="0068671C">
      <w:pPr>
        <w:pStyle w:val="Puntos"/>
        <w:spacing w:line="295" w:lineRule="auto"/>
        <w:ind w:left="0"/>
        <w:rPr>
          <w:rFonts w:ascii="Arial" w:hAnsi="Arial" w:cs="Arial"/>
        </w:rPr>
      </w:pPr>
      <w:r w:rsidRPr="00DE5C54">
        <w:rPr>
          <w:rFonts w:ascii="Arial" w:hAnsi="Arial" w:cs="Arial"/>
          <w:b/>
          <w:bCs/>
        </w:rPr>
        <w:t>Tercero.</w:t>
      </w:r>
      <w:r w:rsidRPr="00DE5C54">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928A352" w14:textId="3EF1CA2A" w:rsidR="00D51AD4" w:rsidRPr="00DE5C54" w:rsidRDefault="00D51AD4" w:rsidP="0068671C">
      <w:pPr>
        <w:pStyle w:val="Puntos"/>
        <w:spacing w:line="295" w:lineRule="auto"/>
        <w:ind w:left="0"/>
        <w:rPr>
          <w:rFonts w:ascii="Arial" w:hAnsi="Arial" w:cs="Arial"/>
        </w:rPr>
      </w:pPr>
      <w:r w:rsidRPr="00DE5C54">
        <w:rPr>
          <w:rFonts w:ascii="Arial" w:hAnsi="Arial" w:cs="Arial"/>
        </w:rPr>
        <w:t>El presente acuerdo fue aprobado en sesión ordinaria efectuada el</w:t>
      </w:r>
      <w:r w:rsidR="007E26FB">
        <w:rPr>
          <w:rFonts w:ascii="Arial" w:hAnsi="Arial" w:cs="Arial"/>
        </w:rPr>
        <w:t xml:space="preserve"> 31 de enero del </w:t>
      </w:r>
      <w:r w:rsidRPr="00DE5C54">
        <w:rPr>
          <w:rFonts w:ascii="Arial" w:hAnsi="Arial" w:cs="Arial"/>
        </w:rPr>
        <w:t xml:space="preserve">año dos mil veintitrés, por votación </w:t>
      </w:r>
      <w:r w:rsidR="00EC23BF">
        <w:rPr>
          <w:rFonts w:ascii="Arial" w:hAnsi="Arial" w:cs="Arial"/>
        </w:rPr>
        <w:t>unánime</w:t>
      </w:r>
      <w:r w:rsidRPr="00DE5C54">
        <w:rPr>
          <w:rFonts w:ascii="Arial" w:hAnsi="Arial" w:cs="Arial"/>
        </w:rPr>
        <w:t xml:space="preserve"> 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w:t>
      </w:r>
      <w:r w:rsidR="00A2460E" w:rsidRPr="00DE5C54">
        <w:rPr>
          <w:rFonts w:ascii="Arial" w:hAnsi="Arial" w:cs="Arial"/>
        </w:rPr>
        <w:t>Mtra</w:t>
      </w:r>
      <w:r w:rsidRPr="00DE5C54">
        <w:rPr>
          <w:rFonts w:ascii="Arial" w:hAnsi="Arial" w:cs="Arial"/>
        </w:rPr>
        <w:t>. Elizabeth Nava Gutiérrez.</w:t>
      </w:r>
    </w:p>
    <w:p w14:paraId="715B6C5C" w14:textId="5B58EBD9" w:rsidR="00EB7258" w:rsidRPr="00DE5C54" w:rsidRDefault="00EB7258" w:rsidP="0068671C">
      <w:pPr>
        <w:pStyle w:val="Puntos"/>
        <w:spacing w:line="295" w:lineRule="auto"/>
        <w:ind w:left="0"/>
        <w:rPr>
          <w:rFonts w:ascii="Arial" w:hAnsi="Arial" w:cs="Arial"/>
        </w:rPr>
      </w:pPr>
    </w:p>
    <w:p w14:paraId="7D5CC95B" w14:textId="25839357" w:rsidR="00EB7258" w:rsidRDefault="00EB7258" w:rsidP="0068671C">
      <w:pPr>
        <w:pStyle w:val="Puntos"/>
        <w:spacing w:line="295" w:lineRule="auto"/>
        <w:ind w:left="0"/>
        <w:rPr>
          <w:rFonts w:ascii="Arial" w:hAnsi="Arial" w:cs="Arial"/>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47749D" w:rsidRPr="001B4A09" w14:paraId="38427149" w14:textId="77777777" w:rsidTr="00D3762F">
        <w:tc>
          <w:tcPr>
            <w:tcW w:w="4395" w:type="dxa"/>
          </w:tcPr>
          <w:p w14:paraId="65CDB844" w14:textId="77777777" w:rsidR="0047749D" w:rsidRPr="00C26EA6" w:rsidRDefault="0047749D" w:rsidP="0068671C">
            <w:pPr>
              <w:widowControl w:val="0"/>
              <w:spacing w:after="0" w:line="295" w:lineRule="auto"/>
              <w:ind w:left="0"/>
              <w:jc w:val="center"/>
              <w:rPr>
                <w:rFonts w:ascii="Arial Negrita" w:hAnsi="Arial Negrita" w:cs="Arial"/>
                <w:b/>
                <w:spacing w:val="-10"/>
              </w:rPr>
            </w:pPr>
            <w:bookmarkStart w:id="0" w:name="_GoBack"/>
            <w:bookmarkEnd w:id="0"/>
            <w:r w:rsidRPr="00C26EA6">
              <w:rPr>
                <w:rFonts w:ascii="Arial Negrita" w:hAnsi="Arial Negrita" w:cs="Arial"/>
                <w:b/>
                <w:spacing w:val="-10"/>
              </w:rPr>
              <w:t>MTRA. ELIZABETH NAVA GUTIÉRREZ</w:t>
            </w:r>
          </w:p>
          <w:p w14:paraId="2022E8EA" w14:textId="77777777" w:rsidR="0047749D" w:rsidRPr="001B4A09" w:rsidRDefault="0047749D" w:rsidP="0068671C">
            <w:pPr>
              <w:widowControl w:val="0"/>
              <w:spacing w:after="0" w:line="295" w:lineRule="auto"/>
              <w:ind w:left="0"/>
              <w:jc w:val="center"/>
              <w:rPr>
                <w:rFonts w:ascii="Arial" w:hAnsi="Arial" w:cs="Arial"/>
                <w:b/>
              </w:rPr>
            </w:pPr>
            <w:r w:rsidRPr="00C26EA6">
              <w:rPr>
                <w:rFonts w:ascii="Arial" w:hAnsi="Arial" w:cs="Arial"/>
                <w:b/>
                <w:spacing w:val="-10"/>
              </w:rPr>
              <w:t>CONSEJERA PRESIDENTA</w:t>
            </w:r>
          </w:p>
        </w:tc>
        <w:tc>
          <w:tcPr>
            <w:tcW w:w="278" w:type="dxa"/>
          </w:tcPr>
          <w:p w14:paraId="764E152C" w14:textId="77777777" w:rsidR="0047749D" w:rsidRPr="001B4A09" w:rsidRDefault="0047749D" w:rsidP="0068671C">
            <w:pPr>
              <w:widowControl w:val="0"/>
              <w:spacing w:after="0" w:line="295" w:lineRule="auto"/>
              <w:rPr>
                <w:rFonts w:ascii="Arial" w:hAnsi="Arial" w:cs="Arial"/>
                <w:b/>
              </w:rPr>
            </w:pPr>
          </w:p>
        </w:tc>
        <w:tc>
          <w:tcPr>
            <w:tcW w:w="4400" w:type="dxa"/>
          </w:tcPr>
          <w:p w14:paraId="2C8F33B8" w14:textId="77777777" w:rsidR="0047749D" w:rsidRPr="004C5A07" w:rsidRDefault="0047749D" w:rsidP="0068671C">
            <w:pPr>
              <w:widowControl w:val="0"/>
              <w:spacing w:after="0" w:line="295" w:lineRule="auto"/>
              <w:ind w:left="0"/>
              <w:jc w:val="center"/>
              <w:rPr>
                <w:rFonts w:ascii="Arial Negrita" w:hAnsi="Arial Negrita" w:cs="Arial"/>
                <w:b/>
                <w:spacing w:val="-10"/>
              </w:rPr>
            </w:pPr>
            <w:r w:rsidRPr="004C5A07">
              <w:rPr>
                <w:rFonts w:ascii="Arial Negrita" w:hAnsi="Arial Negrita" w:cs="Arial"/>
                <w:b/>
                <w:spacing w:val="-10"/>
              </w:rPr>
              <w:t>LIC. JORGE ALBERTO ZAVALA FRÍAS</w:t>
            </w:r>
          </w:p>
          <w:p w14:paraId="0CBFE1B4" w14:textId="46B00CC0" w:rsidR="0047749D" w:rsidRPr="001B4A09" w:rsidRDefault="009818BB" w:rsidP="009818BB">
            <w:pPr>
              <w:widowControl w:val="0"/>
              <w:tabs>
                <w:tab w:val="center" w:pos="2092"/>
                <w:tab w:val="right" w:pos="4184"/>
              </w:tabs>
              <w:spacing w:after="0" w:line="295" w:lineRule="auto"/>
              <w:ind w:left="0"/>
              <w:jc w:val="left"/>
              <w:rPr>
                <w:rFonts w:ascii="Arial" w:hAnsi="Arial" w:cs="Arial"/>
                <w:b/>
              </w:rPr>
            </w:pPr>
            <w:r>
              <w:rPr>
                <w:rFonts w:ascii="Arial Negrita" w:hAnsi="Arial Negrita" w:cs="Arial"/>
                <w:b/>
                <w:spacing w:val="-10"/>
              </w:rPr>
              <w:tab/>
            </w:r>
            <w:r w:rsidR="0047749D" w:rsidRPr="004C5A07">
              <w:rPr>
                <w:rFonts w:ascii="Arial Negrita" w:hAnsi="Arial Negrita" w:cs="Arial"/>
                <w:b/>
                <w:spacing w:val="-10"/>
              </w:rPr>
              <w:t>SECRETARIO DEL CONSEJO</w:t>
            </w:r>
            <w:r>
              <w:rPr>
                <w:rFonts w:ascii="Arial Negrita" w:hAnsi="Arial Negrita" w:cs="Arial"/>
                <w:b/>
                <w:spacing w:val="-10"/>
              </w:rPr>
              <w:tab/>
            </w:r>
          </w:p>
        </w:tc>
      </w:tr>
    </w:tbl>
    <w:p w14:paraId="66F7F176" w14:textId="77777777" w:rsidR="00012B73" w:rsidRPr="00DE5C54" w:rsidRDefault="00012B73" w:rsidP="0068671C">
      <w:pPr>
        <w:spacing w:line="295" w:lineRule="auto"/>
        <w:ind w:left="0"/>
        <w:rPr>
          <w:rFonts w:ascii="Arial" w:hAnsi="Arial" w:cs="Arial"/>
        </w:rPr>
      </w:pPr>
    </w:p>
    <w:sectPr w:rsidR="00012B73" w:rsidRPr="00DE5C54" w:rsidSect="00533D95">
      <w:headerReference w:type="default" r:id="rId7"/>
      <w:footerReference w:type="default" r:id="rId8"/>
      <w:headerReference w:type="first" r:id="rId9"/>
      <w:pgSz w:w="12240" w:h="15840" w:code="1"/>
      <w:pgMar w:top="2694" w:right="1701" w:bottom="1276"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495FA" w14:textId="77777777" w:rsidR="00B533C9" w:rsidRDefault="00B533C9" w:rsidP="007050DB">
      <w:pPr>
        <w:spacing w:after="0" w:line="240" w:lineRule="auto"/>
      </w:pPr>
      <w:r>
        <w:separator/>
      </w:r>
    </w:p>
  </w:endnote>
  <w:endnote w:type="continuationSeparator" w:id="0">
    <w:p w14:paraId="126FAC53" w14:textId="77777777" w:rsidR="00B533C9" w:rsidRDefault="00B533C9" w:rsidP="0070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masis MT Pro">
    <w:altName w:val="Times New Roman"/>
    <w:charset w:val="00"/>
    <w:family w:val="roman"/>
    <w:pitch w:val="variable"/>
    <w:sig w:usb0="00000001"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Louis George Cafe">
    <w:panose1 w:val="00000000000000000000"/>
    <w:charset w:val="81"/>
    <w:family w:val="auto"/>
    <w:pitch w:val="variable"/>
    <w:sig w:usb0="01002A87" w:usb1="090E0000" w:usb2="00000010" w:usb3="00000000" w:csb0="003F00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660033"/>
        <w:lang w:val="es-ES"/>
      </w:rPr>
      <w:id w:val="-93485671"/>
      <w:docPartObj>
        <w:docPartGallery w:val="Page Numbers (Bottom of Page)"/>
        <w:docPartUnique/>
      </w:docPartObj>
    </w:sdtPr>
    <w:sdtEndPr>
      <w:rPr>
        <w:sz w:val="20"/>
        <w:szCs w:val="20"/>
      </w:rPr>
    </w:sdtEndPr>
    <w:sdtContent>
      <w:p w14:paraId="51D053B1" w14:textId="0B19C73D" w:rsidR="007050DB" w:rsidRPr="00B25371" w:rsidRDefault="007050DB" w:rsidP="007050DB">
        <w:pPr>
          <w:pStyle w:val="Piedepgina"/>
          <w:jc w:val="right"/>
          <w:rPr>
            <w:rFonts w:ascii="Arial" w:hAnsi="Arial" w:cs="Arial"/>
            <w:b/>
            <w:bCs/>
            <w:color w:val="660033"/>
            <w:sz w:val="20"/>
            <w:szCs w:val="20"/>
          </w:rPr>
        </w:pPr>
        <w:r w:rsidRPr="00B25371">
          <w:rPr>
            <w:rFonts w:ascii="Arial" w:hAnsi="Arial" w:cs="Arial"/>
            <w:b/>
            <w:bCs/>
            <w:color w:val="660033"/>
            <w:sz w:val="20"/>
            <w:szCs w:val="20"/>
            <w:lang w:val="es-ES"/>
          </w:rPr>
          <w:t xml:space="preserve">Página  </w:t>
        </w:r>
        <w:r w:rsidRPr="00B25371">
          <w:rPr>
            <w:rFonts w:ascii="Arial" w:hAnsi="Arial" w:cs="Arial"/>
            <w:b/>
            <w:bCs/>
            <w:color w:val="660033"/>
            <w:sz w:val="20"/>
            <w:szCs w:val="20"/>
          </w:rPr>
          <w:fldChar w:fldCharType="begin"/>
        </w:r>
        <w:r w:rsidRPr="00B25371">
          <w:rPr>
            <w:rFonts w:ascii="Arial" w:hAnsi="Arial" w:cs="Arial"/>
            <w:b/>
            <w:bCs/>
            <w:color w:val="660033"/>
            <w:sz w:val="20"/>
            <w:szCs w:val="20"/>
          </w:rPr>
          <w:instrText>PAGE   \* MERGEFORMAT</w:instrText>
        </w:r>
        <w:r w:rsidRPr="00B25371">
          <w:rPr>
            <w:rFonts w:ascii="Arial" w:hAnsi="Arial" w:cs="Arial"/>
            <w:b/>
            <w:bCs/>
            <w:color w:val="660033"/>
            <w:sz w:val="20"/>
            <w:szCs w:val="20"/>
          </w:rPr>
          <w:fldChar w:fldCharType="separate"/>
        </w:r>
        <w:r w:rsidR="00C03418">
          <w:rPr>
            <w:rFonts w:ascii="Arial" w:hAnsi="Arial" w:cs="Arial"/>
            <w:b/>
            <w:bCs/>
            <w:noProof/>
            <w:color w:val="660033"/>
            <w:sz w:val="20"/>
            <w:szCs w:val="20"/>
          </w:rPr>
          <w:t>7</w:t>
        </w:r>
        <w:r w:rsidRPr="00B25371">
          <w:rPr>
            <w:rFonts w:ascii="Arial" w:hAnsi="Arial" w:cs="Arial"/>
            <w:b/>
            <w:bCs/>
            <w:color w:val="660033"/>
            <w:sz w:val="20"/>
            <w:szCs w:val="20"/>
          </w:rPr>
          <w:fldChar w:fldCharType="end"/>
        </w:r>
        <w:r w:rsidRPr="00B25371">
          <w:rPr>
            <w:rFonts w:ascii="Arial" w:hAnsi="Arial" w:cs="Arial"/>
            <w:b/>
            <w:bCs/>
            <w:color w:val="660033"/>
            <w:sz w:val="20"/>
            <w:szCs w:val="20"/>
            <w:lang w:val="es-ES"/>
          </w:rPr>
          <w:t xml:space="preserve"> | </w:t>
        </w:r>
        <w:r w:rsidR="009818BB">
          <w:rPr>
            <w:rFonts w:ascii="Arial" w:hAnsi="Arial" w:cs="Arial"/>
            <w:b/>
            <w:bCs/>
            <w:color w:val="660033"/>
            <w:sz w:val="20"/>
            <w:szCs w:val="20"/>
            <w:lang w:val="es-ES"/>
          </w:rPr>
          <w:t>7</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6FDBC" w14:textId="77777777" w:rsidR="00B533C9" w:rsidRDefault="00B533C9" w:rsidP="007050DB">
      <w:pPr>
        <w:spacing w:after="0" w:line="240" w:lineRule="auto"/>
      </w:pPr>
      <w:r>
        <w:separator/>
      </w:r>
    </w:p>
  </w:footnote>
  <w:footnote w:type="continuationSeparator" w:id="0">
    <w:p w14:paraId="1FE1BF1F" w14:textId="77777777" w:rsidR="00B533C9" w:rsidRDefault="00B533C9" w:rsidP="00705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104182" w:rsidRPr="00063338" w14:paraId="2F7D3D04" w14:textId="77777777" w:rsidTr="00907833">
      <w:tc>
        <w:tcPr>
          <w:tcW w:w="1418" w:type="dxa"/>
        </w:tcPr>
        <w:p w14:paraId="18D73E37" w14:textId="77777777" w:rsidR="00104182" w:rsidRPr="00063338" w:rsidRDefault="00104182" w:rsidP="00104182">
          <w:pPr>
            <w:pStyle w:val="Encabezado"/>
            <w:ind w:left="-170"/>
            <w:jc w:val="left"/>
            <w:rPr>
              <w:rFonts w:ascii="Arial" w:hAnsi="Arial" w:cs="Arial"/>
            </w:rPr>
          </w:pPr>
          <w:r>
            <w:rPr>
              <w:b/>
              <w:noProof/>
              <w:sz w:val="32"/>
              <w:lang w:eastAsia="es-MX"/>
            </w:rPr>
            <w:drawing>
              <wp:inline distT="0" distB="0" distL="0" distR="0" wp14:anchorId="729A9432" wp14:editId="2F3448E3">
                <wp:extent cx="1014331" cy="1199403"/>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147A90A3" w14:textId="77777777" w:rsidR="00104182" w:rsidRPr="00063338" w:rsidRDefault="00104182" w:rsidP="00104182">
          <w:pPr>
            <w:pStyle w:val="Encabezado"/>
            <w:spacing w:before="720"/>
            <w:ind w:left="0"/>
            <w:jc w:val="center"/>
            <w:rPr>
              <w:rFonts w:ascii="Arial" w:hAnsi="Arial" w:cs="Arial"/>
              <w:b/>
              <w:bCs/>
              <w:sz w:val="25"/>
              <w:szCs w:val="25"/>
            </w:rPr>
          </w:pPr>
          <w:r w:rsidRPr="00063338">
            <w:rPr>
              <w:rFonts w:ascii="Arial" w:hAnsi="Arial" w:cs="Arial"/>
              <w:b/>
              <w:bCs/>
              <w:sz w:val="25"/>
              <w:szCs w:val="25"/>
            </w:rPr>
            <w:t>INSTITUTO ELECTORAL Y DE PARTICIPACIÓN CIUDADANA DE TABASCO</w:t>
          </w:r>
        </w:p>
        <w:p w14:paraId="3D0B69B9" w14:textId="77777777" w:rsidR="00104182" w:rsidRPr="00063338" w:rsidRDefault="00104182" w:rsidP="00104182">
          <w:pPr>
            <w:pStyle w:val="Encabezado"/>
            <w:ind w:left="0"/>
            <w:jc w:val="center"/>
            <w:rPr>
              <w:rFonts w:ascii="Arial" w:hAnsi="Arial" w:cs="Arial"/>
            </w:rPr>
          </w:pPr>
          <w:r w:rsidRPr="00063338">
            <w:rPr>
              <w:rFonts w:ascii="Arial" w:hAnsi="Arial" w:cs="Arial"/>
              <w:sz w:val="26"/>
              <w:szCs w:val="26"/>
            </w:rPr>
            <w:t>CONSEJO ESTATAL</w:t>
          </w:r>
        </w:p>
      </w:tc>
      <w:tc>
        <w:tcPr>
          <w:tcW w:w="1701" w:type="dxa"/>
        </w:tcPr>
        <w:p w14:paraId="79E3B3FF" w14:textId="77777777" w:rsidR="00104182" w:rsidRPr="00063338" w:rsidRDefault="00104182" w:rsidP="00104182">
          <w:pPr>
            <w:pStyle w:val="Encabezado"/>
            <w:spacing w:before="480"/>
            <w:ind w:left="0"/>
            <w:rPr>
              <w:rFonts w:ascii="Arial" w:hAnsi="Arial" w:cs="Arial"/>
            </w:rPr>
          </w:pPr>
          <w:r w:rsidRPr="00063338">
            <w:rPr>
              <w:rFonts w:ascii="Arial" w:hAnsi="Arial" w:cs="Arial"/>
              <w:noProof/>
              <w:lang w:eastAsia="es-MX"/>
            </w:rPr>
            <w:drawing>
              <wp:inline distT="0" distB="0" distL="0" distR="0" wp14:anchorId="03DCF6B9" wp14:editId="4EF1CAE8">
                <wp:extent cx="921600" cy="756000"/>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A33798" w14:textId="65700C87" w:rsidR="002317D7" w:rsidRPr="00661D8D" w:rsidRDefault="00661D8D" w:rsidP="00661D8D">
    <w:pPr>
      <w:pStyle w:val="Encabezado"/>
      <w:ind w:left="0"/>
      <w:jc w:val="right"/>
      <w:rPr>
        <w:rFonts w:ascii="Arial" w:hAnsi="Arial" w:cs="Arial"/>
        <w:b/>
      </w:rPr>
    </w:pPr>
    <w:r w:rsidRPr="00661D8D">
      <w:rPr>
        <w:rFonts w:ascii="Arial" w:hAnsi="Arial" w:cs="Arial"/>
        <w:b/>
      </w:rPr>
      <w:t>CE/2023/003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C962B5" w:rsidRPr="00063338" w14:paraId="5BA10C5B" w14:textId="77777777" w:rsidTr="00192380">
      <w:tc>
        <w:tcPr>
          <w:tcW w:w="1418" w:type="dxa"/>
        </w:tcPr>
        <w:p w14:paraId="5153331E" w14:textId="77777777" w:rsidR="00C962B5" w:rsidRPr="00063338" w:rsidRDefault="00C962B5" w:rsidP="00C962B5">
          <w:pPr>
            <w:pStyle w:val="Encabezado"/>
            <w:ind w:left="-170"/>
            <w:jc w:val="left"/>
            <w:rPr>
              <w:rFonts w:ascii="Arial" w:hAnsi="Arial" w:cs="Arial"/>
            </w:rPr>
          </w:pPr>
          <w:r>
            <w:rPr>
              <w:b/>
              <w:noProof/>
              <w:sz w:val="32"/>
              <w:lang w:eastAsia="es-MX"/>
            </w:rPr>
            <w:drawing>
              <wp:inline distT="0" distB="0" distL="0" distR="0" wp14:anchorId="4C63DFCA" wp14:editId="2E8D3554">
                <wp:extent cx="1014331" cy="1199403"/>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7FDCF53D" w14:textId="77777777" w:rsidR="00C962B5" w:rsidRPr="00063338" w:rsidRDefault="00C962B5" w:rsidP="00C962B5">
          <w:pPr>
            <w:pStyle w:val="Encabezado"/>
            <w:spacing w:before="720"/>
            <w:ind w:left="0"/>
            <w:jc w:val="center"/>
            <w:rPr>
              <w:rFonts w:ascii="Arial" w:hAnsi="Arial" w:cs="Arial"/>
              <w:b/>
              <w:bCs/>
              <w:sz w:val="25"/>
              <w:szCs w:val="25"/>
            </w:rPr>
          </w:pPr>
          <w:r w:rsidRPr="00063338">
            <w:rPr>
              <w:rFonts w:ascii="Arial" w:hAnsi="Arial" w:cs="Arial"/>
              <w:b/>
              <w:bCs/>
              <w:sz w:val="25"/>
              <w:szCs w:val="25"/>
            </w:rPr>
            <w:t>INSTITUTO ELECTORAL Y DE PARTICIPACIÓN CIUDADANA DE TABASCO</w:t>
          </w:r>
        </w:p>
        <w:p w14:paraId="5AB92237" w14:textId="77777777" w:rsidR="00C962B5" w:rsidRPr="00063338" w:rsidRDefault="00C962B5" w:rsidP="00C962B5">
          <w:pPr>
            <w:pStyle w:val="Encabezado"/>
            <w:ind w:left="0"/>
            <w:jc w:val="center"/>
            <w:rPr>
              <w:rFonts w:ascii="Arial" w:hAnsi="Arial" w:cs="Arial"/>
            </w:rPr>
          </w:pPr>
          <w:r w:rsidRPr="00063338">
            <w:rPr>
              <w:rFonts w:ascii="Arial" w:hAnsi="Arial" w:cs="Arial"/>
              <w:sz w:val="26"/>
              <w:szCs w:val="26"/>
            </w:rPr>
            <w:t>CONSEJO ESTATAL</w:t>
          </w:r>
        </w:p>
      </w:tc>
      <w:tc>
        <w:tcPr>
          <w:tcW w:w="1701" w:type="dxa"/>
        </w:tcPr>
        <w:p w14:paraId="0B6277F8" w14:textId="77777777" w:rsidR="00C962B5" w:rsidRPr="00063338" w:rsidRDefault="00C962B5" w:rsidP="00C962B5">
          <w:pPr>
            <w:pStyle w:val="Encabezado"/>
            <w:spacing w:before="480"/>
            <w:ind w:left="0"/>
            <w:rPr>
              <w:rFonts w:ascii="Arial" w:hAnsi="Arial" w:cs="Arial"/>
            </w:rPr>
          </w:pPr>
          <w:r w:rsidRPr="00063338">
            <w:rPr>
              <w:rFonts w:ascii="Arial" w:hAnsi="Arial" w:cs="Arial"/>
              <w:noProof/>
              <w:lang w:eastAsia="es-MX"/>
            </w:rPr>
            <w:drawing>
              <wp:inline distT="0" distB="0" distL="0" distR="0" wp14:anchorId="7A43B566" wp14:editId="1292FAC0">
                <wp:extent cx="921600" cy="756000"/>
                <wp:effectExtent l="0" t="0" r="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E42F3FE" w14:textId="77777777" w:rsidR="00C962B5" w:rsidRDefault="00C962B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27B83E0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7153D0F"/>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AA27894"/>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D4"/>
    <w:rsid w:val="00012B73"/>
    <w:rsid w:val="000138E7"/>
    <w:rsid w:val="00057456"/>
    <w:rsid w:val="000C0F54"/>
    <w:rsid w:val="000E411B"/>
    <w:rsid w:val="000E5147"/>
    <w:rsid w:val="000F1621"/>
    <w:rsid w:val="000F5FF0"/>
    <w:rsid w:val="000F6C21"/>
    <w:rsid w:val="00104182"/>
    <w:rsid w:val="00121902"/>
    <w:rsid w:val="0012215D"/>
    <w:rsid w:val="00152F39"/>
    <w:rsid w:val="0016334C"/>
    <w:rsid w:val="00194C4F"/>
    <w:rsid w:val="001B3C9C"/>
    <w:rsid w:val="001D00E9"/>
    <w:rsid w:val="001D1D2D"/>
    <w:rsid w:val="001D1E9F"/>
    <w:rsid w:val="001D36AF"/>
    <w:rsid w:val="001F56DA"/>
    <w:rsid w:val="00212FC4"/>
    <w:rsid w:val="002317D7"/>
    <w:rsid w:val="002A64B9"/>
    <w:rsid w:val="002C3CAD"/>
    <w:rsid w:val="002F3B2F"/>
    <w:rsid w:val="00312D81"/>
    <w:rsid w:val="003347CC"/>
    <w:rsid w:val="003511F8"/>
    <w:rsid w:val="00352590"/>
    <w:rsid w:val="003576A3"/>
    <w:rsid w:val="00364E65"/>
    <w:rsid w:val="00364FEB"/>
    <w:rsid w:val="003A00F6"/>
    <w:rsid w:val="003B45A0"/>
    <w:rsid w:val="003D1861"/>
    <w:rsid w:val="003D1C84"/>
    <w:rsid w:val="003D225B"/>
    <w:rsid w:val="003E1991"/>
    <w:rsid w:val="003E4799"/>
    <w:rsid w:val="00412BAC"/>
    <w:rsid w:val="00415BF4"/>
    <w:rsid w:val="00434887"/>
    <w:rsid w:val="004552C5"/>
    <w:rsid w:val="004757DC"/>
    <w:rsid w:val="0047749D"/>
    <w:rsid w:val="004C493C"/>
    <w:rsid w:val="004F2330"/>
    <w:rsid w:val="00512D7A"/>
    <w:rsid w:val="00512E8D"/>
    <w:rsid w:val="00533D95"/>
    <w:rsid w:val="0057708F"/>
    <w:rsid w:val="005A78BB"/>
    <w:rsid w:val="005C52DB"/>
    <w:rsid w:val="005C73ED"/>
    <w:rsid w:val="005C7F4F"/>
    <w:rsid w:val="005F2C05"/>
    <w:rsid w:val="00601C1C"/>
    <w:rsid w:val="006105FD"/>
    <w:rsid w:val="00661D8D"/>
    <w:rsid w:val="0068671C"/>
    <w:rsid w:val="006C28A2"/>
    <w:rsid w:val="006C3141"/>
    <w:rsid w:val="006D34AE"/>
    <w:rsid w:val="006F0B79"/>
    <w:rsid w:val="007050DB"/>
    <w:rsid w:val="00710FEE"/>
    <w:rsid w:val="007332C8"/>
    <w:rsid w:val="00795AFE"/>
    <w:rsid w:val="007B7B44"/>
    <w:rsid w:val="007D08FA"/>
    <w:rsid w:val="007E26FB"/>
    <w:rsid w:val="007F1038"/>
    <w:rsid w:val="007F366E"/>
    <w:rsid w:val="00805DE0"/>
    <w:rsid w:val="00806D15"/>
    <w:rsid w:val="008433AD"/>
    <w:rsid w:val="00843E50"/>
    <w:rsid w:val="00852000"/>
    <w:rsid w:val="008662A8"/>
    <w:rsid w:val="008779A6"/>
    <w:rsid w:val="008837F7"/>
    <w:rsid w:val="008971EF"/>
    <w:rsid w:val="008C02CE"/>
    <w:rsid w:val="008D09D6"/>
    <w:rsid w:val="009152C7"/>
    <w:rsid w:val="0095455F"/>
    <w:rsid w:val="009818BB"/>
    <w:rsid w:val="00997FAE"/>
    <w:rsid w:val="009A2E0D"/>
    <w:rsid w:val="009A34FE"/>
    <w:rsid w:val="009B4B00"/>
    <w:rsid w:val="009E3E40"/>
    <w:rsid w:val="009F0DC3"/>
    <w:rsid w:val="00A001E9"/>
    <w:rsid w:val="00A03B39"/>
    <w:rsid w:val="00A0602A"/>
    <w:rsid w:val="00A12EE1"/>
    <w:rsid w:val="00A173F4"/>
    <w:rsid w:val="00A2196F"/>
    <w:rsid w:val="00A2460E"/>
    <w:rsid w:val="00A26CFC"/>
    <w:rsid w:val="00A30B80"/>
    <w:rsid w:val="00A35925"/>
    <w:rsid w:val="00A36A03"/>
    <w:rsid w:val="00A5371C"/>
    <w:rsid w:val="00AB7EAA"/>
    <w:rsid w:val="00AD48D9"/>
    <w:rsid w:val="00AD7D56"/>
    <w:rsid w:val="00AE60B2"/>
    <w:rsid w:val="00B04486"/>
    <w:rsid w:val="00B153CF"/>
    <w:rsid w:val="00B2146F"/>
    <w:rsid w:val="00B25371"/>
    <w:rsid w:val="00B533C9"/>
    <w:rsid w:val="00B540F1"/>
    <w:rsid w:val="00B67588"/>
    <w:rsid w:val="00B71FB9"/>
    <w:rsid w:val="00B81589"/>
    <w:rsid w:val="00B967AA"/>
    <w:rsid w:val="00BD4487"/>
    <w:rsid w:val="00BE48B5"/>
    <w:rsid w:val="00C03418"/>
    <w:rsid w:val="00C05F84"/>
    <w:rsid w:val="00C071C0"/>
    <w:rsid w:val="00C447F8"/>
    <w:rsid w:val="00C5751F"/>
    <w:rsid w:val="00C6152A"/>
    <w:rsid w:val="00C868C6"/>
    <w:rsid w:val="00C903BC"/>
    <w:rsid w:val="00C910F8"/>
    <w:rsid w:val="00C962B5"/>
    <w:rsid w:val="00CD092F"/>
    <w:rsid w:val="00D20294"/>
    <w:rsid w:val="00D258A7"/>
    <w:rsid w:val="00D51AD4"/>
    <w:rsid w:val="00D5652B"/>
    <w:rsid w:val="00D665BF"/>
    <w:rsid w:val="00D77760"/>
    <w:rsid w:val="00D941AD"/>
    <w:rsid w:val="00D96957"/>
    <w:rsid w:val="00DE19FF"/>
    <w:rsid w:val="00DE47D1"/>
    <w:rsid w:val="00DE5C54"/>
    <w:rsid w:val="00E0686A"/>
    <w:rsid w:val="00E06B51"/>
    <w:rsid w:val="00E353CF"/>
    <w:rsid w:val="00E53858"/>
    <w:rsid w:val="00E609D2"/>
    <w:rsid w:val="00E65CE1"/>
    <w:rsid w:val="00E82E96"/>
    <w:rsid w:val="00E83321"/>
    <w:rsid w:val="00EA115A"/>
    <w:rsid w:val="00EB48D1"/>
    <w:rsid w:val="00EB7258"/>
    <w:rsid w:val="00EC009D"/>
    <w:rsid w:val="00EC033A"/>
    <w:rsid w:val="00EC23BF"/>
    <w:rsid w:val="00ED7E91"/>
    <w:rsid w:val="00EF2EF5"/>
    <w:rsid w:val="00F12F94"/>
    <w:rsid w:val="00F15857"/>
    <w:rsid w:val="00F16F21"/>
    <w:rsid w:val="00F51A20"/>
    <w:rsid w:val="00F554FF"/>
    <w:rsid w:val="00F8459B"/>
    <w:rsid w:val="00F903F7"/>
    <w:rsid w:val="00F9221C"/>
    <w:rsid w:val="00FD78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767E"/>
  <w15:chartTrackingRefBased/>
  <w15:docId w15:val="{D215B0FF-F385-4AC2-9011-63FD9DB4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D4"/>
    <w:pPr>
      <w:spacing w:after="240" w:line="276" w:lineRule="auto"/>
      <w:ind w:left="510"/>
      <w:jc w:val="both"/>
    </w:pPr>
    <w:rPr>
      <w:rFonts w:ascii="Calisto MT" w:hAnsi="Calisto MT"/>
      <w:sz w:val="24"/>
      <w:szCs w:val="24"/>
    </w:rPr>
  </w:style>
  <w:style w:type="paragraph" w:styleId="Ttulo1">
    <w:name w:val="heading 1"/>
    <w:basedOn w:val="Normal"/>
    <w:next w:val="Normal"/>
    <w:link w:val="Ttulo1Car"/>
    <w:uiPriority w:val="9"/>
    <w:qFormat/>
    <w:rsid w:val="002A64B9"/>
    <w:pPr>
      <w:numPr>
        <w:numId w:val="1"/>
      </w:numPr>
      <w:spacing w:before="480" w:after="360" w:line="288" w:lineRule="auto"/>
      <w:jc w:val="center"/>
      <w:outlineLvl w:val="0"/>
    </w:pPr>
    <w:rPr>
      <w:b/>
      <w:bCs/>
      <w:sz w:val="28"/>
      <w:szCs w:val="28"/>
    </w:rPr>
  </w:style>
  <w:style w:type="paragraph" w:styleId="Ttulo2">
    <w:name w:val="heading 2"/>
    <w:basedOn w:val="Normal"/>
    <w:next w:val="Normal"/>
    <w:link w:val="Ttulo2Car"/>
    <w:uiPriority w:val="9"/>
    <w:unhideWhenUsed/>
    <w:qFormat/>
    <w:rsid w:val="00D941AD"/>
    <w:pPr>
      <w:keepNext/>
      <w:keepLines/>
      <w:numPr>
        <w:ilvl w:val="1"/>
        <w:numId w:val="1"/>
      </w:numPr>
      <w:spacing w:before="360" w:after="0" w:line="288" w:lineRule="auto"/>
      <w:ind w:left="510" w:hanging="510"/>
      <w:outlineLvl w:val="1"/>
    </w:pPr>
    <w:rPr>
      <w:rFonts w:ascii="Amasis MT Pro" w:eastAsiaTheme="majorEastAsia" w:hAnsi="Amasis MT Pro" w:cstheme="majorBidi"/>
      <w:b/>
      <w:bCs/>
    </w:rPr>
  </w:style>
  <w:style w:type="paragraph" w:styleId="Ttulo3">
    <w:name w:val="heading 3"/>
    <w:basedOn w:val="Normal"/>
    <w:next w:val="Normal"/>
    <w:link w:val="Ttulo3Car"/>
    <w:uiPriority w:val="9"/>
    <w:unhideWhenUsed/>
    <w:qFormat/>
    <w:rsid w:val="005C73ED"/>
    <w:pPr>
      <w:keepNext/>
      <w:keepLines/>
      <w:numPr>
        <w:ilvl w:val="2"/>
        <w:numId w:val="1"/>
      </w:numPr>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8662A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662A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662A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662A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662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662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4B9"/>
    <w:rPr>
      <w:rFonts w:ascii="Calisto MT" w:hAnsi="Calisto MT"/>
      <w:b/>
      <w:bCs/>
      <w:sz w:val="28"/>
      <w:szCs w:val="28"/>
    </w:rPr>
  </w:style>
  <w:style w:type="character" w:customStyle="1" w:styleId="Ttulo3Car">
    <w:name w:val="Título 3 Car"/>
    <w:basedOn w:val="Fuentedeprrafopredeter"/>
    <w:link w:val="Ttulo3"/>
    <w:uiPriority w:val="9"/>
    <w:rsid w:val="005C73ED"/>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D941AD"/>
    <w:rPr>
      <w:rFonts w:ascii="Amasis MT Pro" w:eastAsiaTheme="majorEastAsia" w:hAnsi="Amasis MT Pro" w:cstheme="majorBidi"/>
      <w:b/>
      <w:bCs/>
      <w:sz w:val="24"/>
      <w:szCs w:val="24"/>
    </w:rPr>
  </w:style>
  <w:style w:type="paragraph" w:customStyle="1" w:styleId="Puntos">
    <w:name w:val="Puntos"/>
    <w:basedOn w:val="Normal"/>
    <w:link w:val="PuntosCar"/>
    <w:qFormat/>
    <w:rsid w:val="00D51AD4"/>
  </w:style>
  <w:style w:type="character" w:customStyle="1" w:styleId="Ttulo4Car">
    <w:name w:val="Título 4 Car"/>
    <w:basedOn w:val="Fuentedeprrafopredeter"/>
    <w:link w:val="Ttulo4"/>
    <w:uiPriority w:val="9"/>
    <w:semiHidden/>
    <w:rsid w:val="008662A8"/>
    <w:rPr>
      <w:rFonts w:asciiTheme="majorHAnsi" w:eastAsiaTheme="majorEastAsia" w:hAnsiTheme="majorHAnsi" w:cstheme="majorBidi"/>
      <w:i/>
      <w:iCs/>
      <w:color w:val="2F5496" w:themeColor="accent1" w:themeShade="BF"/>
      <w:sz w:val="24"/>
      <w:szCs w:val="24"/>
    </w:rPr>
  </w:style>
  <w:style w:type="character" w:customStyle="1" w:styleId="PuntosCar">
    <w:name w:val="Puntos Car"/>
    <w:basedOn w:val="Fuentedeprrafopredeter"/>
    <w:link w:val="Puntos"/>
    <w:rsid w:val="00D51AD4"/>
    <w:rPr>
      <w:rFonts w:ascii="Calisto MT" w:hAnsi="Calisto MT"/>
      <w:sz w:val="24"/>
      <w:szCs w:val="24"/>
    </w:rPr>
  </w:style>
  <w:style w:type="character" w:customStyle="1" w:styleId="Ttulo5Car">
    <w:name w:val="Título 5 Car"/>
    <w:basedOn w:val="Fuentedeprrafopredeter"/>
    <w:link w:val="Ttulo5"/>
    <w:uiPriority w:val="9"/>
    <w:semiHidden/>
    <w:rsid w:val="008662A8"/>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sid w:val="008662A8"/>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8662A8"/>
    <w:rPr>
      <w:rFonts w:asciiTheme="majorHAnsi" w:eastAsiaTheme="majorEastAsia" w:hAnsiTheme="majorHAnsi" w:cstheme="majorBidi"/>
      <w:i/>
      <w:iCs/>
      <w:color w:val="1F3763" w:themeColor="accent1" w:themeShade="7F"/>
      <w:sz w:val="24"/>
      <w:szCs w:val="24"/>
    </w:rPr>
  </w:style>
  <w:style w:type="character" w:customStyle="1" w:styleId="Ttulo8Car">
    <w:name w:val="Título 8 Car"/>
    <w:basedOn w:val="Fuentedeprrafopredeter"/>
    <w:link w:val="Ttulo8"/>
    <w:uiPriority w:val="9"/>
    <w:semiHidden/>
    <w:rsid w:val="008662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662A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7050DB"/>
    <w:pPr>
      <w:widowControl w:val="0"/>
      <w:spacing w:after="480"/>
      <w:ind w:left="0"/>
    </w:pPr>
    <w:rPr>
      <w:rFonts w:cs="Louis George Cafe"/>
      <w:b/>
      <w:sz w:val="28"/>
      <w:szCs w:val="26"/>
    </w:rPr>
  </w:style>
  <w:style w:type="character" w:customStyle="1" w:styleId="TtuloCar">
    <w:name w:val="Título Car"/>
    <w:basedOn w:val="Fuentedeprrafopredeter"/>
    <w:link w:val="Ttulo"/>
    <w:uiPriority w:val="10"/>
    <w:rsid w:val="007050DB"/>
    <w:rPr>
      <w:rFonts w:ascii="Calisto MT" w:hAnsi="Calisto MT" w:cs="Louis George Cafe"/>
      <w:b/>
      <w:sz w:val="28"/>
      <w:szCs w:val="26"/>
    </w:rPr>
  </w:style>
  <w:style w:type="paragraph" w:styleId="Encabezado">
    <w:name w:val="header"/>
    <w:basedOn w:val="Normal"/>
    <w:link w:val="EncabezadoCar"/>
    <w:uiPriority w:val="99"/>
    <w:unhideWhenUsed/>
    <w:rsid w:val="00705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0DB"/>
    <w:rPr>
      <w:rFonts w:ascii="Calisto MT" w:hAnsi="Calisto MT"/>
      <w:sz w:val="24"/>
      <w:szCs w:val="24"/>
    </w:rPr>
  </w:style>
  <w:style w:type="paragraph" w:styleId="Piedepgina">
    <w:name w:val="footer"/>
    <w:basedOn w:val="Normal"/>
    <w:link w:val="PiedepginaCar"/>
    <w:uiPriority w:val="99"/>
    <w:unhideWhenUsed/>
    <w:rsid w:val="00705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0DB"/>
    <w:rPr>
      <w:rFonts w:ascii="Calisto MT" w:hAnsi="Calisto MT"/>
      <w:sz w:val="24"/>
      <w:szCs w:val="24"/>
    </w:rPr>
  </w:style>
  <w:style w:type="table" w:styleId="Tablaconcuadrcula">
    <w:name w:val="Table Grid"/>
    <w:basedOn w:val="Tablanormal"/>
    <w:uiPriority w:val="39"/>
    <w:rsid w:val="00AD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1896</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Lic_ Carlos E. León Mayo</cp:lastModifiedBy>
  <cp:revision>45</cp:revision>
  <dcterms:created xsi:type="dcterms:W3CDTF">2023-01-09T19:45:00Z</dcterms:created>
  <dcterms:modified xsi:type="dcterms:W3CDTF">2023-01-31T17:51:00Z</dcterms:modified>
</cp:coreProperties>
</file>