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1FE42B3" w14:textId="4E397E75" w:rsidR="009F0617" w:rsidRPr="00E2546E" w:rsidRDefault="009F0617" w:rsidP="00E2546E">
      <w:pPr>
        <w:jc w:val="right"/>
        <w:rPr>
          <w:b/>
          <w:bCs/>
          <w:sz w:val="28"/>
          <w:szCs w:val="28"/>
        </w:rPr>
      </w:pPr>
      <w:r w:rsidRPr="00E2546E">
        <w:rPr>
          <w:b/>
          <w:bCs/>
          <w:sz w:val="28"/>
          <w:szCs w:val="28"/>
        </w:rPr>
        <w:t>CE/2023/</w:t>
      </w:r>
      <w:r w:rsidR="009142A0">
        <w:rPr>
          <w:b/>
          <w:bCs/>
          <w:sz w:val="28"/>
          <w:szCs w:val="28"/>
        </w:rPr>
        <w:t>007</w:t>
      </w:r>
    </w:p>
    <w:p w14:paraId="2776ED84" w14:textId="026AB683" w:rsidR="00516F36" w:rsidRDefault="00195A22" w:rsidP="00FE032A">
      <w:pPr>
        <w:pStyle w:val="Ttulo"/>
      </w:pPr>
      <w:r>
        <w:t>A</w:t>
      </w:r>
      <w:r w:rsidR="009F0617" w:rsidRPr="00E2546E">
        <w:t>cuerdo que</w:t>
      </w:r>
      <w:r>
        <w:t>, a propuesta del Órgano Técnico de Fiscalización,</w:t>
      </w:r>
      <w:r w:rsidR="009F0617" w:rsidRPr="00E2546E">
        <w:t xml:space="preserve"> emite el Consejo Estatal del Instituto Electoral y de Participación Ciudada</w:t>
      </w:r>
      <w:r w:rsidR="00516F36" w:rsidRPr="00E2546E">
        <w:t xml:space="preserve">na de Tabasco, mediante el cual, en </w:t>
      </w:r>
      <w:r w:rsidR="00EF6852" w:rsidRPr="00E2546E">
        <w:t xml:space="preserve">cumplimiento a las resoluciones </w:t>
      </w:r>
      <w:r w:rsidR="00516F36" w:rsidRPr="00E2546E">
        <w:t>INE/CG108/2022, INE/CG109/2022,</w:t>
      </w:r>
      <w:r w:rsidR="003B6331">
        <w:t xml:space="preserve"> INE/CG110/2022, </w:t>
      </w:r>
      <w:r w:rsidR="00516F36" w:rsidRPr="00E2546E">
        <w:t xml:space="preserve"> INE/CG111/2022</w:t>
      </w:r>
      <w:r w:rsidR="00FE2030">
        <w:t xml:space="preserve"> e</w:t>
      </w:r>
      <w:r w:rsidR="00516F36" w:rsidRPr="00E2546E">
        <w:t xml:space="preserve"> INE/CG113/2022 aprobadas por el Consejo General del Instituto Nacional Electoral, </w:t>
      </w:r>
      <w:r w:rsidR="00074656" w:rsidRPr="00E2546E">
        <w:t xml:space="preserve">se ejecutan las </w:t>
      </w:r>
      <w:r w:rsidR="00516F36" w:rsidRPr="00E2546E">
        <w:t xml:space="preserve">sanciones </w:t>
      </w:r>
      <w:r w:rsidR="00074656" w:rsidRPr="00E2546E">
        <w:t>impuestas a los partidos políticos Revolucionario Institucional</w:t>
      </w:r>
      <w:r w:rsidR="00516F36" w:rsidRPr="00E2546E">
        <w:t xml:space="preserve">, de la Revolución Democrática, Verde </w:t>
      </w:r>
      <w:r w:rsidR="00516F36" w:rsidRPr="00FE032A">
        <w:t>Ecologista</w:t>
      </w:r>
      <w:r w:rsidR="00516F36" w:rsidRPr="00E2546E">
        <w:t xml:space="preserve"> de México</w:t>
      </w:r>
      <w:r w:rsidR="00074656" w:rsidRPr="00E2546E">
        <w:t xml:space="preserve"> y Morena</w:t>
      </w:r>
      <w:r w:rsidR="00516F36" w:rsidRPr="00E2546E">
        <w:t xml:space="preserve"> con motivo de la revisión a los informes anuales de ingresos y gastos correspondientes al ejercicio 2020</w:t>
      </w:r>
    </w:p>
    <w:p w14:paraId="1BBBEEFC" w14:textId="2FBE0F7A" w:rsidR="00B12327" w:rsidRPr="00B12327" w:rsidRDefault="00B12327" w:rsidP="00B12327"/>
    <w:p w14:paraId="190152A3" w14:textId="5EB0B159" w:rsidR="006760A9" w:rsidRDefault="009F0617" w:rsidP="00FE032A">
      <w:pPr>
        <w:ind w:left="0"/>
      </w:pPr>
      <w:r w:rsidRPr="009F0617">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962FF7" w:rsidRPr="004A523E" w14:paraId="0D88C076" w14:textId="77777777" w:rsidTr="00EF1A90">
        <w:trPr>
          <w:trHeight w:val="624"/>
          <w:jc w:val="center"/>
        </w:trPr>
        <w:tc>
          <w:tcPr>
            <w:tcW w:w="2042" w:type="pct"/>
            <w:shd w:val="clear" w:color="auto" w:fill="auto"/>
            <w:vAlign w:val="center"/>
          </w:tcPr>
          <w:p w14:paraId="7A3F94D8" w14:textId="77777777" w:rsidR="00962FF7" w:rsidRPr="00542129" w:rsidRDefault="00962FF7" w:rsidP="00542129">
            <w:pPr>
              <w:spacing w:before="60" w:after="60"/>
              <w:ind w:left="0"/>
              <w:jc w:val="right"/>
              <w:rPr>
                <w:b/>
                <w:bCs/>
              </w:rPr>
            </w:pPr>
            <w:r w:rsidRPr="00542129">
              <w:rPr>
                <w:b/>
                <w:bCs/>
              </w:rPr>
              <w:t>Consejo Estatal:</w:t>
            </w:r>
          </w:p>
        </w:tc>
        <w:tc>
          <w:tcPr>
            <w:tcW w:w="2958" w:type="pct"/>
            <w:shd w:val="clear" w:color="auto" w:fill="auto"/>
            <w:vAlign w:val="center"/>
          </w:tcPr>
          <w:p w14:paraId="743E1A6D" w14:textId="77777777" w:rsidR="00962FF7" w:rsidRPr="004A523E" w:rsidRDefault="00962FF7" w:rsidP="00542129">
            <w:pPr>
              <w:spacing w:before="60" w:after="60"/>
              <w:ind w:left="0"/>
            </w:pPr>
            <w:r w:rsidRPr="004A523E">
              <w:t>Consejo Estatal del Instituto Electoral y de Participación Ciudadana de Tabasco.</w:t>
            </w:r>
          </w:p>
        </w:tc>
      </w:tr>
      <w:tr w:rsidR="00962FF7" w:rsidRPr="004A523E" w14:paraId="6AF8009F" w14:textId="77777777" w:rsidTr="00EF1A90">
        <w:trPr>
          <w:trHeight w:val="624"/>
          <w:jc w:val="center"/>
        </w:trPr>
        <w:tc>
          <w:tcPr>
            <w:tcW w:w="2042" w:type="pct"/>
            <w:shd w:val="clear" w:color="auto" w:fill="auto"/>
            <w:vAlign w:val="center"/>
          </w:tcPr>
          <w:p w14:paraId="524C21E4" w14:textId="77777777" w:rsidR="00962FF7" w:rsidRPr="00542129" w:rsidRDefault="00962FF7" w:rsidP="00542129">
            <w:pPr>
              <w:spacing w:before="60" w:after="60"/>
              <w:ind w:left="0"/>
              <w:jc w:val="right"/>
              <w:rPr>
                <w:b/>
                <w:bCs/>
              </w:rPr>
            </w:pPr>
            <w:r w:rsidRPr="00542129">
              <w:rPr>
                <w:b/>
                <w:bCs/>
              </w:rPr>
              <w:t>Constitución Federal:</w:t>
            </w:r>
          </w:p>
        </w:tc>
        <w:tc>
          <w:tcPr>
            <w:tcW w:w="2958" w:type="pct"/>
            <w:shd w:val="clear" w:color="auto" w:fill="auto"/>
            <w:vAlign w:val="center"/>
          </w:tcPr>
          <w:p w14:paraId="4DBD1C6B" w14:textId="77777777" w:rsidR="00962FF7" w:rsidRPr="004A523E" w:rsidRDefault="00962FF7" w:rsidP="00542129">
            <w:pPr>
              <w:spacing w:before="60" w:after="60"/>
              <w:ind w:left="0"/>
            </w:pPr>
            <w:r w:rsidRPr="004A523E">
              <w:t>Constitución Política de los Estados Unidos Mexicanos.</w:t>
            </w:r>
          </w:p>
        </w:tc>
      </w:tr>
      <w:tr w:rsidR="00962FF7" w:rsidRPr="004A523E" w14:paraId="74808EC6" w14:textId="77777777" w:rsidTr="00EF1A90">
        <w:trPr>
          <w:trHeight w:val="624"/>
          <w:jc w:val="center"/>
        </w:trPr>
        <w:tc>
          <w:tcPr>
            <w:tcW w:w="2042" w:type="pct"/>
            <w:shd w:val="clear" w:color="auto" w:fill="auto"/>
            <w:vAlign w:val="center"/>
          </w:tcPr>
          <w:p w14:paraId="473CC61A" w14:textId="77777777" w:rsidR="00962FF7" w:rsidRPr="00542129" w:rsidRDefault="00962FF7" w:rsidP="00542129">
            <w:pPr>
              <w:spacing w:before="60" w:after="60"/>
              <w:ind w:left="0"/>
              <w:jc w:val="right"/>
              <w:rPr>
                <w:b/>
                <w:bCs/>
              </w:rPr>
            </w:pPr>
            <w:r w:rsidRPr="00542129">
              <w:rPr>
                <w:b/>
                <w:bCs/>
              </w:rPr>
              <w:t>Constitución Local:</w:t>
            </w:r>
          </w:p>
        </w:tc>
        <w:tc>
          <w:tcPr>
            <w:tcW w:w="2958" w:type="pct"/>
            <w:shd w:val="clear" w:color="auto" w:fill="auto"/>
            <w:vAlign w:val="center"/>
          </w:tcPr>
          <w:p w14:paraId="0188B47B" w14:textId="77777777" w:rsidR="00962FF7" w:rsidRPr="004A523E" w:rsidRDefault="00962FF7" w:rsidP="00542129">
            <w:pPr>
              <w:spacing w:before="60" w:after="60"/>
              <w:ind w:left="0"/>
            </w:pPr>
            <w:r w:rsidRPr="004A523E">
              <w:t>Constitución Política del Estado Libre y Soberano de Tabasco.</w:t>
            </w:r>
          </w:p>
        </w:tc>
      </w:tr>
      <w:tr w:rsidR="00962FF7" w:rsidRPr="004A523E" w14:paraId="025075AE" w14:textId="77777777" w:rsidTr="00EF1A90">
        <w:trPr>
          <w:trHeight w:val="624"/>
          <w:jc w:val="center"/>
        </w:trPr>
        <w:tc>
          <w:tcPr>
            <w:tcW w:w="2042" w:type="pct"/>
            <w:shd w:val="clear" w:color="auto" w:fill="auto"/>
            <w:vAlign w:val="center"/>
          </w:tcPr>
          <w:p w14:paraId="02F235B3" w14:textId="77777777" w:rsidR="00962FF7" w:rsidRPr="00542129" w:rsidRDefault="00962FF7" w:rsidP="00542129">
            <w:pPr>
              <w:spacing w:before="60" w:after="60"/>
              <w:ind w:left="0"/>
              <w:jc w:val="right"/>
              <w:rPr>
                <w:b/>
                <w:bCs/>
              </w:rPr>
            </w:pPr>
            <w:r w:rsidRPr="00542129">
              <w:rPr>
                <w:b/>
                <w:bCs/>
              </w:rPr>
              <w:t>INE:</w:t>
            </w:r>
          </w:p>
        </w:tc>
        <w:tc>
          <w:tcPr>
            <w:tcW w:w="2958" w:type="pct"/>
            <w:shd w:val="clear" w:color="auto" w:fill="auto"/>
            <w:vAlign w:val="center"/>
          </w:tcPr>
          <w:p w14:paraId="2102C51C" w14:textId="77777777" w:rsidR="00962FF7" w:rsidRPr="004A523E" w:rsidRDefault="00962FF7" w:rsidP="00542129">
            <w:pPr>
              <w:spacing w:before="60" w:after="60"/>
              <w:ind w:left="0"/>
            </w:pPr>
            <w:r w:rsidRPr="004A523E">
              <w:t>Instituto Nacional Electoral.</w:t>
            </w:r>
          </w:p>
        </w:tc>
      </w:tr>
      <w:tr w:rsidR="00962FF7" w:rsidRPr="004A523E" w14:paraId="64D43DA4" w14:textId="77777777" w:rsidTr="00EF1A90">
        <w:trPr>
          <w:trHeight w:val="624"/>
          <w:jc w:val="center"/>
        </w:trPr>
        <w:tc>
          <w:tcPr>
            <w:tcW w:w="2042" w:type="pct"/>
            <w:shd w:val="clear" w:color="auto" w:fill="auto"/>
            <w:vAlign w:val="center"/>
          </w:tcPr>
          <w:p w14:paraId="63BF48A9" w14:textId="77777777" w:rsidR="00962FF7" w:rsidRPr="00542129" w:rsidRDefault="00962FF7" w:rsidP="00542129">
            <w:pPr>
              <w:spacing w:before="60" w:after="60"/>
              <w:ind w:left="0"/>
              <w:jc w:val="right"/>
              <w:rPr>
                <w:b/>
                <w:bCs/>
              </w:rPr>
            </w:pPr>
            <w:r w:rsidRPr="00542129">
              <w:rPr>
                <w:b/>
                <w:bCs/>
              </w:rPr>
              <w:t>Instituto Electoral:</w:t>
            </w:r>
          </w:p>
        </w:tc>
        <w:tc>
          <w:tcPr>
            <w:tcW w:w="2958" w:type="pct"/>
            <w:shd w:val="clear" w:color="auto" w:fill="auto"/>
          </w:tcPr>
          <w:p w14:paraId="3C535AEE" w14:textId="77777777" w:rsidR="00962FF7" w:rsidRPr="004A523E" w:rsidRDefault="00962FF7" w:rsidP="00542129">
            <w:pPr>
              <w:spacing w:before="60" w:after="60"/>
              <w:ind w:left="0"/>
            </w:pPr>
            <w:r w:rsidRPr="004A523E">
              <w:t>Instituto Electoral y de Participación Ciudadana de Tabasco.</w:t>
            </w:r>
          </w:p>
        </w:tc>
      </w:tr>
      <w:tr w:rsidR="00962FF7" w:rsidRPr="004A523E" w14:paraId="396C26FA" w14:textId="77777777" w:rsidTr="00EF1A90">
        <w:trPr>
          <w:trHeight w:val="624"/>
          <w:jc w:val="center"/>
        </w:trPr>
        <w:tc>
          <w:tcPr>
            <w:tcW w:w="2042" w:type="pct"/>
            <w:shd w:val="clear" w:color="auto" w:fill="auto"/>
            <w:vAlign w:val="center"/>
          </w:tcPr>
          <w:p w14:paraId="3D4DACF9" w14:textId="77777777" w:rsidR="00962FF7" w:rsidRPr="00542129" w:rsidRDefault="00962FF7" w:rsidP="00542129">
            <w:pPr>
              <w:spacing w:before="60" w:after="60"/>
              <w:ind w:left="0"/>
              <w:jc w:val="right"/>
              <w:rPr>
                <w:b/>
                <w:bCs/>
              </w:rPr>
            </w:pPr>
            <w:r w:rsidRPr="00542129">
              <w:rPr>
                <w:b/>
                <w:bCs/>
              </w:rPr>
              <w:t>Ley de Partidos:</w:t>
            </w:r>
          </w:p>
        </w:tc>
        <w:tc>
          <w:tcPr>
            <w:tcW w:w="2958" w:type="pct"/>
            <w:shd w:val="clear" w:color="auto" w:fill="auto"/>
            <w:vAlign w:val="center"/>
          </w:tcPr>
          <w:p w14:paraId="67F1919D" w14:textId="77777777" w:rsidR="00962FF7" w:rsidRPr="004A523E" w:rsidRDefault="00962FF7" w:rsidP="00542129">
            <w:pPr>
              <w:spacing w:before="60" w:after="60"/>
              <w:ind w:left="0"/>
            </w:pPr>
            <w:r w:rsidRPr="004A523E">
              <w:t>Ley General de Partidos Políticos.</w:t>
            </w:r>
          </w:p>
        </w:tc>
      </w:tr>
      <w:tr w:rsidR="00962FF7" w:rsidRPr="004A523E" w14:paraId="209D74E7" w14:textId="77777777" w:rsidTr="00EF1A90">
        <w:trPr>
          <w:trHeight w:val="624"/>
          <w:jc w:val="center"/>
        </w:trPr>
        <w:tc>
          <w:tcPr>
            <w:tcW w:w="2042" w:type="pct"/>
            <w:shd w:val="clear" w:color="auto" w:fill="auto"/>
            <w:vAlign w:val="center"/>
          </w:tcPr>
          <w:p w14:paraId="052010BA" w14:textId="77777777" w:rsidR="00962FF7" w:rsidRPr="00542129" w:rsidRDefault="00962FF7" w:rsidP="00542129">
            <w:pPr>
              <w:spacing w:before="60" w:after="60"/>
              <w:ind w:left="0"/>
              <w:jc w:val="right"/>
              <w:rPr>
                <w:b/>
                <w:bCs/>
              </w:rPr>
            </w:pPr>
            <w:r w:rsidRPr="00542129">
              <w:rPr>
                <w:b/>
                <w:bCs/>
              </w:rPr>
              <w:t>Ley Electoral:</w:t>
            </w:r>
          </w:p>
        </w:tc>
        <w:tc>
          <w:tcPr>
            <w:tcW w:w="2958" w:type="pct"/>
            <w:shd w:val="clear" w:color="auto" w:fill="auto"/>
            <w:vAlign w:val="center"/>
          </w:tcPr>
          <w:p w14:paraId="3A2E631F" w14:textId="77777777" w:rsidR="00962FF7" w:rsidRPr="004A523E" w:rsidRDefault="00962FF7" w:rsidP="00542129">
            <w:pPr>
              <w:spacing w:before="60" w:after="60"/>
              <w:ind w:left="0"/>
            </w:pPr>
            <w:r w:rsidRPr="004A523E">
              <w:t>Ley Electoral y de Partidos Políticos del Estado de Tabasco.</w:t>
            </w:r>
          </w:p>
        </w:tc>
      </w:tr>
      <w:tr w:rsidR="00962FF7" w:rsidRPr="004A523E" w14:paraId="582DD6DD" w14:textId="77777777" w:rsidTr="00EF1A90">
        <w:trPr>
          <w:trHeight w:val="624"/>
          <w:jc w:val="center"/>
        </w:trPr>
        <w:tc>
          <w:tcPr>
            <w:tcW w:w="2042" w:type="pct"/>
            <w:shd w:val="clear" w:color="auto" w:fill="auto"/>
            <w:vAlign w:val="center"/>
          </w:tcPr>
          <w:p w14:paraId="539A972F" w14:textId="77777777" w:rsidR="00962FF7" w:rsidRPr="00542129" w:rsidRDefault="00962FF7" w:rsidP="00542129">
            <w:pPr>
              <w:spacing w:before="60" w:after="60"/>
              <w:ind w:left="0"/>
              <w:jc w:val="right"/>
              <w:rPr>
                <w:b/>
                <w:bCs/>
              </w:rPr>
            </w:pPr>
            <w:r w:rsidRPr="00542129">
              <w:rPr>
                <w:b/>
                <w:bCs/>
              </w:rPr>
              <w:t>Ley General:</w:t>
            </w:r>
          </w:p>
        </w:tc>
        <w:tc>
          <w:tcPr>
            <w:tcW w:w="2958" w:type="pct"/>
            <w:shd w:val="clear" w:color="auto" w:fill="auto"/>
            <w:vAlign w:val="center"/>
          </w:tcPr>
          <w:p w14:paraId="6CA6DB09" w14:textId="77777777" w:rsidR="00962FF7" w:rsidRPr="004A523E" w:rsidRDefault="00962FF7" w:rsidP="00542129">
            <w:pPr>
              <w:spacing w:before="60" w:after="60"/>
              <w:ind w:left="0"/>
            </w:pPr>
            <w:r w:rsidRPr="004A523E">
              <w:t>Ley General de Instituciones y Procedimientos Electorales.</w:t>
            </w:r>
          </w:p>
        </w:tc>
      </w:tr>
      <w:tr w:rsidR="00962FF7" w:rsidRPr="004A523E" w14:paraId="2D5EAE77" w14:textId="77777777" w:rsidTr="00EF1A90">
        <w:trPr>
          <w:trHeight w:val="624"/>
          <w:jc w:val="center"/>
        </w:trPr>
        <w:tc>
          <w:tcPr>
            <w:tcW w:w="2042" w:type="pct"/>
            <w:shd w:val="clear" w:color="auto" w:fill="auto"/>
            <w:vAlign w:val="center"/>
          </w:tcPr>
          <w:p w14:paraId="7198BA05" w14:textId="77777777" w:rsidR="00962FF7" w:rsidRPr="00542129" w:rsidRDefault="00962FF7" w:rsidP="00542129">
            <w:pPr>
              <w:spacing w:before="60" w:after="60"/>
              <w:ind w:left="0"/>
              <w:jc w:val="right"/>
              <w:rPr>
                <w:b/>
                <w:bCs/>
              </w:rPr>
            </w:pPr>
            <w:r w:rsidRPr="00542129">
              <w:rPr>
                <w:b/>
                <w:bCs/>
              </w:rPr>
              <w:t>Lineamientos:</w:t>
            </w:r>
          </w:p>
        </w:tc>
        <w:tc>
          <w:tcPr>
            <w:tcW w:w="2958" w:type="pct"/>
            <w:shd w:val="clear" w:color="auto" w:fill="auto"/>
            <w:vAlign w:val="center"/>
          </w:tcPr>
          <w:p w14:paraId="0B253493" w14:textId="77777777" w:rsidR="00962FF7" w:rsidRPr="004A523E" w:rsidRDefault="00962FF7" w:rsidP="00542129">
            <w:pPr>
              <w:spacing w:before="60" w:after="60"/>
              <w:ind w:left="0"/>
            </w:pPr>
            <w:r w:rsidRPr="00DD3F9A">
              <w:t xml:space="preserve">Lineamientos para el registro, seguimiento y ejecución del cobro de sanciones impuestas por el Instituto Nacional Electoral y autoridades jurisdiccionales electorales del ámbito federal y local; así como para el registro </w:t>
            </w:r>
            <w:r w:rsidRPr="00DD3F9A">
              <w:lastRenderedPageBreak/>
              <w:t>y seguimiento del reintegro o retención de los remanentes no</w:t>
            </w:r>
            <w:r>
              <w:t xml:space="preserve"> </w:t>
            </w:r>
            <w:r w:rsidRPr="00DD3F9A">
              <w:t>ejercidos del financiamiento público</w:t>
            </w:r>
            <w:r>
              <w:t xml:space="preserve"> </w:t>
            </w:r>
            <w:r w:rsidRPr="00DD3F9A">
              <w:t>para gastos de campaña.</w:t>
            </w:r>
          </w:p>
        </w:tc>
      </w:tr>
      <w:tr w:rsidR="00962FF7" w:rsidRPr="004A523E" w14:paraId="529A482B" w14:textId="77777777" w:rsidTr="00EF1A90">
        <w:trPr>
          <w:trHeight w:val="624"/>
          <w:jc w:val="center"/>
        </w:trPr>
        <w:tc>
          <w:tcPr>
            <w:tcW w:w="2042" w:type="pct"/>
            <w:shd w:val="clear" w:color="auto" w:fill="auto"/>
            <w:vAlign w:val="center"/>
          </w:tcPr>
          <w:p w14:paraId="2457D483" w14:textId="77777777" w:rsidR="00962FF7" w:rsidRPr="00542129" w:rsidRDefault="00962FF7" w:rsidP="00542129">
            <w:pPr>
              <w:spacing w:before="60" w:after="60"/>
              <w:ind w:left="0"/>
              <w:jc w:val="right"/>
              <w:rPr>
                <w:b/>
                <w:bCs/>
              </w:rPr>
            </w:pPr>
            <w:r w:rsidRPr="00542129">
              <w:rPr>
                <w:b/>
                <w:bCs/>
              </w:rPr>
              <w:lastRenderedPageBreak/>
              <w:t>Organismo electoral:</w:t>
            </w:r>
          </w:p>
        </w:tc>
        <w:tc>
          <w:tcPr>
            <w:tcW w:w="2958" w:type="pct"/>
            <w:shd w:val="clear" w:color="auto" w:fill="auto"/>
            <w:vAlign w:val="center"/>
          </w:tcPr>
          <w:p w14:paraId="588071CA" w14:textId="77777777" w:rsidR="00962FF7" w:rsidRPr="004A523E" w:rsidRDefault="00962FF7" w:rsidP="00542129">
            <w:pPr>
              <w:spacing w:before="60" w:after="60"/>
              <w:ind w:left="0"/>
            </w:pPr>
            <w:r w:rsidRPr="004A523E">
              <w:t xml:space="preserve">Organismo(s) público(s) local(es) electoral(es). </w:t>
            </w:r>
          </w:p>
        </w:tc>
      </w:tr>
      <w:tr w:rsidR="00962FF7" w:rsidRPr="004A523E" w14:paraId="52E87C58" w14:textId="77777777" w:rsidTr="00EF1A90">
        <w:trPr>
          <w:trHeight w:val="624"/>
          <w:jc w:val="center"/>
        </w:trPr>
        <w:tc>
          <w:tcPr>
            <w:tcW w:w="2042" w:type="pct"/>
            <w:shd w:val="clear" w:color="auto" w:fill="auto"/>
            <w:vAlign w:val="center"/>
          </w:tcPr>
          <w:p w14:paraId="03CF8825" w14:textId="77777777" w:rsidR="00962FF7" w:rsidRPr="00542129" w:rsidRDefault="00962FF7" w:rsidP="00542129">
            <w:pPr>
              <w:spacing w:before="60" w:after="60"/>
              <w:ind w:left="0"/>
              <w:jc w:val="right"/>
              <w:rPr>
                <w:b/>
                <w:bCs/>
              </w:rPr>
            </w:pPr>
            <w:r w:rsidRPr="00542129">
              <w:rPr>
                <w:b/>
                <w:bCs/>
              </w:rPr>
              <w:t>Reglamento de Fiscalización:</w:t>
            </w:r>
          </w:p>
        </w:tc>
        <w:tc>
          <w:tcPr>
            <w:tcW w:w="2958" w:type="pct"/>
            <w:shd w:val="clear" w:color="auto" w:fill="auto"/>
            <w:vAlign w:val="center"/>
          </w:tcPr>
          <w:p w14:paraId="4BA6A3D8" w14:textId="77777777" w:rsidR="00962FF7" w:rsidRPr="00D55905" w:rsidRDefault="00962FF7" w:rsidP="00542129">
            <w:pPr>
              <w:spacing w:before="60" w:after="60"/>
              <w:ind w:left="0"/>
            </w:pPr>
            <w:r w:rsidRPr="00852E7B">
              <w:t>Reglamento de Fiscalización del Instituto Nacional Electoral.</w:t>
            </w:r>
          </w:p>
        </w:tc>
      </w:tr>
      <w:tr w:rsidR="00962FF7" w:rsidRPr="004A523E" w14:paraId="3BA8A36D" w14:textId="77777777" w:rsidTr="00EF1A90">
        <w:trPr>
          <w:trHeight w:val="624"/>
          <w:jc w:val="center"/>
        </w:trPr>
        <w:tc>
          <w:tcPr>
            <w:tcW w:w="2042" w:type="pct"/>
            <w:shd w:val="clear" w:color="auto" w:fill="auto"/>
            <w:vAlign w:val="center"/>
          </w:tcPr>
          <w:p w14:paraId="3BF724DE" w14:textId="77777777" w:rsidR="00962FF7" w:rsidRDefault="00962FF7" w:rsidP="00542129">
            <w:pPr>
              <w:spacing w:before="60" w:after="60"/>
              <w:ind w:left="0"/>
              <w:jc w:val="right"/>
              <w:rPr>
                <w:b/>
                <w:bCs/>
              </w:rPr>
            </w:pPr>
            <w:r>
              <w:rPr>
                <w:b/>
                <w:bCs/>
              </w:rPr>
              <w:t>Sala Superior:</w:t>
            </w:r>
          </w:p>
        </w:tc>
        <w:tc>
          <w:tcPr>
            <w:tcW w:w="2958" w:type="pct"/>
            <w:shd w:val="clear" w:color="auto" w:fill="auto"/>
            <w:vAlign w:val="center"/>
          </w:tcPr>
          <w:p w14:paraId="134E3DE1" w14:textId="77777777" w:rsidR="00962FF7" w:rsidRPr="004A523E" w:rsidRDefault="00962FF7" w:rsidP="00542129">
            <w:pPr>
              <w:spacing w:before="60" w:after="60"/>
              <w:ind w:left="0"/>
            </w:pPr>
            <w:r>
              <w:t>Sala Superior del Tribunal Electoral del Poder Judicial de la Federación.</w:t>
            </w:r>
          </w:p>
        </w:tc>
      </w:tr>
      <w:tr w:rsidR="00962FF7" w:rsidRPr="004A523E" w14:paraId="0F1BB1D7" w14:textId="77777777" w:rsidTr="00EF1A90">
        <w:trPr>
          <w:trHeight w:val="624"/>
          <w:jc w:val="center"/>
        </w:trPr>
        <w:tc>
          <w:tcPr>
            <w:tcW w:w="2042" w:type="pct"/>
            <w:shd w:val="clear" w:color="auto" w:fill="auto"/>
            <w:vAlign w:val="center"/>
          </w:tcPr>
          <w:p w14:paraId="4F925966" w14:textId="77777777" w:rsidR="00962FF7" w:rsidRPr="00542129" w:rsidRDefault="00962FF7" w:rsidP="00542129">
            <w:pPr>
              <w:spacing w:before="60" w:after="60"/>
              <w:ind w:left="0"/>
              <w:jc w:val="right"/>
              <w:rPr>
                <w:b/>
                <w:bCs/>
              </w:rPr>
            </w:pPr>
            <w:r>
              <w:rPr>
                <w:b/>
                <w:bCs/>
              </w:rPr>
              <w:t>Sala Xalapa:</w:t>
            </w:r>
          </w:p>
        </w:tc>
        <w:tc>
          <w:tcPr>
            <w:tcW w:w="2958" w:type="pct"/>
            <w:shd w:val="clear" w:color="auto" w:fill="auto"/>
            <w:vAlign w:val="center"/>
          </w:tcPr>
          <w:p w14:paraId="3C7C7EDD" w14:textId="77777777" w:rsidR="00962FF7" w:rsidRPr="004A523E" w:rsidRDefault="00962FF7" w:rsidP="00542129">
            <w:pPr>
              <w:spacing w:before="60" w:after="60"/>
              <w:ind w:left="0"/>
            </w:pPr>
            <w:r w:rsidRPr="00E306E3">
              <w:t xml:space="preserve">Sala </w:t>
            </w:r>
            <w:r>
              <w:t>Regional de la III Circunscripción</w:t>
            </w:r>
            <w:r w:rsidRPr="00E306E3">
              <w:t xml:space="preserve"> </w:t>
            </w:r>
            <w:r>
              <w:t xml:space="preserve">Plurinominal </w:t>
            </w:r>
            <w:r w:rsidRPr="00E306E3">
              <w:t>del Tribunal Electoral del Poder Judicial de la Federación</w:t>
            </w:r>
            <w:r>
              <w:t>, con sede en Xalapa, Veracruz.</w:t>
            </w:r>
          </w:p>
        </w:tc>
      </w:tr>
      <w:tr w:rsidR="00962FF7" w:rsidRPr="004A523E" w14:paraId="65BD90F8" w14:textId="77777777" w:rsidTr="00EF1A90">
        <w:trPr>
          <w:trHeight w:val="624"/>
          <w:jc w:val="center"/>
        </w:trPr>
        <w:tc>
          <w:tcPr>
            <w:tcW w:w="2042" w:type="pct"/>
            <w:shd w:val="clear" w:color="auto" w:fill="auto"/>
            <w:vAlign w:val="center"/>
          </w:tcPr>
          <w:p w14:paraId="34823882" w14:textId="77777777" w:rsidR="00962FF7" w:rsidRPr="00542129" w:rsidRDefault="00962FF7" w:rsidP="00542129">
            <w:pPr>
              <w:spacing w:before="60" w:after="60"/>
              <w:ind w:left="0"/>
              <w:jc w:val="right"/>
              <w:rPr>
                <w:b/>
                <w:bCs/>
              </w:rPr>
            </w:pPr>
            <w:r w:rsidRPr="00542129">
              <w:rPr>
                <w:b/>
                <w:bCs/>
              </w:rPr>
              <w:t>Secretaría Ejecutiva:</w:t>
            </w:r>
          </w:p>
        </w:tc>
        <w:tc>
          <w:tcPr>
            <w:tcW w:w="2958" w:type="pct"/>
            <w:shd w:val="clear" w:color="auto" w:fill="auto"/>
            <w:vAlign w:val="center"/>
          </w:tcPr>
          <w:p w14:paraId="02BE9DEF" w14:textId="77777777" w:rsidR="00962FF7" w:rsidRPr="004A523E" w:rsidRDefault="00962FF7" w:rsidP="00542129">
            <w:pPr>
              <w:spacing w:before="60" w:after="60"/>
              <w:ind w:left="0"/>
            </w:pPr>
            <w:r w:rsidRPr="004A523E">
              <w:t>Secretaría Ejecutiva del Instituto Electoral y de Participación Ciudadana de Tabasco.</w:t>
            </w:r>
          </w:p>
        </w:tc>
      </w:tr>
    </w:tbl>
    <w:p w14:paraId="066F735F" w14:textId="4F679273" w:rsidR="009F0617" w:rsidRDefault="009F0617" w:rsidP="00C17A56"/>
    <w:p w14:paraId="536A1B0B" w14:textId="68D18D60" w:rsidR="009F0617" w:rsidRPr="009F0617" w:rsidRDefault="009F0617" w:rsidP="004E2378">
      <w:pPr>
        <w:pStyle w:val="Ttulo1"/>
      </w:pPr>
      <w:r w:rsidRPr="004E2378">
        <w:t>Antecedentes</w:t>
      </w:r>
    </w:p>
    <w:p w14:paraId="2C1EF5BD" w14:textId="29A6881B" w:rsidR="002056E1" w:rsidRDefault="002056E1" w:rsidP="002056E1">
      <w:pPr>
        <w:pStyle w:val="Ttulo2"/>
      </w:pPr>
      <w:r w:rsidRPr="002056E1">
        <w:t>Pérdida de acreditación de</w:t>
      </w:r>
      <w:r w:rsidR="006E3023">
        <w:t xml:space="preserve"> partidos políticos nacionales</w:t>
      </w:r>
    </w:p>
    <w:p w14:paraId="083AB01C" w14:textId="154DAE51" w:rsidR="002056E1" w:rsidRDefault="002056E1" w:rsidP="002056E1">
      <w:r w:rsidRPr="002056E1">
        <w:t xml:space="preserve">El </w:t>
      </w:r>
      <w:r>
        <w:t xml:space="preserve">14 </w:t>
      </w:r>
      <w:r w:rsidRPr="002056E1">
        <w:t xml:space="preserve">de diciembre del año </w:t>
      </w:r>
      <w:r>
        <w:t>2021</w:t>
      </w:r>
      <w:r w:rsidRPr="002056E1">
        <w:t xml:space="preserve">, el Consejo Estatal mediante acuerdo CE/2021/092 determinó la pérdida de acreditación ante este Instituto Electoral de los partidos políticos nacionales Acción Nacional y del Trabajo, </w:t>
      </w:r>
      <w:r w:rsidR="00065FC9" w:rsidRPr="002056E1">
        <w:t>ya que,</w:t>
      </w:r>
      <w:r w:rsidRPr="002056E1">
        <w:t xml:space="preserve"> si bien conservaron su registro, no alcanzaron por lo menos el tres por ciento de la votación válida emitida en alguna de las elecciones ordinarias para diputaciones o presidencias municipales y regidurías e</w:t>
      </w:r>
      <w:r w:rsidR="00B92E1A">
        <w:t>n el Proceso Electoral 2020 – 2021.</w:t>
      </w:r>
    </w:p>
    <w:p w14:paraId="57CE92F1" w14:textId="3871FE6F" w:rsidR="00AE4B56" w:rsidRDefault="00AE4B56" w:rsidP="00C17A56">
      <w:pPr>
        <w:pStyle w:val="Ttulo2"/>
      </w:pPr>
      <w:r>
        <w:t xml:space="preserve">Dictamen Consolidado </w:t>
      </w:r>
    </w:p>
    <w:p w14:paraId="3297C622" w14:textId="637DA41A" w:rsidR="00AE4B56" w:rsidRDefault="00AE4B56" w:rsidP="00C17A56">
      <w:r>
        <w:t>El 25 de febrero de 2022</w:t>
      </w:r>
      <w:r w:rsidR="0025759B">
        <w:t>,</w:t>
      </w:r>
      <w:r>
        <w:t xml:space="preserve"> el Consejo General del INE a propuesta de la Comisión de Fiscalización</w:t>
      </w:r>
      <w:r w:rsidR="001B6C0D">
        <w:t>, aprobó</w:t>
      </w:r>
      <w:r>
        <w:t xml:space="preserve"> el dictamen consolidado INE/CG106/2022 relacionado con la revisión a los informes anuales de los ingresos y gastos que presenta</w:t>
      </w:r>
      <w:r w:rsidR="00F84C2D">
        <w:t>ron</w:t>
      </w:r>
      <w:r>
        <w:t xml:space="preserve"> los partidos políticos nacionales y locales</w:t>
      </w:r>
      <w:r w:rsidR="0075079C">
        <w:t>,</w:t>
      </w:r>
      <w:r>
        <w:t xml:space="preserve"> correspondiente al ejercicio 2020.</w:t>
      </w:r>
    </w:p>
    <w:p w14:paraId="5F2EA4EE" w14:textId="3E884C96" w:rsidR="00102018" w:rsidRDefault="00102018" w:rsidP="00C17A56">
      <w:pPr>
        <w:pStyle w:val="Ttulo2"/>
      </w:pPr>
      <w:r>
        <w:lastRenderedPageBreak/>
        <w:t xml:space="preserve">Determinación de sanciones a los partidos políticos </w:t>
      </w:r>
    </w:p>
    <w:p w14:paraId="1B7A311B" w14:textId="577A1373" w:rsidR="00102018" w:rsidRDefault="00102018" w:rsidP="00C17A56">
      <w:r>
        <w:t>El 25 de febrero de 2022</w:t>
      </w:r>
      <w:r w:rsidR="0025759B">
        <w:t>,</w:t>
      </w:r>
      <w:r>
        <w:t xml:space="preserve"> el Consejo General del INE aprobó las resoluciones </w:t>
      </w:r>
      <w:r w:rsidR="00B72336" w:rsidRPr="00B72336">
        <w:t xml:space="preserve">INE/CG108/2022, INE/CG109/2022, </w:t>
      </w:r>
      <w:r w:rsidR="003B6331" w:rsidRPr="00B72336">
        <w:t>INE/CG11</w:t>
      </w:r>
      <w:r w:rsidR="003B6331">
        <w:t>0</w:t>
      </w:r>
      <w:r w:rsidR="003B6331" w:rsidRPr="00B72336">
        <w:t>/2022</w:t>
      </w:r>
      <w:r w:rsidR="003B6331">
        <w:t>,</w:t>
      </w:r>
      <w:r w:rsidR="003B6331" w:rsidRPr="00B72336">
        <w:t xml:space="preserve"> </w:t>
      </w:r>
      <w:r w:rsidR="00B72336" w:rsidRPr="00B72336">
        <w:t>INE/CG111/2022 e INE/CG113/2022</w:t>
      </w:r>
      <w:r w:rsidR="00B72336">
        <w:t xml:space="preserve"> </w:t>
      </w:r>
      <w:r>
        <w:t xml:space="preserve">mediante las que impuso diversas sanciones a los partidos políticos: Revolucionario Institucional, de la Revolución Democrática, Verde Ecologista de México y Morena, con motivo de las irregularidades encontradas en </w:t>
      </w:r>
      <w:r w:rsidR="008C06B0">
        <w:t>el</w:t>
      </w:r>
      <w:r>
        <w:t xml:space="preserve"> dict</w:t>
      </w:r>
      <w:r w:rsidR="008C06B0">
        <w:t>a</w:t>
      </w:r>
      <w:r>
        <w:t>men consolidado de la revisión de los informes anuales de ingresos y gastos del año 2020.</w:t>
      </w:r>
    </w:p>
    <w:p w14:paraId="39BA88D7" w14:textId="3A412615" w:rsidR="00102018" w:rsidRDefault="00E52EB9" w:rsidP="00C17A56">
      <w:pPr>
        <w:pStyle w:val="Ttulo2"/>
      </w:pPr>
      <w:r>
        <w:t>I</w:t>
      </w:r>
      <w:r w:rsidR="00102018">
        <w:t>mpugnación del Partido Revolucionario Institucional</w:t>
      </w:r>
    </w:p>
    <w:p w14:paraId="370E8445" w14:textId="08F0ECCD" w:rsidR="002846ED" w:rsidRDefault="00102018" w:rsidP="00C17A56">
      <w:r>
        <w:t>El 03 de marzo de 2022</w:t>
      </w:r>
      <w:r w:rsidR="0025759B">
        <w:t>,</w:t>
      </w:r>
      <w:r>
        <w:t xml:space="preserve"> el Partido Revolucionario Institucional</w:t>
      </w:r>
      <w:r w:rsidR="002846ED">
        <w:t xml:space="preserve"> controvirtió el dictamen consolidado INE/CG106/2022 y promovió recurso de apelación en contra de la resolución INE/CG108/2022 aprobada por el Consejo General del INE.</w:t>
      </w:r>
    </w:p>
    <w:p w14:paraId="59CB4E84" w14:textId="4BBF3F7F" w:rsidR="002846ED" w:rsidRDefault="002846ED" w:rsidP="00C17A56">
      <w:r>
        <w:t>El 17 de marzo de 2022</w:t>
      </w:r>
      <w:r w:rsidR="0025759B">
        <w:t>,</w:t>
      </w:r>
      <w:r>
        <w:t xml:space="preserve"> la Sala Regional Xalapa resolvió el recurso de apelación SX-RAP-020/2022 modificando las conclusiones 2.28-C6-PRI-TB y 2.28-C9-PRI-TB. En acatamiento a lo anterior, el 29 de marzo de 2022, </w:t>
      </w:r>
      <w:r w:rsidR="003145E8">
        <w:t xml:space="preserve">el </w:t>
      </w:r>
      <w:r>
        <w:t>Consejo General del INE aprobó la resolución</w:t>
      </w:r>
      <w:r w:rsidR="00102018">
        <w:t xml:space="preserve"> INE/CG190/2022 </w:t>
      </w:r>
      <w:r>
        <w:t xml:space="preserve">y con ello modificó </w:t>
      </w:r>
      <w:r w:rsidR="00DD2543">
        <w:t xml:space="preserve">la sanción establecida en </w:t>
      </w:r>
      <w:r w:rsidR="00102018">
        <w:t xml:space="preserve">la </w:t>
      </w:r>
      <w:r>
        <w:t>r</w:t>
      </w:r>
      <w:r w:rsidR="00102018">
        <w:t>esolución INE/CG108/2022</w:t>
      </w:r>
      <w:r>
        <w:t>, en lo relativo al Parti</w:t>
      </w:r>
      <w:r w:rsidR="003145E8">
        <w:t>do Revolucionario Institucional en la entidad.</w:t>
      </w:r>
    </w:p>
    <w:p w14:paraId="34B25B50" w14:textId="176AAAB3" w:rsidR="00907666" w:rsidRDefault="00907666" w:rsidP="00C17A56">
      <w:pPr>
        <w:pStyle w:val="Ttulo2"/>
      </w:pPr>
      <w:r>
        <w:t>Impugnación del Partido Morena</w:t>
      </w:r>
    </w:p>
    <w:p w14:paraId="123DA29B" w14:textId="5FA3B54B" w:rsidR="00907666" w:rsidRDefault="00907666" w:rsidP="00C17A56">
      <w:r>
        <w:t>El 03 de marzo de 2022</w:t>
      </w:r>
      <w:r w:rsidR="0025759B">
        <w:t>,</w:t>
      </w:r>
      <w:r>
        <w:t xml:space="preserve"> el </w:t>
      </w:r>
      <w:r w:rsidR="0081739C">
        <w:t>P</w:t>
      </w:r>
      <w:r>
        <w:t xml:space="preserve">artido Morena </w:t>
      </w:r>
      <w:r w:rsidR="0081739C">
        <w:t xml:space="preserve">se inconformó en contra de la resolución </w:t>
      </w:r>
      <w:r w:rsidR="0081739C" w:rsidRPr="0081739C">
        <w:t xml:space="preserve">INE/CG113/2022 </w:t>
      </w:r>
      <w:r w:rsidR="0081739C">
        <w:t>aprobada</w:t>
      </w:r>
      <w:r w:rsidR="0081739C" w:rsidRPr="0081739C">
        <w:t xml:space="preserve"> por el Consejo General del INE</w:t>
      </w:r>
      <w:r w:rsidR="0081739C">
        <w:t xml:space="preserve">. </w:t>
      </w:r>
      <w:r>
        <w:t>El 18 de abril de 2022</w:t>
      </w:r>
      <w:r w:rsidR="008309BE">
        <w:t>,</w:t>
      </w:r>
      <w:r>
        <w:t xml:space="preserve"> la Sala Regional Xalapa </w:t>
      </w:r>
      <w:r w:rsidR="008309BE">
        <w:t xml:space="preserve">al resolver el recurso de apelación </w:t>
      </w:r>
      <w:r>
        <w:t xml:space="preserve">SX-RAP-047/2022 y </w:t>
      </w:r>
      <w:r w:rsidR="008309BE">
        <w:t xml:space="preserve">sus </w:t>
      </w:r>
      <w:r>
        <w:t xml:space="preserve">acumulados, confirmó </w:t>
      </w:r>
      <w:r w:rsidR="008309BE">
        <w:t xml:space="preserve">la resolución mencionada. </w:t>
      </w:r>
    </w:p>
    <w:p w14:paraId="6ED81286" w14:textId="41BBFEEA" w:rsidR="00907666" w:rsidRDefault="008309BE" w:rsidP="00C17A56">
      <w:r>
        <w:t>Inconforme con lo anterior, el 21 de abril de 2022</w:t>
      </w:r>
      <w:r w:rsidR="0025759B">
        <w:t>,</w:t>
      </w:r>
      <w:r>
        <w:t xml:space="preserve"> el Partido Morena promovió recurso de reconsideración ante la Sala Superior. </w:t>
      </w:r>
      <w:r w:rsidR="00907666">
        <w:t xml:space="preserve">El 08 de junio de 2022, </w:t>
      </w:r>
      <w:r>
        <w:t xml:space="preserve">el órgano jurisdiccional </w:t>
      </w:r>
      <w:r w:rsidR="00907666">
        <w:t xml:space="preserve">resolvió el expediente SUP-REC-186/2022 </w:t>
      </w:r>
      <w:r>
        <w:t xml:space="preserve">revocando lisa </w:t>
      </w:r>
      <w:r w:rsidR="00907666">
        <w:t>y llanamente, lo que fue materia de impugnación.</w:t>
      </w:r>
    </w:p>
    <w:p w14:paraId="1AD3CAB2" w14:textId="1F419903" w:rsidR="00074656" w:rsidRPr="009F0617" w:rsidRDefault="00074656" w:rsidP="00C17A56">
      <w:pPr>
        <w:pStyle w:val="Ttulo2"/>
      </w:pPr>
      <w:r>
        <w:t>Determinación del Financiamiento Público Local</w:t>
      </w:r>
    </w:p>
    <w:p w14:paraId="4A13D41F" w14:textId="120A470B" w:rsidR="00074656" w:rsidRDefault="00C67EDD" w:rsidP="00C17A56">
      <w:r w:rsidRPr="00C67EDD">
        <w:t>El 15 de septiembre de 2022</w:t>
      </w:r>
      <w:r w:rsidR="0025759B">
        <w:t>,</w:t>
      </w:r>
      <w:r w:rsidRPr="00C67EDD">
        <w:t xml:space="preserve"> el Consejo Estatal mediante acuerdo CE/2022/027 determinó y distribuyó los montos del financiamiento público local correspondiente a los partidos políticos para el sostenimiento de sus actividades ordinarias permanentes y especificas durante el ejercicio 2023. </w:t>
      </w:r>
    </w:p>
    <w:p w14:paraId="20AA3779" w14:textId="4BF5E01D" w:rsidR="004344F4" w:rsidRPr="00E56ED8" w:rsidRDefault="004344F4" w:rsidP="00C17A56">
      <w:pPr>
        <w:pStyle w:val="Ttulo2"/>
      </w:pPr>
      <w:r w:rsidRPr="00E56ED8">
        <w:lastRenderedPageBreak/>
        <w:t xml:space="preserve">Reforma </w:t>
      </w:r>
      <w:r w:rsidR="00F5080F">
        <w:t>a la legislación electoral federal</w:t>
      </w:r>
    </w:p>
    <w:p w14:paraId="23340F68" w14:textId="0D728065" w:rsidR="004344F4" w:rsidRDefault="004344F4" w:rsidP="00C17A56">
      <w:r>
        <w:t xml:space="preserve">El 2 de marzo de 2023, se publicó en el Diario Oficial de la Federación el decreto por el que se reformaron, adicionaron y derogaron </w:t>
      </w:r>
      <w:r w:rsidRPr="004344F4">
        <w:t xml:space="preserve">diversas disposiciones de la Ley General, la Ley </w:t>
      </w:r>
      <w:r w:rsidR="00BD0CDF" w:rsidRPr="004344F4">
        <w:t>de Partidos</w:t>
      </w:r>
      <w:r w:rsidRPr="004344F4">
        <w:t xml:space="preserve">, </w:t>
      </w:r>
      <w:r w:rsidR="00E56ED8" w:rsidRPr="004344F4">
        <w:t>de la</w:t>
      </w:r>
      <w:r w:rsidRPr="004344F4">
        <w:t xml:space="preserve"> Ley Orgánica del Poder Judicial de la Federación y se </w:t>
      </w:r>
      <w:r>
        <w:t xml:space="preserve">expidió </w:t>
      </w:r>
      <w:r w:rsidRPr="004344F4">
        <w:t xml:space="preserve">la Ley General </w:t>
      </w:r>
      <w:r w:rsidR="00413D49" w:rsidRPr="004344F4">
        <w:t xml:space="preserve">de </w:t>
      </w:r>
      <w:r w:rsidRPr="004344F4">
        <w:t>Medios de Impugnación en Materia Electoral.</w:t>
      </w:r>
    </w:p>
    <w:p w14:paraId="7CB456B0" w14:textId="43BF3193" w:rsidR="00413D49" w:rsidRDefault="005E78B3" w:rsidP="00C17A56">
      <w:pPr>
        <w:pStyle w:val="Ttulo2"/>
      </w:pPr>
      <w:r>
        <w:t xml:space="preserve">Firmeza </w:t>
      </w:r>
      <w:r w:rsidR="00413D49">
        <w:t xml:space="preserve">de </w:t>
      </w:r>
      <w:r>
        <w:t xml:space="preserve">las </w:t>
      </w:r>
      <w:r w:rsidR="00413D49">
        <w:t>sanciones</w:t>
      </w:r>
    </w:p>
    <w:p w14:paraId="1C71C83C" w14:textId="4EDFDF77" w:rsidR="00413D49" w:rsidRDefault="00413D49" w:rsidP="00C17A56">
      <w:r>
        <w:t xml:space="preserve">El 9 de marzo de 2023, el titular del Órgano Técnico de Fiscalización mediante oficio OTF/017/2023 hizo del conocimiento de la Secretaría Ejecutiva, la firmeza de las sanciones establecidas para los partidos políticos Revolucionario Institucional, de la Revolución Democrática, del Trabajo, Verde Ecologista de México y Morena, derivadas del dictamen consolidado INE/CG106/2022 presentado por la Comisión de Fiscalización al Consejo General del INE respecto de la revisión de los informes anuales de los ingresos y gastos presentados por los partidos políticos nacionales y locales correspondientes al ejercicio 2020, mediante resoluciones </w:t>
      </w:r>
      <w:bookmarkStart w:id="0" w:name="_Hlk130231273"/>
      <w:r>
        <w:t>INE/CG108/2022</w:t>
      </w:r>
      <w:bookmarkEnd w:id="0"/>
      <w:r w:rsidR="005F1FA8">
        <w:t xml:space="preserve">, INE/CG109/2022, </w:t>
      </w:r>
      <w:r w:rsidR="00780B7B" w:rsidRPr="00780B7B">
        <w:t>INE/CG11</w:t>
      </w:r>
      <w:r w:rsidR="00780B7B">
        <w:t>0</w:t>
      </w:r>
      <w:r w:rsidR="00780B7B" w:rsidRPr="00780B7B">
        <w:t>/2022</w:t>
      </w:r>
      <w:r w:rsidR="00780B7B">
        <w:t>,</w:t>
      </w:r>
      <w:r w:rsidR="00780B7B" w:rsidRPr="00780B7B">
        <w:t xml:space="preserve"> </w:t>
      </w:r>
      <w:r>
        <w:t>INE/CG111/2022 e INE/CG113/2022</w:t>
      </w:r>
      <w:r w:rsidR="00C527EF">
        <w:t>.</w:t>
      </w:r>
    </w:p>
    <w:p w14:paraId="2AB7A883" w14:textId="77777777" w:rsidR="00301F08" w:rsidRPr="00E1376D" w:rsidRDefault="00301F08" w:rsidP="004E2378">
      <w:pPr>
        <w:pStyle w:val="Ttulo1"/>
      </w:pPr>
      <w:r w:rsidRPr="00425D47">
        <w:t>Considerando</w:t>
      </w:r>
    </w:p>
    <w:p w14:paraId="62C87EB5" w14:textId="77777777" w:rsidR="00301F08" w:rsidRPr="00E1376D" w:rsidRDefault="00301F08" w:rsidP="00C17A56">
      <w:pPr>
        <w:pStyle w:val="Ttulo2"/>
      </w:pPr>
      <w:r w:rsidRPr="00E1376D">
        <w:t xml:space="preserve">Fines del Instituto </w:t>
      </w:r>
      <w:r w:rsidRPr="009C65FD">
        <w:t>Electoral</w:t>
      </w:r>
      <w:r w:rsidRPr="00E1376D">
        <w:t xml:space="preserve"> </w:t>
      </w:r>
    </w:p>
    <w:p w14:paraId="40B1CCC8" w14:textId="77777777" w:rsidR="00301F08" w:rsidRPr="00E1376D" w:rsidRDefault="00301F08" w:rsidP="00C17A56">
      <w:r w:rsidRPr="00E1376D">
        <w:t>Que, de conformidad con los artículos 9, apartado C, fracción I, de la Constitución Local, 3 numeral 3, 100 y 102 numeral 1, de la Ley Electoral, el Instituto Electoral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0009E522" w14:textId="77777777" w:rsidR="00301F08" w:rsidRPr="00E1376D" w:rsidRDefault="00301F08" w:rsidP="00C17A56">
      <w:r w:rsidRPr="00E1376D">
        <w:t xml:space="preserve">De acuerdo con el artículo 101 de la Ley Electoral, el Instituto Electoral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w:t>
      </w:r>
      <w:r w:rsidRPr="00E1376D">
        <w:lastRenderedPageBreak/>
        <w:t>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6A7FFFA" w14:textId="77777777" w:rsidR="00301F08" w:rsidRPr="00E1376D" w:rsidRDefault="00301F08" w:rsidP="00C17A56">
      <w:pPr>
        <w:pStyle w:val="Ttulo2"/>
      </w:pPr>
      <w:r w:rsidRPr="00E1376D">
        <w:t>Órganos Centrales del Instituto Electoral</w:t>
      </w:r>
    </w:p>
    <w:p w14:paraId="4613DD42" w14:textId="77777777" w:rsidR="00301F08" w:rsidRPr="00E1376D" w:rsidRDefault="00301F08" w:rsidP="00C17A56">
      <w:r w:rsidRPr="00E1376D">
        <w:t>Que, el artículo 105 de la Ley Electoral, señala que el Consejo Estatal; la Presidencia del Consejo Estatal; la Junta Estatal Ejecutiva, la Secretaría Ejecutiva y el Órgano Técnico de Fiscalización, constituyen los órganos centrales del Instituto Electoral.</w:t>
      </w:r>
    </w:p>
    <w:p w14:paraId="031C0065" w14:textId="77777777" w:rsidR="00301F08" w:rsidRPr="00E1376D" w:rsidRDefault="00301F08" w:rsidP="00C17A56">
      <w:pPr>
        <w:pStyle w:val="Ttulo2"/>
      </w:pPr>
      <w:r w:rsidRPr="00E1376D">
        <w:t>Órgano Superior de Dirección del Instituto Electoral</w:t>
      </w:r>
    </w:p>
    <w:p w14:paraId="6447D4AB" w14:textId="77777777" w:rsidR="00301F08" w:rsidRPr="00E1376D" w:rsidRDefault="00301F08" w:rsidP="00C17A56">
      <w:r w:rsidRPr="00E1376D">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 Electoral.</w:t>
      </w:r>
    </w:p>
    <w:p w14:paraId="0A2817FC" w14:textId="05D4E7E2" w:rsidR="00440ABC" w:rsidRDefault="00440ABC" w:rsidP="00C17A56">
      <w:pPr>
        <w:pStyle w:val="Ttulo2"/>
      </w:pPr>
      <w:r w:rsidRPr="00440ABC">
        <w:t>Facultad de los organismos electorales de aplicar reglas, lineamientos, criterios emitidos por el INE</w:t>
      </w:r>
    </w:p>
    <w:p w14:paraId="2E3263B0" w14:textId="205F7C16" w:rsidR="00440ABC" w:rsidRPr="00E1376D" w:rsidRDefault="00440ABC" w:rsidP="00C17A56">
      <w:r w:rsidRPr="00440ABC">
        <w:t>Que, el artículo 104, numeral 1, inciso a), de la Ley General, establece que corresponde a los organismos electorales la aplicación de las disposiciones generales, reglas, lineamientos, criterios y formatos que, determine el INE en ejercicio de las facultades que le confiere la Constitución Federal y dicha Ley.</w:t>
      </w:r>
    </w:p>
    <w:p w14:paraId="7735EDB5" w14:textId="0DF6C6C4" w:rsidR="007B6825" w:rsidRDefault="007B6825" w:rsidP="00C17A56">
      <w:pPr>
        <w:pStyle w:val="Ttulo2"/>
      </w:pPr>
      <w:r>
        <w:t>Atribución para fiscalizar a los partidos políticos y candidatas o candidatos</w:t>
      </w:r>
    </w:p>
    <w:p w14:paraId="1B4A0126" w14:textId="27F9F469" w:rsidR="007B6825" w:rsidRDefault="007B6825" w:rsidP="00C17A56">
      <w:r>
        <w:t>Que, de conformidad con lo preceptuado por los artículos 41, Base V, Apartado B, inciso a), numeral 6; 32 numeral 1, inciso a), fracción VI y 190, numeral 2 de la Ley General, es atribución del INE la fiscalización de los ingresos y egresos de los partidos políticos y candidaturas, correspondiendo al Consejo General del INE por conducto de su Comisión de Fiscalización.</w:t>
      </w:r>
    </w:p>
    <w:p w14:paraId="5C4B8366" w14:textId="0EB468BE" w:rsidR="007B6825" w:rsidRDefault="007B6825" w:rsidP="00C17A56">
      <w:pPr>
        <w:pStyle w:val="Ttulo2"/>
      </w:pPr>
      <w:r>
        <w:lastRenderedPageBreak/>
        <w:t>Procedimiento de Fiscalización</w:t>
      </w:r>
    </w:p>
    <w:p w14:paraId="70438D6B" w14:textId="5EBEE45C" w:rsidR="007B6825" w:rsidRDefault="007B6825" w:rsidP="00C17A56">
      <w:r>
        <w:t>Que, de conformidad con el artículo 287 del Reglamento de Fiscalización, el procedimiento comprende el ejercicio de las funciones de comprobación, investigación, información y asesoramiento, que tiene por objeto verificar la veracidad de lo reportado por los sujetos obligados, así como el cumplimiento de las obligaciones que en materia de financiamiento y gasto establecen las leyes de la materia y, en su caso, la imposición de sanciones, de conformidad con la Ley de Partidos, Ley General y demás disposiciones.</w:t>
      </w:r>
    </w:p>
    <w:p w14:paraId="369E5200" w14:textId="72BC88B6" w:rsidR="00E83DFD" w:rsidRDefault="00E83DFD" w:rsidP="00C17A56">
      <w:pPr>
        <w:pStyle w:val="Ttulo2"/>
      </w:pPr>
      <w:r>
        <w:t xml:space="preserve">Presentación de informes </w:t>
      </w:r>
    </w:p>
    <w:p w14:paraId="02DF54F5" w14:textId="2D9780FD" w:rsidR="00AD1FE2" w:rsidRDefault="00E83DFD" w:rsidP="00C17A56">
      <w:r>
        <w:t xml:space="preserve">Que, </w:t>
      </w:r>
      <w:r w:rsidR="00AD1FE2" w:rsidRPr="00AD1FE2">
        <w:t>de c</w:t>
      </w:r>
      <w:r w:rsidR="00AD1FE2">
        <w:t>onformidad con los artículos 77</w:t>
      </w:r>
      <w:r w:rsidR="00AD1FE2" w:rsidRPr="00AD1FE2">
        <w:t xml:space="preserve"> numeral 2, 78 numeral 1, y 22 del Reglamento,  los informes presentados por partidos políticos serán mensuales, trimestrales y anuales, así mismo la revisión del origen y destino de recursos ordinarios y de campaña, según corresponda, al igual que la práctica de auditorías sobre el manejo de sus recursos y su situación contable y financiera estará a cargo del Consejo General del </w:t>
      </w:r>
      <w:r w:rsidR="00AD1FE2">
        <w:t>INE</w:t>
      </w:r>
      <w:r w:rsidR="00AD1FE2" w:rsidRPr="00AD1FE2">
        <w:t xml:space="preserve">, a través de la Comisión de Fiscalización la cual estará a cargo de la elaboración y presentación al Consejo General del dictamen consolidado y proyecto de resolución de los diversos informes que están obligados a presentar los partidos políticos.  </w:t>
      </w:r>
    </w:p>
    <w:p w14:paraId="08752A59" w14:textId="69C9ABEB" w:rsidR="003723D8" w:rsidRDefault="003723D8" w:rsidP="00C17A56">
      <w:pPr>
        <w:pStyle w:val="Ttulo2"/>
      </w:pPr>
      <w:r>
        <w:t xml:space="preserve">Emisión y </w:t>
      </w:r>
      <w:r w:rsidR="00B9737A">
        <w:t>e</w:t>
      </w:r>
      <w:r w:rsidR="00E31C95">
        <w:t>jecución de s</w:t>
      </w:r>
      <w:r>
        <w:t xml:space="preserve">anciones </w:t>
      </w:r>
    </w:p>
    <w:p w14:paraId="78183305" w14:textId="6C1B280D" w:rsidR="003723D8" w:rsidRDefault="003723D8" w:rsidP="00C17A56">
      <w:r>
        <w:t xml:space="preserve">Que, en términos del artículo 7 y 8 de los Lineamientos, efectuada la revisión de ingresos, gastos y registros de procesos electorales ordinarios o extraordinarios o del período ordinario, el Consejo General del INE emitirá los </w:t>
      </w:r>
      <w:r w:rsidR="000B3E65">
        <w:t>d</w:t>
      </w:r>
      <w:r>
        <w:t xml:space="preserve">ictámenes y </w:t>
      </w:r>
      <w:r w:rsidR="000B3E65">
        <w:t>r</w:t>
      </w:r>
      <w:r>
        <w:t xml:space="preserve">esoluciones correspondientes, una vez aprobados, en los casos que se determinen sanciones económicas se informará a los </w:t>
      </w:r>
      <w:r w:rsidR="000B3E65">
        <w:t>o</w:t>
      </w:r>
      <w:r>
        <w:t xml:space="preserve">rganismos </w:t>
      </w:r>
      <w:r w:rsidR="000B3E65">
        <w:t>e</w:t>
      </w:r>
      <w:r>
        <w:t>lectorales para que, en el ámbito de sus atribuciones, ejecuten las sanciones impuestas.</w:t>
      </w:r>
    </w:p>
    <w:p w14:paraId="35D336AF" w14:textId="2A7AE1E2" w:rsidR="00301F08" w:rsidRPr="00E1376D" w:rsidRDefault="00301F08" w:rsidP="00C17A56">
      <w:pPr>
        <w:pStyle w:val="Ttulo2"/>
      </w:pPr>
      <w:r w:rsidRPr="00E1376D">
        <w:t xml:space="preserve">Competencia del Consejo </w:t>
      </w:r>
      <w:r w:rsidRPr="006960EF">
        <w:t>Estatal</w:t>
      </w:r>
      <w:r w:rsidRPr="00E1376D">
        <w:t xml:space="preserve"> </w:t>
      </w:r>
    </w:p>
    <w:p w14:paraId="082747FC" w14:textId="38DD05C2" w:rsidR="009D3A4A" w:rsidRDefault="00301F08" w:rsidP="00C17A56">
      <w:r w:rsidRPr="00215F05">
        <w:t xml:space="preserve">Que, </w:t>
      </w:r>
      <w:r w:rsidR="00870751">
        <w:t>el artículo 115 numeral 1, fracción I de la Ley Electoral, dispone que, es atribución del Consejo Estatal, a</w:t>
      </w:r>
      <w:r w:rsidR="00870751" w:rsidRPr="00870751">
        <w:t xml:space="preserve">plicar las disposiciones generales, reglas, lineamientos, criterios y formatos que, en ejercicio de las facultades que le confieren la Constitución Federal y la Ley General, establezca el </w:t>
      </w:r>
      <w:r w:rsidR="00870751">
        <w:t xml:space="preserve">INE. En ese tenor, </w:t>
      </w:r>
      <w:r w:rsidR="009D3A4A" w:rsidRPr="009D3A4A">
        <w:t xml:space="preserve">el artículo </w:t>
      </w:r>
      <w:r w:rsidR="009D3A4A">
        <w:t>s</w:t>
      </w:r>
      <w:r w:rsidR="009D3A4A" w:rsidRPr="009D3A4A">
        <w:t xml:space="preserve">exto, apartado B, numeral 1 de los Lineamientos, establece </w:t>
      </w:r>
      <w:r w:rsidR="00870751">
        <w:t xml:space="preserve">la </w:t>
      </w:r>
      <w:r w:rsidR="009D3A4A" w:rsidRPr="009D3A4A">
        <w:t xml:space="preserve">competencia exclusiva del organismo electoral </w:t>
      </w:r>
      <w:r w:rsidR="00870751">
        <w:t xml:space="preserve">para ejecutar las </w:t>
      </w:r>
      <w:r w:rsidR="009D3A4A" w:rsidRPr="009D3A4A">
        <w:t xml:space="preserve">sanciones </w:t>
      </w:r>
      <w:r w:rsidR="00870751">
        <w:t xml:space="preserve">que, imponga el INE </w:t>
      </w:r>
      <w:r w:rsidR="009D3A4A" w:rsidRPr="009D3A4A">
        <w:t>en materia de fiscalización en el ámbito local</w:t>
      </w:r>
      <w:r w:rsidR="00870751">
        <w:t>.</w:t>
      </w:r>
    </w:p>
    <w:p w14:paraId="3DE5C2EF" w14:textId="3676D71D" w:rsidR="00301F08" w:rsidRPr="00215F05" w:rsidRDefault="00301F08" w:rsidP="00C17A56">
      <w:r w:rsidRPr="00215F05">
        <w:lastRenderedPageBreak/>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7EEE21CD" w14:textId="0BDEB47F" w:rsidR="00121F53" w:rsidRDefault="00121F53" w:rsidP="00C17A56">
      <w:pPr>
        <w:pStyle w:val="Ttulo2"/>
      </w:pPr>
      <w:r w:rsidRPr="00121F53">
        <w:t>Exigibilidad de las sanciones</w:t>
      </w:r>
    </w:p>
    <w:p w14:paraId="33A94EC9" w14:textId="6147E2B3" w:rsidR="00121F53" w:rsidRPr="00121F53" w:rsidRDefault="00121F53" w:rsidP="00C17A56">
      <w:r w:rsidRPr="00121F53">
        <w:t xml:space="preserve">Que, el artículo </w:t>
      </w:r>
      <w:r w:rsidR="009F243C">
        <w:t>q</w:t>
      </w:r>
      <w:r w:rsidRPr="00121F53">
        <w:t xml:space="preserve">uinto de los </w:t>
      </w:r>
      <w:r w:rsidR="009F243C" w:rsidRPr="00121F53">
        <w:t>Lineamientos</w:t>
      </w:r>
      <w:r w:rsidRPr="00121F53">
        <w:t xml:space="preserve"> establece que las sanciones se ejecutarán una vez que se encuentren firmes, en la forma y términos establecidos en la resolución o sentencia correspondiente.  Las sanciones que no hayan sido objeto de recurso ante alguna de las Salas del Tribunal o tribunales electorales locales se considerarán firmes en el momento que venció el plazo para recurrirlas, aun cuando formen parte de la misma resolución impugnada por otras sanciones.  Asimismo, se considerarán firmes aquellas sanciones confirmadas por las Salas del Tribunal Electoral del Poder de la Federación, o bien, que no hayan sido oportunamente combatidas. Respecto de las sanciones que fueron objeto de revocación, se considerarán firmes una vez que se emita la resolución o acuerdo mediante el que se acata la sentencia o que haya vencido el plazo para impugnar dicho acto.   </w:t>
      </w:r>
    </w:p>
    <w:p w14:paraId="5CB9AFBC" w14:textId="5A97B36F" w:rsidR="009F243C" w:rsidRDefault="009F243C" w:rsidP="00C17A56">
      <w:pPr>
        <w:pStyle w:val="Ttulo2"/>
      </w:pPr>
      <w:r>
        <w:t xml:space="preserve">Criterios para la ejecución de sanciones en el ámbito local. </w:t>
      </w:r>
    </w:p>
    <w:p w14:paraId="20C67E10" w14:textId="1D07B2AA" w:rsidR="009F243C" w:rsidRDefault="009F243C" w:rsidP="00C17A56">
      <w:r>
        <w:t xml:space="preserve">Que, el artículo </w:t>
      </w:r>
      <w:r w:rsidR="00682110">
        <w:t>se</w:t>
      </w:r>
      <w:r>
        <w:t xml:space="preserve">xto, apartado B, numeral 1 de los Lineamientos, establece que, es competencia exclusiva del organismo electoral la ejecución de sanciones impuestas por el INE en materia de fiscalización en el ámbito local, por lo que en la ejecución de </w:t>
      </w:r>
      <w:r w:rsidR="00722887">
        <w:t>é</w:t>
      </w:r>
      <w:r>
        <w:t xml:space="preserve">stas y en el destino del recurso público, atenderá a las siguientes reglas: </w:t>
      </w:r>
    </w:p>
    <w:p w14:paraId="79DEDFBC" w14:textId="77777777" w:rsidR="009F243C" w:rsidRDefault="009F243C" w:rsidP="00C17A56">
      <w:pPr>
        <w:pStyle w:val="Cita"/>
      </w:pPr>
      <w:r>
        <w:t xml:space="preserve">“a) El OPLE, con base en los registros en el SI conocerá el estado procesal de la sanción. Una vez que corrobore que las multas se encuentran firmes deberá descontarlas del financiamiento público ordinario local que, en su caso, se otorgue al sujeto sancionado, conforme a lo siguiente: </w:t>
      </w:r>
    </w:p>
    <w:p w14:paraId="763A2AC7" w14:textId="77777777" w:rsidR="009F243C" w:rsidRDefault="009F243C" w:rsidP="00C17A56">
      <w:pPr>
        <w:pStyle w:val="Cita"/>
      </w:pPr>
      <w:r>
        <w:t xml:space="preserve">i) </w:t>
      </w:r>
      <w:r>
        <w:tab/>
        <w:t xml:space="preserve">El pago de las sanciones económicas impuestas por la acreditación de faltas se realizará mediante la reducción de la ministración mensual que reciba dicho ente político, en los términos y plazos definidos en la ejecutoria respectiva. </w:t>
      </w:r>
    </w:p>
    <w:p w14:paraId="3087FB52" w14:textId="77777777" w:rsidR="009F243C" w:rsidRDefault="009F243C" w:rsidP="00C17A56">
      <w:pPr>
        <w:pStyle w:val="Cita"/>
      </w:pPr>
      <w:r>
        <w:t xml:space="preserve">ii) </w:t>
      </w:r>
      <w:r>
        <w:tab/>
        <w:t xml:space="preserve">Las sanciones se harán efectivas a partir del mes siguiente en que queden firmes. </w:t>
      </w:r>
    </w:p>
    <w:p w14:paraId="6BC14956" w14:textId="179A0E58" w:rsidR="009F243C" w:rsidRDefault="009F243C" w:rsidP="00C17A56">
      <w:pPr>
        <w:pStyle w:val="Cita"/>
      </w:pPr>
      <w:r>
        <w:lastRenderedPageBreak/>
        <w:t xml:space="preserve">iii) El OPLE deberá registrar en el SI las sanciones firmes que se ejecuten a cada uno de los partidos políticos nacionales con acreditación local, partidos locales, aspirantes y candidatos independientes; </w:t>
      </w:r>
    </w:p>
    <w:p w14:paraId="71274C32" w14:textId="77777777" w:rsidR="009F243C" w:rsidRDefault="009F243C" w:rsidP="00C17A56">
      <w:pPr>
        <w:pStyle w:val="Cita"/>
      </w:pPr>
      <w:r>
        <w:t xml:space="preserve">b) Para la ejecución de las sanciones el OPLE deberá considerar que el descuento económico no puede exceder del 50% (cincuenta por ciento) del financiamiento público mensual que reciba el instituto político en la entidad para el desarrollo de sus actividades ordinarias. </w:t>
      </w:r>
    </w:p>
    <w:p w14:paraId="0BA2FFFF" w14:textId="77777777" w:rsidR="009F243C" w:rsidRDefault="009F243C" w:rsidP="00C17A56">
      <w:pPr>
        <w:pStyle w:val="Cita"/>
      </w:pPr>
      <w:r>
        <w:t xml:space="preserve">Conforme lo anterior, el OPLE fijará las sanciones a ejecutar en el mes correspondiente; considerando en todo momento, que de existir un conjunto de sanciones firmes pendientes de cobro por un importe superior al 50% del financiamiento público del partido político, éstas deberán ser cobradas conforme al orden en que quedaron firmes, en el entendido que no podrá descontarse un importe menor al equivalente al porcentaje antes mencionado. </w:t>
      </w:r>
    </w:p>
    <w:p w14:paraId="0743876C" w14:textId="77777777" w:rsidR="009F243C" w:rsidRDefault="009F243C" w:rsidP="00C17A56">
      <w:pPr>
        <w:pStyle w:val="Cita"/>
      </w:pPr>
      <w:r>
        <w:t xml:space="preserve">Si las sanciones acumuladas por el partido superan el monto previsto en el párrafo anterior, serán cobradas en el orden en que se conozcan, hasta que queden completamente pagadas. </w:t>
      </w:r>
    </w:p>
    <w:p w14:paraId="44AEED09" w14:textId="77777777" w:rsidR="009F243C" w:rsidRDefault="009F243C" w:rsidP="00C17A56">
      <w:pPr>
        <w:pStyle w:val="Cita"/>
      </w:pPr>
      <w:r>
        <w:t xml:space="preserve">c) Si un partido político nacional, en fecha posterior a que la sanción haya quedado firme, no obtiene financiamiento público en el ámbito local, el OPLE deberá informar de inmediato dicha situación a la Unidad de Vinculación, a la DEPPP y ésta, a su vez, al Comité Ejecutivo Nacional del partido de que se trate. La Unidad de Vinculación registrará la fecha en que dicha circunstancia se haga del conocimiento del Comité Ejecutivo Nacional del partido sancionado. Se seguirá el procedimiento como si se tratara de una sanción impuesta en el ámbito federal. Los recursos obtenidos por este concepto serán destinados al CONACyT.  </w:t>
      </w:r>
    </w:p>
    <w:p w14:paraId="05C851F5" w14:textId="77777777" w:rsidR="009F243C" w:rsidRDefault="009F243C" w:rsidP="00C17A56">
      <w:pPr>
        <w:pStyle w:val="Cita"/>
      </w:pPr>
      <w:r>
        <w:t xml:space="preserve">d) Si desde el momento en que se imponga una sanción a un partido político nacional, éste no obtiene financiamiento público en el ámbito local, el seguimiento, ejecución y destino de las sanciones correspondientes se hará en términos previstos para las sanciones impuestas en el ámbito federal. </w:t>
      </w:r>
    </w:p>
    <w:p w14:paraId="70FCD5C1" w14:textId="77777777" w:rsidR="009F243C" w:rsidRDefault="009F243C" w:rsidP="00C17A56">
      <w:pPr>
        <w:pStyle w:val="Cita"/>
      </w:pPr>
      <w:r>
        <w:t xml:space="preserve">e) En el caso de las sanciones impuestas a los partidos políticos locales, el OPLE realizará la deducción correspondiente en la siguiente ministración que les corresponda, una vez que se encuentren firmes. </w:t>
      </w:r>
    </w:p>
    <w:p w14:paraId="2EA13E55" w14:textId="77777777" w:rsidR="009F243C" w:rsidRDefault="009F243C" w:rsidP="00C17A56">
      <w:pPr>
        <w:pStyle w:val="Cita"/>
      </w:pPr>
      <w:r>
        <w:t xml:space="preserve">f) Si un partido político local pierde su registro, el OPLE deberá hacerlo del conocimiento del INE y del interventor que sea nombrado para efectos del proceso de liquidación, con la finalidad de que este último considere el monto de las sanciones impuestas como parte de los adeudos de ese ente político, de acuerdo al orden de prevalencia correspondiente. La información correspondiente deberá ser capturada por el OPLE en el SI. </w:t>
      </w:r>
    </w:p>
    <w:p w14:paraId="7AE10809" w14:textId="77777777" w:rsidR="009F243C" w:rsidRDefault="009F243C" w:rsidP="00C17A56">
      <w:pPr>
        <w:pStyle w:val="Cita"/>
      </w:pPr>
      <w:r>
        <w:t xml:space="preserve">g) El OPLE verificará en el plazo de 15 días hábiles siguientes a que estén firmes las sanciones impuestas a los aspirantes a candidatos, precandidatos, candidatos y candidatos independientes, si los sujetos obligados realizaron el pago de forma voluntaria; </w:t>
      </w:r>
      <w:r>
        <w:lastRenderedPageBreak/>
        <w:t xml:space="preserve">para lo cual se deberá atender la forma de pago que ordene la resolución correspondiente. El OPLE pondrá a disposición de dichos sujetos las formas o procedimientos que les faciliten realizar el pago.  </w:t>
      </w:r>
    </w:p>
    <w:p w14:paraId="25FE3436" w14:textId="77777777" w:rsidR="009F243C" w:rsidRDefault="009F243C" w:rsidP="00C17A56">
      <w:pPr>
        <w:pStyle w:val="Cita"/>
      </w:pPr>
      <w:r>
        <w:t xml:space="preserve">h) El OPLE registrará en el SI de forma mensual si los aspirantes a candidatos independientes, precandidatos, candidatos y candidatos independientes, realizaron el pago de forma voluntaria, así como los montos que haya deducido del financiamiento de los partidos políticos locales.  </w:t>
      </w:r>
    </w:p>
    <w:p w14:paraId="688DCD1E" w14:textId="3E982C35" w:rsidR="009F243C" w:rsidRPr="009F243C" w:rsidRDefault="009F243C" w:rsidP="00C17A56">
      <w:pPr>
        <w:pStyle w:val="Cita"/>
      </w:pPr>
      <w:r>
        <w:t>i) En caso de que los aspirantes a candidatos independientes, precandidatos, candidatos y candidatos independientes incumplan con el pago voluntario de la sanción, el OPLE solicitará a la Secretaría de Finanzas o equivalente en la Entidad Federativa que se trate, realizar las diligencias necesarias para el cobro hasta su conclusión y le dará seguimiento y registro en el SI.”</w:t>
      </w:r>
      <w:r w:rsidR="00EA3C96">
        <w:rPr>
          <w:rStyle w:val="Refdenotaalpie"/>
        </w:rPr>
        <w:footnoteReference w:id="1"/>
      </w:r>
    </w:p>
    <w:p w14:paraId="1EFF5825" w14:textId="3DB9FAA3" w:rsidR="00522277" w:rsidRDefault="00522277" w:rsidP="00C17A56">
      <w:pPr>
        <w:pStyle w:val="Ttulo2"/>
      </w:pPr>
      <w:r>
        <w:t>D</w:t>
      </w:r>
      <w:r w:rsidR="00727F15">
        <w:t>eterminación de s</w:t>
      </w:r>
      <w:r>
        <w:t>anciones</w:t>
      </w:r>
    </w:p>
    <w:p w14:paraId="71C0C13A" w14:textId="51259CC1" w:rsidR="00522277" w:rsidRDefault="00522277" w:rsidP="00C17A56">
      <w:r>
        <w:t xml:space="preserve">Que, el Consejo General del INE en ejercicio de sus atribuciones y con motivo de la revisión a los informes </w:t>
      </w:r>
      <w:r w:rsidRPr="00C17A56">
        <w:t>anuales</w:t>
      </w:r>
      <w:r w:rsidRPr="00522277">
        <w:t xml:space="preserve"> de ingresos y gastos correspondientes al ejercicio 2020</w:t>
      </w:r>
      <w:r>
        <w:t xml:space="preserve">, determinó a los partidos políticos: </w:t>
      </w:r>
      <w:r w:rsidRPr="00522277">
        <w:t>políticos Revolucionario Institucional, de la Revolución Democrática, Verde Ecologista de México y Morena</w:t>
      </w:r>
      <w:r w:rsidR="00B83AF7">
        <w:t xml:space="preserve">, conforme a las resoluciones </w:t>
      </w:r>
      <w:r w:rsidR="00B83AF7" w:rsidRPr="00B83AF7">
        <w:t xml:space="preserve">INE/CG108/2022, INE/CG109/2022, </w:t>
      </w:r>
      <w:r w:rsidR="00780B7B">
        <w:t xml:space="preserve">INE/CG110/2022, </w:t>
      </w:r>
      <w:r w:rsidR="00B83AF7" w:rsidRPr="00B83AF7">
        <w:t>INE/CG111/2022</w:t>
      </w:r>
      <w:r w:rsidR="00AC5256">
        <w:t xml:space="preserve"> e</w:t>
      </w:r>
      <w:r w:rsidR="00B83AF7" w:rsidRPr="00B83AF7">
        <w:t xml:space="preserve"> INE/CG113/2022</w:t>
      </w:r>
      <w:r w:rsidR="00B83AF7">
        <w:t xml:space="preserve">, respectivamente, </w:t>
      </w:r>
      <w:r>
        <w:t>las siguientes sanciones</w:t>
      </w:r>
      <w:r w:rsidR="00B83AF7">
        <w:t xml:space="preserve"> derivadas de </w:t>
      </w:r>
      <w:r w:rsidR="001E1F08">
        <w:t>las conclusiones, descripciones y montos siguientes</w:t>
      </w:r>
      <w:r>
        <w:t>:</w:t>
      </w:r>
    </w:p>
    <w:p w14:paraId="237849C4" w14:textId="32CA3D1A" w:rsidR="00522CD4" w:rsidRPr="00522CD4" w:rsidRDefault="00522CD4" w:rsidP="00C17A56">
      <w:pPr>
        <w:pStyle w:val="Ttulo3"/>
      </w:pPr>
      <w:r w:rsidRPr="00522CD4">
        <w:t xml:space="preserve">Partido Revolucionario Institucional </w:t>
      </w:r>
    </w:p>
    <w:tbl>
      <w:tblPr>
        <w:tblStyle w:val="Tablaconcuadrcula"/>
        <w:tblW w:w="0" w:type="auto"/>
        <w:tblInd w:w="562" w:type="dxa"/>
        <w:tblLook w:val="04A0" w:firstRow="1" w:lastRow="0" w:firstColumn="1" w:lastColumn="0" w:noHBand="0" w:noVBand="1"/>
      </w:tblPr>
      <w:tblGrid>
        <w:gridCol w:w="2127"/>
        <w:gridCol w:w="4298"/>
        <w:gridCol w:w="1841"/>
      </w:tblGrid>
      <w:tr w:rsidR="000827D8" w:rsidRPr="00061B36" w14:paraId="34A8FF50" w14:textId="77777777" w:rsidTr="00061B36">
        <w:trPr>
          <w:tblHeader/>
        </w:trPr>
        <w:tc>
          <w:tcPr>
            <w:tcW w:w="8266" w:type="dxa"/>
            <w:gridSpan w:val="3"/>
            <w:tcBorders>
              <w:top w:val="nil"/>
              <w:left w:val="nil"/>
              <w:bottom w:val="single" w:sz="4" w:space="0" w:color="auto"/>
              <w:right w:val="nil"/>
            </w:tcBorders>
            <w:shd w:val="clear" w:color="auto" w:fill="auto"/>
            <w:vAlign w:val="center"/>
          </w:tcPr>
          <w:p w14:paraId="16C8E940" w14:textId="247D0129" w:rsidR="000827D8" w:rsidRPr="00061B36" w:rsidRDefault="000827D8" w:rsidP="00061B36">
            <w:pPr>
              <w:spacing w:before="120" w:after="120"/>
              <w:ind w:left="0"/>
              <w:rPr>
                <w:b/>
                <w:bCs/>
                <w:color w:val="FFFFFF" w:themeColor="background1"/>
                <w:sz w:val="18"/>
                <w:szCs w:val="18"/>
              </w:rPr>
            </w:pPr>
            <w:r w:rsidRPr="00061B36">
              <w:rPr>
                <w:b/>
                <w:bCs/>
                <w:sz w:val="18"/>
                <w:szCs w:val="18"/>
              </w:rPr>
              <w:t>Resoluci</w:t>
            </w:r>
            <w:r w:rsidR="009107E2">
              <w:rPr>
                <w:b/>
                <w:bCs/>
                <w:sz w:val="18"/>
                <w:szCs w:val="18"/>
              </w:rPr>
              <w:t>ón</w:t>
            </w:r>
            <w:r w:rsidRPr="00061B36">
              <w:rPr>
                <w:b/>
                <w:bCs/>
                <w:sz w:val="18"/>
                <w:szCs w:val="18"/>
              </w:rPr>
              <w:t xml:space="preserve"> INE/CG10</w:t>
            </w:r>
            <w:r w:rsidR="00DB0F44" w:rsidRPr="00061B36">
              <w:rPr>
                <w:b/>
                <w:bCs/>
                <w:sz w:val="18"/>
                <w:szCs w:val="18"/>
              </w:rPr>
              <w:t>8</w:t>
            </w:r>
            <w:r w:rsidRPr="00061B36">
              <w:rPr>
                <w:b/>
                <w:bCs/>
                <w:sz w:val="18"/>
                <w:szCs w:val="18"/>
              </w:rPr>
              <w:t>/2022</w:t>
            </w:r>
          </w:p>
        </w:tc>
      </w:tr>
      <w:tr w:rsidR="00522CD4" w:rsidRPr="00061B36" w14:paraId="7B19CB55" w14:textId="77777777" w:rsidTr="00061B36">
        <w:trPr>
          <w:tblHeader/>
        </w:trPr>
        <w:tc>
          <w:tcPr>
            <w:tcW w:w="2127" w:type="dxa"/>
            <w:tcBorders>
              <w:top w:val="single" w:sz="4" w:space="0" w:color="auto"/>
            </w:tcBorders>
            <w:shd w:val="clear" w:color="auto" w:fill="993366"/>
            <w:vAlign w:val="center"/>
          </w:tcPr>
          <w:p w14:paraId="77D7679D" w14:textId="77777777" w:rsidR="00522CD4" w:rsidRPr="00061B36" w:rsidRDefault="00522CD4" w:rsidP="00061B36">
            <w:pPr>
              <w:spacing w:before="120" w:after="120"/>
              <w:ind w:left="0"/>
              <w:jc w:val="center"/>
              <w:rPr>
                <w:b/>
                <w:bCs/>
                <w:color w:val="FFFFFF" w:themeColor="background1"/>
                <w:sz w:val="18"/>
                <w:szCs w:val="18"/>
              </w:rPr>
            </w:pPr>
            <w:r w:rsidRPr="00061B36">
              <w:rPr>
                <w:b/>
                <w:bCs/>
                <w:color w:val="FFFFFF" w:themeColor="background1"/>
                <w:sz w:val="18"/>
                <w:szCs w:val="18"/>
              </w:rPr>
              <w:t>Conclusión</w:t>
            </w:r>
          </w:p>
        </w:tc>
        <w:tc>
          <w:tcPr>
            <w:tcW w:w="4298" w:type="dxa"/>
            <w:tcBorders>
              <w:top w:val="single" w:sz="4" w:space="0" w:color="auto"/>
            </w:tcBorders>
            <w:shd w:val="clear" w:color="auto" w:fill="993366"/>
            <w:vAlign w:val="center"/>
          </w:tcPr>
          <w:p w14:paraId="1DAEDB3D" w14:textId="77777777" w:rsidR="00522CD4" w:rsidRPr="00061B36" w:rsidRDefault="00522CD4" w:rsidP="00061B36">
            <w:pPr>
              <w:spacing w:before="120" w:after="120"/>
              <w:ind w:left="0"/>
              <w:jc w:val="center"/>
              <w:rPr>
                <w:b/>
                <w:bCs/>
                <w:color w:val="FFFFFF" w:themeColor="background1"/>
                <w:sz w:val="18"/>
                <w:szCs w:val="18"/>
              </w:rPr>
            </w:pPr>
            <w:r w:rsidRPr="00061B36">
              <w:rPr>
                <w:b/>
                <w:bCs/>
                <w:color w:val="FFFFFF" w:themeColor="background1"/>
                <w:sz w:val="18"/>
                <w:szCs w:val="18"/>
              </w:rPr>
              <w:t>Descripción</w:t>
            </w:r>
          </w:p>
        </w:tc>
        <w:tc>
          <w:tcPr>
            <w:tcW w:w="1841" w:type="dxa"/>
            <w:tcBorders>
              <w:top w:val="single" w:sz="4" w:space="0" w:color="auto"/>
            </w:tcBorders>
            <w:shd w:val="clear" w:color="auto" w:fill="993366"/>
            <w:vAlign w:val="center"/>
          </w:tcPr>
          <w:p w14:paraId="581D6789" w14:textId="77777777" w:rsidR="00522CD4" w:rsidRPr="00061B36" w:rsidRDefault="00522CD4" w:rsidP="00061B36">
            <w:pPr>
              <w:spacing w:before="120" w:after="120"/>
              <w:ind w:left="0"/>
              <w:jc w:val="center"/>
              <w:rPr>
                <w:b/>
                <w:bCs/>
                <w:color w:val="FFFFFF" w:themeColor="background1"/>
                <w:sz w:val="18"/>
                <w:szCs w:val="18"/>
              </w:rPr>
            </w:pPr>
            <w:r w:rsidRPr="00061B36">
              <w:rPr>
                <w:b/>
                <w:bCs/>
                <w:color w:val="FFFFFF" w:themeColor="background1"/>
                <w:sz w:val="18"/>
                <w:szCs w:val="18"/>
              </w:rPr>
              <w:t>Monto de la Sanción</w:t>
            </w:r>
          </w:p>
        </w:tc>
      </w:tr>
      <w:tr w:rsidR="00522CD4" w:rsidRPr="00061B36" w14:paraId="00CF3AAE" w14:textId="77777777" w:rsidTr="00BB1B93">
        <w:tc>
          <w:tcPr>
            <w:tcW w:w="2127" w:type="dxa"/>
            <w:vAlign w:val="center"/>
          </w:tcPr>
          <w:p w14:paraId="279A708B" w14:textId="77777777" w:rsidR="00522CD4" w:rsidRPr="00061B36" w:rsidRDefault="00522CD4" w:rsidP="00061B36">
            <w:pPr>
              <w:spacing w:before="120" w:after="120"/>
              <w:ind w:left="0"/>
              <w:rPr>
                <w:sz w:val="18"/>
                <w:szCs w:val="18"/>
              </w:rPr>
            </w:pPr>
            <w:r w:rsidRPr="00061B36">
              <w:rPr>
                <w:sz w:val="18"/>
                <w:szCs w:val="18"/>
              </w:rPr>
              <w:t>2.28-C4-PRI-TB</w:t>
            </w:r>
          </w:p>
        </w:tc>
        <w:tc>
          <w:tcPr>
            <w:tcW w:w="4298" w:type="dxa"/>
            <w:vAlign w:val="center"/>
          </w:tcPr>
          <w:p w14:paraId="6ADC574A" w14:textId="6E24BB03" w:rsidR="00522CD4" w:rsidRPr="00061B36" w:rsidRDefault="00522CD4" w:rsidP="00061B36">
            <w:pPr>
              <w:spacing w:before="120" w:after="120"/>
              <w:ind w:left="0"/>
              <w:rPr>
                <w:sz w:val="18"/>
                <w:szCs w:val="18"/>
              </w:rPr>
            </w:pPr>
            <w:r w:rsidRPr="00061B36">
              <w:rPr>
                <w:sz w:val="18"/>
                <w:szCs w:val="18"/>
              </w:rPr>
              <w:t xml:space="preserve">Omitió presentar 40 estados de cuenta </w:t>
            </w:r>
            <w:r w:rsidR="00061B36" w:rsidRPr="00061B36">
              <w:rPr>
                <w:sz w:val="18"/>
                <w:szCs w:val="18"/>
              </w:rPr>
              <w:t>bancarios correspondientes</w:t>
            </w:r>
            <w:r w:rsidRPr="00061B36">
              <w:rPr>
                <w:sz w:val="18"/>
                <w:szCs w:val="18"/>
              </w:rPr>
              <w:t xml:space="preserve"> a 5 cuentas bancarias.</w:t>
            </w:r>
          </w:p>
        </w:tc>
        <w:tc>
          <w:tcPr>
            <w:tcW w:w="1841" w:type="dxa"/>
            <w:vMerge w:val="restart"/>
            <w:vAlign w:val="center"/>
          </w:tcPr>
          <w:p w14:paraId="220DA713" w14:textId="77777777" w:rsidR="00522CD4" w:rsidRPr="00061B36" w:rsidRDefault="00522CD4" w:rsidP="00061B36">
            <w:pPr>
              <w:spacing w:before="120" w:after="120"/>
              <w:ind w:left="0"/>
              <w:jc w:val="right"/>
              <w:rPr>
                <w:sz w:val="18"/>
                <w:szCs w:val="18"/>
              </w:rPr>
            </w:pPr>
            <w:r w:rsidRPr="00061B36">
              <w:rPr>
                <w:sz w:val="18"/>
                <w:szCs w:val="18"/>
              </w:rPr>
              <w:t>$1,737.60*</w:t>
            </w:r>
          </w:p>
        </w:tc>
      </w:tr>
      <w:tr w:rsidR="00522CD4" w:rsidRPr="00061B36" w14:paraId="02C6CC47" w14:textId="77777777" w:rsidTr="00BB1B93">
        <w:tc>
          <w:tcPr>
            <w:tcW w:w="2127" w:type="dxa"/>
            <w:vAlign w:val="center"/>
          </w:tcPr>
          <w:p w14:paraId="290AD039" w14:textId="77777777" w:rsidR="00522CD4" w:rsidRPr="00061B36" w:rsidRDefault="00522CD4" w:rsidP="00061B36">
            <w:pPr>
              <w:spacing w:before="120" w:after="120"/>
              <w:ind w:left="0"/>
              <w:rPr>
                <w:sz w:val="18"/>
                <w:szCs w:val="18"/>
              </w:rPr>
            </w:pPr>
            <w:r w:rsidRPr="00061B36">
              <w:rPr>
                <w:sz w:val="18"/>
                <w:szCs w:val="18"/>
              </w:rPr>
              <w:t>2.28-C5-PRI-TB</w:t>
            </w:r>
          </w:p>
        </w:tc>
        <w:tc>
          <w:tcPr>
            <w:tcW w:w="4298" w:type="dxa"/>
            <w:vAlign w:val="center"/>
          </w:tcPr>
          <w:p w14:paraId="1EE2D83A" w14:textId="77777777" w:rsidR="00522CD4" w:rsidRPr="00061B36" w:rsidRDefault="00522CD4" w:rsidP="00061B36">
            <w:pPr>
              <w:spacing w:before="120" w:after="120"/>
              <w:ind w:left="0"/>
              <w:rPr>
                <w:sz w:val="18"/>
                <w:szCs w:val="18"/>
              </w:rPr>
            </w:pPr>
            <w:r w:rsidRPr="00061B36">
              <w:rPr>
                <w:sz w:val="18"/>
                <w:szCs w:val="18"/>
              </w:rPr>
              <w:t>Omitió presentar las conciliaciones bancarias de mayo a diciembre correspondientes a 5 cuentas bancarias.</w:t>
            </w:r>
          </w:p>
        </w:tc>
        <w:tc>
          <w:tcPr>
            <w:tcW w:w="1841" w:type="dxa"/>
            <w:vMerge/>
            <w:vAlign w:val="center"/>
          </w:tcPr>
          <w:p w14:paraId="7F8DECEA" w14:textId="77777777" w:rsidR="00522CD4" w:rsidRPr="00061B36" w:rsidRDefault="00522CD4" w:rsidP="00061B36">
            <w:pPr>
              <w:spacing w:before="120" w:after="120"/>
              <w:ind w:left="0"/>
              <w:jc w:val="right"/>
              <w:rPr>
                <w:sz w:val="18"/>
                <w:szCs w:val="18"/>
              </w:rPr>
            </w:pPr>
          </w:p>
        </w:tc>
      </w:tr>
      <w:tr w:rsidR="00522CD4" w:rsidRPr="00061B36" w14:paraId="287CFE46" w14:textId="77777777" w:rsidTr="00BB1B93">
        <w:tc>
          <w:tcPr>
            <w:tcW w:w="2127" w:type="dxa"/>
            <w:vAlign w:val="center"/>
          </w:tcPr>
          <w:p w14:paraId="1F977405" w14:textId="77777777" w:rsidR="00522CD4" w:rsidRPr="00061B36" w:rsidRDefault="00522CD4" w:rsidP="00061B36">
            <w:pPr>
              <w:spacing w:before="120" w:after="120"/>
              <w:ind w:left="0"/>
              <w:rPr>
                <w:sz w:val="18"/>
                <w:szCs w:val="18"/>
              </w:rPr>
            </w:pPr>
            <w:r w:rsidRPr="00061B36">
              <w:rPr>
                <w:sz w:val="18"/>
                <w:szCs w:val="18"/>
              </w:rPr>
              <w:lastRenderedPageBreak/>
              <w:t>2.28-C7-PRI-TB</w:t>
            </w:r>
          </w:p>
        </w:tc>
        <w:tc>
          <w:tcPr>
            <w:tcW w:w="4298" w:type="dxa"/>
            <w:vAlign w:val="center"/>
          </w:tcPr>
          <w:p w14:paraId="104AAE73" w14:textId="77777777" w:rsidR="00522CD4" w:rsidRPr="00061B36" w:rsidRDefault="00522CD4" w:rsidP="00061B36">
            <w:pPr>
              <w:spacing w:before="120" w:after="120"/>
              <w:ind w:left="0"/>
              <w:rPr>
                <w:sz w:val="18"/>
                <w:szCs w:val="18"/>
              </w:rPr>
            </w:pPr>
            <w:r w:rsidRPr="00061B36">
              <w:rPr>
                <w:sz w:val="18"/>
                <w:szCs w:val="18"/>
              </w:rPr>
              <w:t>Canceló de forma extemporánea 19 eventos excediendo el plazo de 48 horas.</w:t>
            </w:r>
          </w:p>
        </w:tc>
        <w:tc>
          <w:tcPr>
            <w:tcW w:w="1841" w:type="dxa"/>
            <w:vAlign w:val="center"/>
          </w:tcPr>
          <w:p w14:paraId="1C1338F6" w14:textId="77777777" w:rsidR="00522CD4" w:rsidRPr="00061B36" w:rsidRDefault="00522CD4" w:rsidP="00061B36">
            <w:pPr>
              <w:spacing w:before="120" w:after="120"/>
              <w:ind w:left="0"/>
              <w:jc w:val="right"/>
              <w:rPr>
                <w:sz w:val="18"/>
                <w:szCs w:val="18"/>
              </w:rPr>
            </w:pPr>
            <w:r w:rsidRPr="00061B36">
              <w:rPr>
                <w:sz w:val="18"/>
                <w:szCs w:val="18"/>
              </w:rPr>
              <w:t>$5,173.26</w:t>
            </w:r>
          </w:p>
        </w:tc>
      </w:tr>
      <w:tr w:rsidR="00522CD4" w:rsidRPr="00061B36" w14:paraId="1112A409" w14:textId="77777777" w:rsidTr="00BB1B93">
        <w:tc>
          <w:tcPr>
            <w:tcW w:w="2127" w:type="dxa"/>
            <w:vAlign w:val="center"/>
          </w:tcPr>
          <w:p w14:paraId="5E339327" w14:textId="77777777" w:rsidR="00522CD4" w:rsidRPr="00061B36" w:rsidRDefault="00522CD4" w:rsidP="00061B36">
            <w:pPr>
              <w:spacing w:before="120" w:after="120"/>
              <w:ind w:left="0"/>
              <w:rPr>
                <w:sz w:val="18"/>
                <w:szCs w:val="18"/>
              </w:rPr>
            </w:pPr>
            <w:r w:rsidRPr="00061B36">
              <w:rPr>
                <w:sz w:val="18"/>
                <w:szCs w:val="18"/>
              </w:rPr>
              <w:t>2.28-C3-PRI-TB</w:t>
            </w:r>
          </w:p>
        </w:tc>
        <w:tc>
          <w:tcPr>
            <w:tcW w:w="4298" w:type="dxa"/>
            <w:vAlign w:val="center"/>
          </w:tcPr>
          <w:p w14:paraId="7BA12332" w14:textId="77777777" w:rsidR="00522CD4" w:rsidRPr="00061B36" w:rsidRDefault="00522CD4" w:rsidP="00061B36">
            <w:pPr>
              <w:spacing w:before="120" w:after="120"/>
              <w:ind w:left="0"/>
              <w:rPr>
                <w:sz w:val="18"/>
                <w:szCs w:val="18"/>
              </w:rPr>
            </w:pPr>
            <w:r w:rsidRPr="00061B36">
              <w:rPr>
                <w:sz w:val="18"/>
                <w:szCs w:val="18"/>
              </w:rPr>
              <w:t>Incumplió con la obligación de recibir a</w:t>
            </w:r>
          </w:p>
          <w:p w14:paraId="6FD021CF" w14:textId="77777777" w:rsidR="00522CD4" w:rsidRPr="00061B36" w:rsidRDefault="00522CD4" w:rsidP="00061B36">
            <w:pPr>
              <w:spacing w:before="120" w:after="120"/>
              <w:ind w:left="0"/>
              <w:rPr>
                <w:sz w:val="18"/>
                <w:szCs w:val="18"/>
              </w:rPr>
            </w:pPr>
            <w:r w:rsidRPr="00061B36">
              <w:rPr>
                <w:sz w:val="18"/>
                <w:szCs w:val="18"/>
              </w:rPr>
              <w:t>través de cheque o transferencia electrónica aportaciones en efectivo superiores a 90 UMAS, por un monto de $11,000.00.</w:t>
            </w:r>
          </w:p>
        </w:tc>
        <w:tc>
          <w:tcPr>
            <w:tcW w:w="1841" w:type="dxa"/>
            <w:vAlign w:val="center"/>
          </w:tcPr>
          <w:p w14:paraId="1EADEABA" w14:textId="77777777" w:rsidR="00522CD4" w:rsidRPr="00061B36" w:rsidRDefault="00522CD4" w:rsidP="00061B36">
            <w:pPr>
              <w:spacing w:before="120" w:after="120"/>
              <w:ind w:left="0"/>
              <w:jc w:val="right"/>
              <w:rPr>
                <w:sz w:val="18"/>
                <w:szCs w:val="18"/>
              </w:rPr>
            </w:pPr>
            <w:r w:rsidRPr="00061B36">
              <w:rPr>
                <w:sz w:val="18"/>
                <w:szCs w:val="18"/>
              </w:rPr>
              <w:t>$11,000.00</w:t>
            </w:r>
          </w:p>
        </w:tc>
      </w:tr>
      <w:tr w:rsidR="00522CD4" w:rsidRPr="00061B36" w14:paraId="7FA0134A" w14:textId="77777777" w:rsidTr="00BB1B93">
        <w:tc>
          <w:tcPr>
            <w:tcW w:w="2127" w:type="dxa"/>
            <w:vAlign w:val="center"/>
          </w:tcPr>
          <w:p w14:paraId="132BA52B" w14:textId="77777777" w:rsidR="00522CD4" w:rsidRPr="00061B36" w:rsidRDefault="00522CD4" w:rsidP="00061B36">
            <w:pPr>
              <w:spacing w:before="120" w:after="120"/>
              <w:ind w:left="0"/>
              <w:rPr>
                <w:sz w:val="18"/>
                <w:szCs w:val="18"/>
              </w:rPr>
            </w:pPr>
            <w:r w:rsidRPr="00061B36">
              <w:rPr>
                <w:sz w:val="18"/>
                <w:szCs w:val="18"/>
              </w:rPr>
              <w:t>2.28-C8-PRI-TB</w:t>
            </w:r>
          </w:p>
        </w:tc>
        <w:tc>
          <w:tcPr>
            <w:tcW w:w="4298" w:type="dxa"/>
            <w:vAlign w:val="center"/>
          </w:tcPr>
          <w:p w14:paraId="0C6C296F" w14:textId="77777777" w:rsidR="00522CD4" w:rsidRPr="00061B36" w:rsidRDefault="00522CD4" w:rsidP="00061B36">
            <w:pPr>
              <w:spacing w:before="120" w:after="120"/>
              <w:ind w:left="0"/>
              <w:rPr>
                <w:sz w:val="18"/>
                <w:szCs w:val="18"/>
              </w:rPr>
            </w:pPr>
            <w:r w:rsidRPr="00061B36">
              <w:rPr>
                <w:sz w:val="18"/>
                <w:szCs w:val="18"/>
              </w:rPr>
              <w:t>El sujeto obligado reportó saldos en cuentas por pagar con antigüedad mayor a un año que no han sido cubiertos al 31 de diciembre de 2020, por un importe de $5,250.00</w:t>
            </w:r>
          </w:p>
        </w:tc>
        <w:tc>
          <w:tcPr>
            <w:tcW w:w="1841" w:type="dxa"/>
            <w:vAlign w:val="center"/>
          </w:tcPr>
          <w:p w14:paraId="2C7E2D64" w14:textId="77777777" w:rsidR="00522CD4" w:rsidRPr="00061B36" w:rsidRDefault="00522CD4" w:rsidP="00061B36">
            <w:pPr>
              <w:spacing w:before="120" w:after="120"/>
              <w:ind w:left="0"/>
              <w:jc w:val="right"/>
              <w:rPr>
                <w:sz w:val="18"/>
                <w:szCs w:val="18"/>
              </w:rPr>
            </w:pPr>
            <w:r w:rsidRPr="00061B36">
              <w:rPr>
                <w:sz w:val="18"/>
                <w:szCs w:val="18"/>
              </w:rPr>
              <w:t>$7,875.00</w:t>
            </w:r>
          </w:p>
        </w:tc>
      </w:tr>
      <w:tr w:rsidR="00522CD4" w:rsidRPr="00061B36" w14:paraId="02C8FC53" w14:textId="77777777" w:rsidTr="00BB1B93">
        <w:tc>
          <w:tcPr>
            <w:tcW w:w="2127" w:type="dxa"/>
            <w:vAlign w:val="center"/>
          </w:tcPr>
          <w:p w14:paraId="3B110667" w14:textId="77777777" w:rsidR="00522CD4" w:rsidRPr="00061B36" w:rsidRDefault="00522CD4" w:rsidP="00061B36">
            <w:pPr>
              <w:spacing w:before="120" w:after="120"/>
              <w:ind w:left="0"/>
              <w:rPr>
                <w:sz w:val="18"/>
                <w:szCs w:val="18"/>
              </w:rPr>
            </w:pPr>
            <w:r w:rsidRPr="00061B36">
              <w:rPr>
                <w:sz w:val="18"/>
                <w:szCs w:val="18"/>
              </w:rPr>
              <w:t>2.28-C9-PRI-TB</w:t>
            </w:r>
          </w:p>
        </w:tc>
        <w:tc>
          <w:tcPr>
            <w:tcW w:w="4298" w:type="dxa"/>
            <w:vAlign w:val="center"/>
          </w:tcPr>
          <w:p w14:paraId="172F7576" w14:textId="77777777" w:rsidR="00522CD4" w:rsidRPr="00061B36" w:rsidRDefault="00522CD4" w:rsidP="00061B36">
            <w:pPr>
              <w:spacing w:before="120" w:after="120"/>
              <w:ind w:left="0"/>
              <w:rPr>
                <w:sz w:val="18"/>
                <w:szCs w:val="18"/>
              </w:rPr>
            </w:pPr>
            <w:r w:rsidRPr="00061B36">
              <w:rPr>
                <w:sz w:val="18"/>
                <w:szCs w:val="18"/>
              </w:rPr>
              <w:t>En acatamiento a la sentencia SX-RAP-20/2022 se establece que el sujeto obligado reportó saldos en cuentas por pagar con antigüedad mayor a un año que no han sido cubiertos al 31 de diciembre de 2020 por un importe de $703,931.48.</w:t>
            </w:r>
          </w:p>
        </w:tc>
        <w:tc>
          <w:tcPr>
            <w:tcW w:w="1841" w:type="dxa"/>
            <w:vAlign w:val="center"/>
          </w:tcPr>
          <w:p w14:paraId="12B9F3C1" w14:textId="77777777" w:rsidR="00522CD4" w:rsidRPr="00061B36" w:rsidRDefault="00522CD4" w:rsidP="00061B36">
            <w:pPr>
              <w:spacing w:before="120" w:after="120"/>
              <w:ind w:left="0"/>
              <w:jc w:val="right"/>
              <w:rPr>
                <w:sz w:val="18"/>
                <w:szCs w:val="18"/>
              </w:rPr>
            </w:pPr>
            <w:r w:rsidRPr="00061B36">
              <w:rPr>
                <w:sz w:val="18"/>
                <w:szCs w:val="18"/>
              </w:rPr>
              <w:t>$1,055,897.22</w:t>
            </w:r>
          </w:p>
        </w:tc>
      </w:tr>
      <w:tr w:rsidR="00522CD4" w:rsidRPr="00061B36" w14:paraId="3727A65B" w14:textId="77777777" w:rsidTr="008E58DB">
        <w:tc>
          <w:tcPr>
            <w:tcW w:w="6425" w:type="dxa"/>
            <w:gridSpan w:val="2"/>
            <w:tcBorders>
              <w:bottom w:val="single" w:sz="4" w:space="0" w:color="auto"/>
            </w:tcBorders>
            <w:shd w:val="clear" w:color="auto" w:fill="D5DCE4" w:themeFill="text2" w:themeFillTint="33"/>
            <w:vAlign w:val="center"/>
          </w:tcPr>
          <w:p w14:paraId="73849B05" w14:textId="77777777" w:rsidR="00522CD4" w:rsidRPr="00061B36" w:rsidRDefault="00522CD4" w:rsidP="00061B36">
            <w:pPr>
              <w:spacing w:before="120" w:after="120"/>
              <w:ind w:left="0"/>
              <w:jc w:val="right"/>
              <w:rPr>
                <w:b/>
                <w:bCs/>
                <w:sz w:val="18"/>
                <w:szCs w:val="18"/>
              </w:rPr>
            </w:pPr>
            <w:r w:rsidRPr="00061B36">
              <w:rPr>
                <w:b/>
                <w:bCs/>
                <w:sz w:val="18"/>
                <w:szCs w:val="18"/>
              </w:rPr>
              <w:t>Total</w:t>
            </w:r>
          </w:p>
        </w:tc>
        <w:tc>
          <w:tcPr>
            <w:tcW w:w="1841" w:type="dxa"/>
            <w:tcBorders>
              <w:bottom w:val="single" w:sz="4" w:space="0" w:color="auto"/>
            </w:tcBorders>
            <w:shd w:val="clear" w:color="auto" w:fill="D5DCE4" w:themeFill="text2" w:themeFillTint="33"/>
            <w:vAlign w:val="center"/>
          </w:tcPr>
          <w:p w14:paraId="413C08BA" w14:textId="77777777" w:rsidR="00522CD4" w:rsidRPr="00061B36" w:rsidRDefault="00522CD4" w:rsidP="00061B36">
            <w:pPr>
              <w:spacing w:before="120" w:after="120"/>
              <w:ind w:left="0"/>
              <w:jc w:val="right"/>
              <w:rPr>
                <w:b/>
                <w:bCs/>
                <w:sz w:val="18"/>
                <w:szCs w:val="18"/>
              </w:rPr>
            </w:pPr>
            <w:r w:rsidRPr="00061B36">
              <w:rPr>
                <w:b/>
                <w:bCs/>
                <w:sz w:val="18"/>
                <w:szCs w:val="18"/>
              </w:rPr>
              <w:t>$1,081,683.08</w:t>
            </w:r>
          </w:p>
        </w:tc>
      </w:tr>
      <w:tr w:rsidR="00522CD4" w:rsidRPr="00061B36" w14:paraId="4E9B1A19" w14:textId="77777777" w:rsidTr="008E58DB">
        <w:tc>
          <w:tcPr>
            <w:tcW w:w="8266" w:type="dxa"/>
            <w:gridSpan w:val="3"/>
            <w:tcBorders>
              <w:top w:val="single" w:sz="4" w:space="0" w:color="auto"/>
              <w:left w:val="nil"/>
              <w:bottom w:val="nil"/>
              <w:right w:val="nil"/>
            </w:tcBorders>
            <w:shd w:val="clear" w:color="auto" w:fill="auto"/>
            <w:vAlign w:val="center"/>
          </w:tcPr>
          <w:p w14:paraId="0725C249" w14:textId="2975BEE5" w:rsidR="000C042B" w:rsidRPr="000C042B" w:rsidRDefault="00522CD4" w:rsidP="000C042B">
            <w:pPr>
              <w:spacing w:after="120"/>
              <w:ind w:left="0"/>
              <w:rPr>
                <w:sz w:val="14"/>
                <w:szCs w:val="18"/>
              </w:rPr>
            </w:pPr>
            <w:r w:rsidRPr="000C042B">
              <w:rPr>
                <w:sz w:val="14"/>
                <w:szCs w:val="18"/>
              </w:rPr>
              <w:t>* Multa por falta de carácter formal.</w:t>
            </w:r>
          </w:p>
        </w:tc>
      </w:tr>
    </w:tbl>
    <w:p w14:paraId="5DF2507A" w14:textId="189BC04A" w:rsidR="009107E2" w:rsidRDefault="000C042B" w:rsidP="009107E2">
      <w:r>
        <w:t>En lo que respecta a la sanción relacionada con la conclusión 2.28-C9-PRI-TB, el importe disminuyó la cantidad de $7,875.00 (siete mil ochocientos setenta y cinco pesos 00/100 m. n.) en virtud de la modificación ordenada por la Sala Regional Xalapa en el recurso de apelación SX-RAP-020/2022</w:t>
      </w:r>
      <w:r w:rsidR="009107E2">
        <w:t xml:space="preserve"> y </w:t>
      </w:r>
      <w:r w:rsidR="00DB54EB">
        <w:t xml:space="preserve">aplicado por el Consejo General del INE, mediante </w:t>
      </w:r>
      <w:r w:rsidR="009107E2">
        <w:t xml:space="preserve">acuerdo </w:t>
      </w:r>
      <w:r w:rsidR="009107E2" w:rsidRPr="009107E2">
        <w:t>INE/CG190/2022</w:t>
      </w:r>
      <w:r w:rsidR="009107E2">
        <w:t>.</w:t>
      </w:r>
    </w:p>
    <w:p w14:paraId="60AB10E9" w14:textId="64A9920B" w:rsidR="00522CD4" w:rsidRDefault="006C3F49" w:rsidP="00C17A56">
      <w:pPr>
        <w:pStyle w:val="Ttulo3"/>
      </w:pPr>
      <w:r>
        <w:t>Partido de la Revolución Democrática</w:t>
      </w:r>
    </w:p>
    <w:tbl>
      <w:tblPr>
        <w:tblStyle w:val="Tablaconcuadrcula"/>
        <w:tblW w:w="0" w:type="auto"/>
        <w:tblInd w:w="562" w:type="dxa"/>
        <w:tblLook w:val="04A0" w:firstRow="1" w:lastRow="0" w:firstColumn="1" w:lastColumn="0" w:noHBand="0" w:noVBand="1"/>
      </w:tblPr>
      <w:tblGrid>
        <w:gridCol w:w="2127"/>
        <w:gridCol w:w="4252"/>
        <w:gridCol w:w="1887"/>
      </w:tblGrid>
      <w:tr w:rsidR="000827D8" w:rsidRPr="00061B36" w14:paraId="3D3441C8" w14:textId="77777777" w:rsidTr="00061B36">
        <w:trPr>
          <w:tblHeader/>
        </w:trPr>
        <w:tc>
          <w:tcPr>
            <w:tcW w:w="8266" w:type="dxa"/>
            <w:gridSpan w:val="3"/>
            <w:tcBorders>
              <w:top w:val="nil"/>
              <w:left w:val="nil"/>
              <w:bottom w:val="single" w:sz="4" w:space="0" w:color="auto"/>
              <w:right w:val="nil"/>
            </w:tcBorders>
            <w:shd w:val="clear" w:color="auto" w:fill="auto"/>
            <w:vAlign w:val="center"/>
          </w:tcPr>
          <w:p w14:paraId="2554B1C3" w14:textId="6563BE33" w:rsidR="000827D8" w:rsidRPr="00226072" w:rsidRDefault="000827D8" w:rsidP="00061B36">
            <w:pPr>
              <w:spacing w:before="120" w:after="120"/>
              <w:ind w:left="0"/>
              <w:rPr>
                <w:b/>
                <w:bCs/>
                <w:color w:val="FFFFFF" w:themeColor="background1"/>
                <w:sz w:val="18"/>
                <w:szCs w:val="18"/>
              </w:rPr>
            </w:pPr>
            <w:r w:rsidRPr="00226072">
              <w:rPr>
                <w:b/>
                <w:bCs/>
                <w:sz w:val="18"/>
                <w:szCs w:val="18"/>
              </w:rPr>
              <w:t>Resolución INE/CG10</w:t>
            </w:r>
            <w:r w:rsidR="00DB0F44" w:rsidRPr="00226072">
              <w:rPr>
                <w:b/>
                <w:bCs/>
                <w:sz w:val="18"/>
                <w:szCs w:val="18"/>
              </w:rPr>
              <w:t>9</w:t>
            </w:r>
            <w:r w:rsidRPr="00226072">
              <w:rPr>
                <w:b/>
                <w:bCs/>
                <w:sz w:val="18"/>
                <w:szCs w:val="18"/>
              </w:rPr>
              <w:t>/2022</w:t>
            </w:r>
          </w:p>
        </w:tc>
      </w:tr>
      <w:tr w:rsidR="00061B36" w:rsidRPr="00061B36" w14:paraId="092EE08B" w14:textId="77777777" w:rsidTr="00061B36">
        <w:trPr>
          <w:tblHeader/>
        </w:trPr>
        <w:tc>
          <w:tcPr>
            <w:tcW w:w="2127" w:type="dxa"/>
            <w:tcBorders>
              <w:top w:val="single" w:sz="4" w:space="0" w:color="auto"/>
            </w:tcBorders>
            <w:shd w:val="clear" w:color="auto" w:fill="993366"/>
            <w:vAlign w:val="center"/>
          </w:tcPr>
          <w:p w14:paraId="77DA0183" w14:textId="77777777" w:rsidR="009151BB" w:rsidRPr="00061B36" w:rsidRDefault="009151BB" w:rsidP="00061B36">
            <w:pPr>
              <w:spacing w:before="120" w:after="120"/>
              <w:ind w:left="0"/>
              <w:jc w:val="center"/>
              <w:rPr>
                <w:b/>
                <w:bCs/>
                <w:color w:val="FFFFFF" w:themeColor="background1"/>
                <w:sz w:val="18"/>
                <w:szCs w:val="18"/>
              </w:rPr>
            </w:pPr>
            <w:r w:rsidRPr="00061B36">
              <w:rPr>
                <w:b/>
                <w:bCs/>
                <w:color w:val="FFFFFF" w:themeColor="background1"/>
                <w:sz w:val="18"/>
                <w:szCs w:val="18"/>
              </w:rPr>
              <w:t>Conclusión</w:t>
            </w:r>
          </w:p>
        </w:tc>
        <w:tc>
          <w:tcPr>
            <w:tcW w:w="4252" w:type="dxa"/>
            <w:tcBorders>
              <w:top w:val="single" w:sz="4" w:space="0" w:color="auto"/>
            </w:tcBorders>
            <w:shd w:val="clear" w:color="auto" w:fill="993366"/>
            <w:vAlign w:val="center"/>
          </w:tcPr>
          <w:p w14:paraId="01790385" w14:textId="77777777" w:rsidR="009151BB" w:rsidRPr="00061B36" w:rsidRDefault="009151BB" w:rsidP="00061B36">
            <w:pPr>
              <w:spacing w:before="120" w:after="120"/>
              <w:ind w:left="0"/>
              <w:jc w:val="center"/>
              <w:rPr>
                <w:b/>
                <w:bCs/>
                <w:color w:val="FFFFFF" w:themeColor="background1"/>
                <w:sz w:val="18"/>
                <w:szCs w:val="18"/>
              </w:rPr>
            </w:pPr>
            <w:r w:rsidRPr="00061B36">
              <w:rPr>
                <w:b/>
                <w:bCs/>
                <w:color w:val="FFFFFF" w:themeColor="background1"/>
                <w:sz w:val="18"/>
                <w:szCs w:val="18"/>
              </w:rPr>
              <w:t>Descripción</w:t>
            </w:r>
          </w:p>
        </w:tc>
        <w:tc>
          <w:tcPr>
            <w:tcW w:w="1887" w:type="dxa"/>
            <w:tcBorders>
              <w:top w:val="single" w:sz="4" w:space="0" w:color="auto"/>
            </w:tcBorders>
            <w:shd w:val="clear" w:color="auto" w:fill="993366"/>
            <w:vAlign w:val="center"/>
          </w:tcPr>
          <w:p w14:paraId="1A88B25A" w14:textId="77777777" w:rsidR="009151BB" w:rsidRPr="00061B36" w:rsidRDefault="009151BB" w:rsidP="00061B36">
            <w:pPr>
              <w:spacing w:before="120" w:after="120"/>
              <w:ind w:left="0"/>
              <w:jc w:val="center"/>
              <w:rPr>
                <w:b/>
                <w:bCs/>
                <w:color w:val="FFFFFF" w:themeColor="background1"/>
                <w:sz w:val="18"/>
                <w:szCs w:val="18"/>
              </w:rPr>
            </w:pPr>
            <w:r w:rsidRPr="00061B36">
              <w:rPr>
                <w:b/>
                <w:bCs/>
                <w:color w:val="FFFFFF" w:themeColor="background1"/>
                <w:sz w:val="18"/>
                <w:szCs w:val="18"/>
              </w:rPr>
              <w:t>Monto de la Sanción</w:t>
            </w:r>
          </w:p>
        </w:tc>
      </w:tr>
      <w:tr w:rsidR="009151BB" w:rsidRPr="00061B36" w14:paraId="081E64FC" w14:textId="77777777" w:rsidTr="00BB1B93">
        <w:tc>
          <w:tcPr>
            <w:tcW w:w="2127" w:type="dxa"/>
            <w:vAlign w:val="center"/>
          </w:tcPr>
          <w:p w14:paraId="6668FC2A" w14:textId="77777777" w:rsidR="009151BB" w:rsidRPr="00061B36" w:rsidRDefault="009151BB" w:rsidP="00061B36">
            <w:pPr>
              <w:spacing w:before="120" w:after="120"/>
              <w:ind w:left="0"/>
              <w:rPr>
                <w:sz w:val="18"/>
                <w:szCs w:val="18"/>
              </w:rPr>
            </w:pPr>
            <w:r w:rsidRPr="00061B36">
              <w:rPr>
                <w:sz w:val="18"/>
                <w:szCs w:val="18"/>
              </w:rPr>
              <w:t>3.28-C7-PRD-TB</w:t>
            </w:r>
          </w:p>
        </w:tc>
        <w:tc>
          <w:tcPr>
            <w:tcW w:w="4252" w:type="dxa"/>
            <w:vAlign w:val="center"/>
          </w:tcPr>
          <w:p w14:paraId="385CFDE0" w14:textId="72DDFCF5" w:rsidR="009151BB" w:rsidRPr="00061B36" w:rsidRDefault="009151BB" w:rsidP="00061B36">
            <w:pPr>
              <w:spacing w:before="120" w:after="120"/>
              <w:ind w:left="0"/>
              <w:rPr>
                <w:sz w:val="18"/>
                <w:szCs w:val="18"/>
              </w:rPr>
            </w:pPr>
            <w:r w:rsidRPr="00061B36">
              <w:rPr>
                <w:sz w:val="18"/>
                <w:szCs w:val="18"/>
              </w:rPr>
              <w:t>Informó 4 avisos de contratación de manera</w:t>
            </w:r>
            <w:r w:rsidR="00831398" w:rsidRPr="00061B36">
              <w:rPr>
                <w:sz w:val="18"/>
                <w:szCs w:val="18"/>
              </w:rPr>
              <w:t xml:space="preserve"> </w:t>
            </w:r>
            <w:r w:rsidRPr="00061B36">
              <w:rPr>
                <w:sz w:val="18"/>
                <w:szCs w:val="18"/>
              </w:rPr>
              <w:t>extemporánea.</w:t>
            </w:r>
          </w:p>
        </w:tc>
        <w:tc>
          <w:tcPr>
            <w:tcW w:w="1887" w:type="dxa"/>
            <w:vAlign w:val="center"/>
          </w:tcPr>
          <w:p w14:paraId="62844A2C" w14:textId="77777777" w:rsidR="009151BB" w:rsidRPr="00061B36" w:rsidRDefault="009151BB" w:rsidP="00061B36">
            <w:pPr>
              <w:spacing w:before="120" w:after="120"/>
              <w:ind w:left="0"/>
              <w:jc w:val="right"/>
              <w:rPr>
                <w:sz w:val="18"/>
                <w:szCs w:val="18"/>
              </w:rPr>
            </w:pPr>
            <w:r w:rsidRPr="00061B36">
              <w:rPr>
                <w:sz w:val="18"/>
                <w:szCs w:val="18"/>
              </w:rPr>
              <w:t>$868.80*</w:t>
            </w:r>
          </w:p>
        </w:tc>
      </w:tr>
      <w:tr w:rsidR="009151BB" w:rsidRPr="00061B36" w14:paraId="0E914A76" w14:textId="77777777" w:rsidTr="00BB1B93">
        <w:tc>
          <w:tcPr>
            <w:tcW w:w="2127" w:type="dxa"/>
            <w:vAlign w:val="center"/>
          </w:tcPr>
          <w:p w14:paraId="1114D9B6" w14:textId="77777777" w:rsidR="009151BB" w:rsidRPr="00061B36" w:rsidRDefault="009151BB" w:rsidP="00061B36">
            <w:pPr>
              <w:spacing w:before="120" w:after="120"/>
              <w:ind w:left="0"/>
              <w:rPr>
                <w:sz w:val="18"/>
                <w:szCs w:val="18"/>
              </w:rPr>
            </w:pPr>
            <w:r w:rsidRPr="00061B36">
              <w:rPr>
                <w:sz w:val="18"/>
                <w:szCs w:val="18"/>
              </w:rPr>
              <w:lastRenderedPageBreak/>
              <w:t>3.28-C5-PRD-TB</w:t>
            </w:r>
          </w:p>
        </w:tc>
        <w:tc>
          <w:tcPr>
            <w:tcW w:w="4252" w:type="dxa"/>
            <w:vAlign w:val="center"/>
          </w:tcPr>
          <w:p w14:paraId="67F0DD80" w14:textId="77777777" w:rsidR="009151BB" w:rsidRPr="00061B36" w:rsidRDefault="009151BB" w:rsidP="00061B36">
            <w:pPr>
              <w:spacing w:before="120" w:after="120"/>
              <w:ind w:left="0"/>
              <w:rPr>
                <w:sz w:val="18"/>
                <w:szCs w:val="18"/>
              </w:rPr>
            </w:pPr>
            <w:r w:rsidRPr="00061B36">
              <w:rPr>
                <w:sz w:val="18"/>
                <w:szCs w:val="18"/>
              </w:rPr>
              <w:t>Omitió reportar ingresos por concepto de vehículo por un monto de $100,200.00.</w:t>
            </w:r>
          </w:p>
        </w:tc>
        <w:tc>
          <w:tcPr>
            <w:tcW w:w="1887" w:type="dxa"/>
            <w:vAlign w:val="center"/>
          </w:tcPr>
          <w:p w14:paraId="1E6E7528" w14:textId="77777777" w:rsidR="009151BB" w:rsidRPr="00061B36" w:rsidRDefault="009151BB" w:rsidP="00061B36">
            <w:pPr>
              <w:spacing w:before="120" w:after="120"/>
              <w:ind w:left="0"/>
              <w:jc w:val="right"/>
              <w:rPr>
                <w:sz w:val="18"/>
                <w:szCs w:val="18"/>
              </w:rPr>
            </w:pPr>
            <w:r w:rsidRPr="00061B36">
              <w:rPr>
                <w:sz w:val="18"/>
                <w:szCs w:val="18"/>
              </w:rPr>
              <w:t>$150,300.00</w:t>
            </w:r>
          </w:p>
        </w:tc>
      </w:tr>
      <w:tr w:rsidR="009151BB" w:rsidRPr="00061B36" w14:paraId="39D0DA41" w14:textId="77777777" w:rsidTr="0047382C">
        <w:tc>
          <w:tcPr>
            <w:tcW w:w="6379" w:type="dxa"/>
            <w:gridSpan w:val="2"/>
            <w:tcBorders>
              <w:bottom w:val="single" w:sz="4" w:space="0" w:color="auto"/>
            </w:tcBorders>
            <w:shd w:val="clear" w:color="auto" w:fill="D5DCE4" w:themeFill="text2" w:themeFillTint="33"/>
            <w:vAlign w:val="center"/>
          </w:tcPr>
          <w:p w14:paraId="76E25CEB" w14:textId="77777777" w:rsidR="009151BB" w:rsidRPr="00061B36" w:rsidRDefault="009151BB" w:rsidP="00061B36">
            <w:pPr>
              <w:spacing w:before="120" w:after="120"/>
              <w:ind w:left="0"/>
              <w:jc w:val="right"/>
              <w:rPr>
                <w:b/>
                <w:bCs/>
                <w:sz w:val="18"/>
                <w:szCs w:val="18"/>
              </w:rPr>
            </w:pPr>
            <w:r w:rsidRPr="00061B36">
              <w:rPr>
                <w:b/>
                <w:bCs/>
                <w:sz w:val="18"/>
                <w:szCs w:val="18"/>
              </w:rPr>
              <w:t>Total</w:t>
            </w:r>
          </w:p>
        </w:tc>
        <w:tc>
          <w:tcPr>
            <w:tcW w:w="1887" w:type="dxa"/>
            <w:tcBorders>
              <w:bottom w:val="single" w:sz="4" w:space="0" w:color="auto"/>
            </w:tcBorders>
            <w:shd w:val="clear" w:color="auto" w:fill="D5DCE4" w:themeFill="text2" w:themeFillTint="33"/>
            <w:vAlign w:val="center"/>
          </w:tcPr>
          <w:p w14:paraId="65138B38" w14:textId="77777777" w:rsidR="009151BB" w:rsidRPr="00061B36" w:rsidRDefault="009151BB" w:rsidP="00061B36">
            <w:pPr>
              <w:spacing w:before="120" w:after="120"/>
              <w:ind w:left="0"/>
              <w:jc w:val="right"/>
              <w:rPr>
                <w:b/>
                <w:bCs/>
                <w:sz w:val="18"/>
                <w:szCs w:val="18"/>
              </w:rPr>
            </w:pPr>
            <w:r w:rsidRPr="00061B36">
              <w:rPr>
                <w:b/>
                <w:bCs/>
                <w:sz w:val="18"/>
                <w:szCs w:val="18"/>
              </w:rPr>
              <w:t>$151,168.80</w:t>
            </w:r>
          </w:p>
        </w:tc>
      </w:tr>
      <w:tr w:rsidR="009151BB" w:rsidRPr="00061B36" w14:paraId="0A2E475B" w14:textId="77777777" w:rsidTr="008E58DB">
        <w:tc>
          <w:tcPr>
            <w:tcW w:w="8266" w:type="dxa"/>
            <w:gridSpan w:val="3"/>
            <w:tcBorders>
              <w:top w:val="single" w:sz="4" w:space="0" w:color="auto"/>
              <w:left w:val="nil"/>
              <w:bottom w:val="nil"/>
              <w:right w:val="nil"/>
            </w:tcBorders>
            <w:shd w:val="clear" w:color="auto" w:fill="auto"/>
            <w:vAlign w:val="center"/>
          </w:tcPr>
          <w:p w14:paraId="1C51D392" w14:textId="77777777" w:rsidR="009151BB" w:rsidRPr="00061B36" w:rsidRDefault="009151BB" w:rsidP="00061B36">
            <w:pPr>
              <w:spacing w:before="120" w:after="120"/>
              <w:ind w:left="0"/>
              <w:rPr>
                <w:sz w:val="18"/>
                <w:szCs w:val="18"/>
              </w:rPr>
            </w:pPr>
            <w:r w:rsidRPr="00061B36">
              <w:rPr>
                <w:sz w:val="18"/>
                <w:szCs w:val="18"/>
              </w:rPr>
              <w:t>* Multa por falta de carácter formal.</w:t>
            </w:r>
          </w:p>
        </w:tc>
      </w:tr>
    </w:tbl>
    <w:p w14:paraId="6804F2EC" w14:textId="08A6EB8D" w:rsidR="009151BB" w:rsidRDefault="009D385C" w:rsidP="00C17A56">
      <w:pPr>
        <w:pStyle w:val="Ttulo3"/>
      </w:pPr>
      <w:r>
        <w:t>Partido Verde Ecologista de México</w:t>
      </w:r>
    </w:p>
    <w:tbl>
      <w:tblPr>
        <w:tblStyle w:val="Tablaconcuadrcula"/>
        <w:tblW w:w="8400" w:type="dxa"/>
        <w:tblInd w:w="562" w:type="dxa"/>
        <w:tblLook w:val="04A0" w:firstRow="1" w:lastRow="0" w:firstColumn="1" w:lastColumn="0" w:noHBand="0" w:noVBand="1"/>
      </w:tblPr>
      <w:tblGrid>
        <w:gridCol w:w="2127"/>
        <w:gridCol w:w="4281"/>
        <w:gridCol w:w="1992"/>
      </w:tblGrid>
      <w:tr w:rsidR="000827D8" w:rsidRPr="00061B36" w14:paraId="6592CF76" w14:textId="77777777" w:rsidTr="00061B36">
        <w:trPr>
          <w:tblHeader/>
        </w:trPr>
        <w:tc>
          <w:tcPr>
            <w:tcW w:w="8400" w:type="dxa"/>
            <w:gridSpan w:val="3"/>
            <w:tcBorders>
              <w:top w:val="nil"/>
              <w:left w:val="nil"/>
              <w:bottom w:val="single" w:sz="4" w:space="0" w:color="auto"/>
              <w:right w:val="nil"/>
            </w:tcBorders>
            <w:shd w:val="clear" w:color="auto" w:fill="auto"/>
            <w:vAlign w:val="center"/>
          </w:tcPr>
          <w:p w14:paraId="596A7EE4" w14:textId="0B18F657" w:rsidR="000827D8" w:rsidRPr="00896D41" w:rsidRDefault="000827D8" w:rsidP="00061B36">
            <w:pPr>
              <w:spacing w:before="120" w:after="120"/>
              <w:ind w:left="0"/>
              <w:rPr>
                <w:b/>
                <w:bCs/>
                <w:color w:val="FFFFFF" w:themeColor="background1"/>
                <w:sz w:val="18"/>
                <w:szCs w:val="18"/>
              </w:rPr>
            </w:pPr>
            <w:r w:rsidRPr="00896D41">
              <w:rPr>
                <w:b/>
                <w:bCs/>
                <w:sz w:val="18"/>
                <w:szCs w:val="18"/>
              </w:rPr>
              <w:t xml:space="preserve">Resolución </w:t>
            </w:r>
            <w:r w:rsidR="00DB0F44" w:rsidRPr="00896D41">
              <w:rPr>
                <w:b/>
                <w:bCs/>
                <w:sz w:val="18"/>
                <w:szCs w:val="18"/>
              </w:rPr>
              <w:t>INE/CG111</w:t>
            </w:r>
            <w:r w:rsidRPr="00896D41">
              <w:rPr>
                <w:b/>
                <w:bCs/>
                <w:sz w:val="18"/>
                <w:szCs w:val="18"/>
              </w:rPr>
              <w:t>/2022</w:t>
            </w:r>
          </w:p>
        </w:tc>
      </w:tr>
      <w:tr w:rsidR="00061B36" w:rsidRPr="00061B36" w14:paraId="72045048" w14:textId="77777777" w:rsidTr="00061B36">
        <w:trPr>
          <w:tblHeader/>
        </w:trPr>
        <w:tc>
          <w:tcPr>
            <w:tcW w:w="2127" w:type="dxa"/>
            <w:tcBorders>
              <w:top w:val="single" w:sz="4" w:space="0" w:color="auto"/>
            </w:tcBorders>
            <w:shd w:val="clear" w:color="auto" w:fill="993366"/>
            <w:vAlign w:val="center"/>
          </w:tcPr>
          <w:p w14:paraId="76B7A402" w14:textId="77777777" w:rsidR="003B3365" w:rsidRPr="00061B36" w:rsidRDefault="003B3365" w:rsidP="00061B36">
            <w:pPr>
              <w:spacing w:before="120" w:after="120"/>
              <w:ind w:left="0"/>
              <w:rPr>
                <w:b/>
                <w:bCs/>
                <w:color w:val="FFFFFF" w:themeColor="background1"/>
                <w:sz w:val="18"/>
                <w:szCs w:val="18"/>
              </w:rPr>
            </w:pPr>
            <w:r w:rsidRPr="00061B36">
              <w:rPr>
                <w:b/>
                <w:bCs/>
                <w:color w:val="FFFFFF" w:themeColor="background1"/>
                <w:sz w:val="18"/>
                <w:szCs w:val="18"/>
              </w:rPr>
              <w:t>Conclusión</w:t>
            </w:r>
          </w:p>
        </w:tc>
        <w:tc>
          <w:tcPr>
            <w:tcW w:w="4281" w:type="dxa"/>
            <w:tcBorders>
              <w:top w:val="single" w:sz="4" w:space="0" w:color="auto"/>
            </w:tcBorders>
            <w:shd w:val="clear" w:color="auto" w:fill="993366"/>
            <w:vAlign w:val="center"/>
          </w:tcPr>
          <w:p w14:paraId="7E1BE75F" w14:textId="77777777" w:rsidR="003B3365" w:rsidRPr="00061B36" w:rsidRDefault="003B3365" w:rsidP="00061B36">
            <w:pPr>
              <w:spacing w:before="120" w:after="120"/>
              <w:ind w:left="0"/>
              <w:rPr>
                <w:b/>
                <w:bCs/>
                <w:color w:val="FFFFFF" w:themeColor="background1"/>
                <w:sz w:val="18"/>
                <w:szCs w:val="18"/>
              </w:rPr>
            </w:pPr>
            <w:r w:rsidRPr="00061B36">
              <w:rPr>
                <w:b/>
                <w:bCs/>
                <w:color w:val="FFFFFF" w:themeColor="background1"/>
                <w:sz w:val="18"/>
                <w:szCs w:val="18"/>
              </w:rPr>
              <w:t>Descripción</w:t>
            </w:r>
          </w:p>
        </w:tc>
        <w:tc>
          <w:tcPr>
            <w:tcW w:w="1992" w:type="dxa"/>
            <w:tcBorders>
              <w:top w:val="single" w:sz="4" w:space="0" w:color="auto"/>
            </w:tcBorders>
            <w:shd w:val="clear" w:color="auto" w:fill="993366"/>
            <w:vAlign w:val="center"/>
          </w:tcPr>
          <w:p w14:paraId="0F881117" w14:textId="77777777" w:rsidR="003B3365" w:rsidRPr="00061B36" w:rsidRDefault="003B3365" w:rsidP="00061B36">
            <w:pPr>
              <w:spacing w:before="120" w:after="120"/>
              <w:ind w:left="0"/>
              <w:rPr>
                <w:b/>
                <w:bCs/>
                <w:color w:val="FFFFFF" w:themeColor="background1"/>
                <w:sz w:val="18"/>
                <w:szCs w:val="18"/>
              </w:rPr>
            </w:pPr>
            <w:r w:rsidRPr="00061B36">
              <w:rPr>
                <w:b/>
                <w:bCs/>
                <w:color w:val="FFFFFF" w:themeColor="background1"/>
                <w:sz w:val="18"/>
                <w:szCs w:val="18"/>
              </w:rPr>
              <w:t>Monto de la Sanción</w:t>
            </w:r>
          </w:p>
        </w:tc>
      </w:tr>
      <w:tr w:rsidR="003B3365" w:rsidRPr="00061B36" w14:paraId="1945BC7F" w14:textId="77777777" w:rsidTr="00BB1B93">
        <w:tc>
          <w:tcPr>
            <w:tcW w:w="2127" w:type="dxa"/>
            <w:vAlign w:val="center"/>
          </w:tcPr>
          <w:p w14:paraId="2A88CB73" w14:textId="77777777" w:rsidR="003B3365" w:rsidRPr="00061B36" w:rsidRDefault="003B3365" w:rsidP="00061B36">
            <w:pPr>
              <w:spacing w:before="120" w:after="120"/>
              <w:ind w:left="0"/>
              <w:rPr>
                <w:sz w:val="18"/>
                <w:szCs w:val="18"/>
              </w:rPr>
            </w:pPr>
            <w:r w:rsidRPr="00061B36">
              <w:rPr>
                <w:sz w:val="18"/>
                <w:szCs w:val="18"/>
              </w:rPr>
              <w:t>5.28-C1-PVEM-TB</w:t>
            </w:r>
          </w:p>
        </w:tc>
        <w:tc>
          <w:tcPr>
            <w:tcW w:w="4281" w:type="dxa"/>
            <w:vAlign w:val="center"/>
          </w:tcPr>
          <w:p w14:paraId="5CF1C6D4" w14:textId="77777777" w:rsidR="003B3365" w:rsidRPr="00061B36" w:rsidRDefault="003B3365" w:rsidP="00061B36">
            <w:pPr>
              <w:spacing w:before="120" w:after="120"/>
              <w:ind w:left="0"/>
              <w:rPr>
                <w:sz w:val="18"/>
                <w:szCs w:val="18"/>
              </w:rPr>
            </w:pPr>
            <w:r w:rsidRPr="00061B36">
              <w:rPr>
                <w:sz w:val="18"/>
                <w:szCs w:val="18"/>
              </w:rPr>
              <w:t>Omitió presentar la invitación para la realización de su inventario anual correspondiente al ejercicio 2020.</w:t>
            </w:r>
          </w:p>
        </w:tc>
        <w:tc>
          <w:tcPr>
            <w:tcW w:w="1992" w:type="dxa"/>
            <w:vMerge w:val="restart"/>
            <w:vAlign w:val="center"/>
          </w:tcPr>
          <w:p w14:paraId="42659ADE" w14:textId="77777777" w:rsidR="003B3365" w:rsidRPr="00061B36" w:rsidRDefault="003B3365" w:rsidP="00061B36">
            <w:pPr>
              <w:spacing w:before="120" w:after="120"/>
              <w:ind w:left="0"/>
              <w:jc w:val="right"/>
              <w:rPr>
                <w:sz w:val="18"/>
                <w:szCs w:val="18"/>
              </w:rPr>
            </w:pPr>
          </w:p>
          <w:p w14:paraId="4EF3070C" w14:textId="77777777" w:rsidR="003B3365" w:rsidRPr="00061B36" w:rsidRDefault="003B3365" w:rsidP="00061B36">
            <w:pPr>
              <w:spacing w:before="120" w:after="120"/>
              <w:ind w:left="0"/>
              <w:jc w:val="right"/>
              <w:rPr>
                <w:sz w:val="18"/>
                <w:szCs w:val="18"/>
              </w:rPr>
            </w:pPr>
          </w:p>
          <w:p w14:paraId="5C622D60" w14:textId="77777777" w:rsidR="003B3365" w:rsidRPr="00061B36" w:rsidRDefault="003B3365" w:rsidP="00061B36">
            <w:pPr>
              <w:spacing w:before="120" w:after="120"/>
              <w:ind w:left="0"/>
              <w:jc w:val="right"/>
              <w:rPr>
                <w:sz w:val="18"/>
                <w:szCs w:val="18"/>
              </w:rPr>
            </w:pPr>
          </w:p>
          <w:p w14:paraId="3D73A9CC" w14:textId="77777777" w:rsidR="003B3365" w:rsidRPr="00061B36" w:rsidRDefault="003B3365" w:rsidP="00061B36">
            <w:pPr>
              <w:spacing w:before="120" w:after="120"/>
              <w:ind w:left="0"/>
              <w:jc w:val="right"/>
              <w:rPr>
                <w:sz w:val="18"/>
                <w:szCs w:val="18"/>
              </w:rPr>
            </w:pPr>
            <w:r w:rsidRPr="00061B36">
              <w:rPr>
                <w:sz w:val="18"/>
                <w:szCs w:val="18"/>
              </w:rPr>
              <w:t>3,475.20*</w:t>
            </w:r>
          </w:p>
        </w:tc>
      </w:tr>
      <w:tr w:rsidR="003B3365" w:rsidRPr="00061B36" w14:paraId="27BFFE5A" w14:textId="77777777" w:rsidTr="00BB1B93">
        <w:tc>
          <w:tcPr>
            <w:tcW w:w="2127" w:type="dxa"/>
            <w:vAlign w:val="center"/>
          </w:tcPr>
          <w:p w14:paraId="235D0F42" w14:textId="77777777" w:rsidR="003B3365" w:rsidRPr="00061B36" w:rsidRDefault="003B3365" w:rsidP="00061B36">
            <w:pPr>
              <w:spacing w:before="120" w:after="120"/>
              <w:ind w:left="0"/>
              <w:rPr>
                <w:sz w:val="18"/>
                <w:szCs w:val="18"/>
              </w:rPr>
            </w:pPr>
            <w:r w:rsidRPr="00061B36">
              <w:rPr>
                <w:sz w:val="18"/>
                <w:szCs w:val="18"/>
              </w:rPr>
              <w:t>5.28-C2-PVEM-TB</w:t>
            </w:r>
          </w:p>
        </w:tc>
        <w:tc>
          <w:tcPr>
            <w:tcW w:w="4281" w:type="dxa"/>
            <w:vAlign w:val="center"/>
          </w:tcPr>
          <w:p w14:paraId="441F1684" w14:textId="77777777" w:rsidR="003B3365" w:rsidRPr="00061B36" w:rsidRDefault="003B3365" w:rsidP="00061B36">
            <w:pPr>
              <w:spacing w:before="120" w:after="120"/>
              <w:ind w:left="0"/>
              <w:rPr>
                <w:sz w:val="18"/>
                <w:szCs w:val="18"/>
              </w:rPr>
            </w:pPr>
            <w:r w:rsidRPr="00061B36">
              <w:rPr>
                <w:sz w:val="18"/>
                <w:szCs w:val="18"/>
              </w:rPr>
              <w:t>Omisión de presentar su aviso de montos mínimos y máximos.</w:t>
            </w:r>
          </w:p>
        </w:tc>
        <w:tc>
          <w:tcPr>
            <w:tcW w:w="1992" w:type="dxa"/>
            <w:vMerge/>
            <w:vAlign w:val="center"/>
          </w:tcPr>
          <w:p w14:paraId="77AFA0FD" w14:textId="77777777" w:rsidR="003B3365" w:rsidRPr="00061B36" w:rsidRDefault="003B3365" w:rsidP="00061B36">
            <w:pPr>
              <w:spacing w:before="120" w:after="120"/>
              <w:ind w:left="0"/>
              <w:jc w:val="right"/>
              <w:rPr>
                <w:sz w:val="18"/>
                <w:szCs w:val="18"/>
              </w:rPr>
            </w:pPr>
          </w:p>
        </w:tc>
      </w:tr>
      <w:tr w:rsidR="003B3365" w:rsidRPr="00061B36" w14:paraId="5842C6D8" w14:textId="77777777" w:rsidTr="00BB1B93">
        <w:tc>
          <w:tcPr>
            <w:tcW w:w="2127" w:type="dxa"/>
            <w:vAlign w:val="center"/>
          </w:tcPr>
          <w:p w14:paraId="0B8D80AA" w14:textId="77777777" w:rsidR="003B3365" w:rsidRPr="00061B36" w:rsidRDefault="003B3365" w:rsidP="00061B36">
            <w:pPr>
              <w:spacing w:before="120" w:after="120"/>
              <w:ind w:left="0"/>
              <w:rPr>
                <w:sz w:val="18"/>
                <w:szCs w:val="18"/>
              </w:rPr>
            </w:pPr>
            <w:r w:rsidRPr="00061B36">
              <w:rPr>
                <w:sz w:val="18"/>
                <w:szCs w:val="18"/>
              </w:rPr>
              <w:t>5.28-C3-PVEM-TB</w:t>
            </w:r>
          </w:p>
        </w:tc>
        <w:tc>
          <w:tcPr>
            <w:tcW w:w="4281" w:type="dxa"/>
            <w:vAlign w:val="center"/>
          </w:tcPr>
          <w:p w14:paraId="4E8DB58D" w14:textId="77777777" w:rsidR="003B3365" w:rsidRPr="00061B36" w:rsidRDefault="003B3365" w:rsidP="00061B36">
            <w:pPr>
              <w:spacing w:before="120" w:after="120"/>
              <w:ind w:left="0"/>
              <w:rPr>
                <w:sz w:val="18"/>
                <w:szCs w:val="18"/>
              </w:rPr>
            </w:pPr>
            <w:r w:rsidRPr="00061B36">
              <w:rPr>
                <w:sz w:val="18"/>
                <w:szCs w:val="18"/>
              </w:rPr>
              <w:t>Omisión de presentar su aviso de montos mínimos y máximos.</w:t>
            </w:r>
          </w:p>
        </w:tc>
        <w:tc>
          <w:tcPr>
            <w:tcW w:w="1992" w:type="dxa"/>
            <w:vMerge/>
            <w:vAlign w:val="center"/>
          </w:tcPr>
          <w:p w14:paraId="2D7ABA1D" w14:textId="77777777" w:rsidR="003B3365" w:rsidRPr="00061B36" w:rsidRDefault="003B3365" w:rsidP="00061B36">
            <w:pPr>
              <w:spacing w:before="120" w:after="120"/>
              <w:ind w:left="0"/>
              <w:jc w:val="right"/>
              <w:rPr>
                <w:sz w:val="18"/>
                <w:szCs w:val="18"/>
              </w:rPr>
            </w:pPr>
          </w:p>
        </w:tc>
      </w:tr>
      <w:tr w:rsidR="003B3365" w:rsidRPr="00061B36" w14:paraId="49D0E1CB" w14:textId="77777777" w:rsidTr="00BB1B93">
        <w:tc>
          <w:tcPr>
            <w:tcW w:w="2127" w:type="dxa"/>
            <w:vAlign w:val="center"/>
          </w:tcPr>
          <w:p w14:paraId="14D34448" w14:textId="77777777" w:rsidR="003B3365" w:rsidRPr="00061B36" w:rsidRDefault="003B3365" w:rsidP="00061B36">
            <w:pPr>
              <w:spacing w:before="120" w:after="120"/>
              <w:ind w:left="0"/>
              <w:rPr>
                <w:sz w:val="18"/>
                <w:szCs w:val="18"/>
              </w:rPr>
            </w:pPr>
            <w:r w:rsidRPr="00061B36">
              <w:rPr>
                <w:sz w:val="18"/>
                <w:szCs w:val="18"/>
              </w:rPr>
              <w:t>5.28-C7-PVEM-TB</w:t>
            </w:r>
          </w:p>
        </w:tc>
        <w:tc>
          <w:tcPr>
            <w:tcW w:w="4281" w:type="dxa"/>
            <w:vAlign w:val="center"/>
          </w:tcPr>
          <w:p w14:paraId="00DC682C" w14:textId="19609115" w:rsidR="003B3365" w:rsidRPr="00061B36" w:rsidRDefault="003B3365" w:rsidP="00061B36">
            <w:pPr>
              <w:spacing w:before="120" w:after="120"/>
              <w:ind w:left="0"/>
              <w:rPr>
                <w:sz w:val="18"/>
                <w:szCs w:val="18"/>
              </w:rPr>
            </w:pPr>
            <w:r w:rsidRPr="00061B36">
              <w:rPr>
                <w:sz w:val="18"/>
                <w:szCs w:val="18"/>
              </w:rPr>
              <w:t>Omitió presentar el papel de trabajo en el cual</w:t>
            </w:r>
            <w:r w:rsidR="00F30CEF" w:rsidRPr="00061B36">
              <w:rPr>
                <w:sz w:val="18"/>
                <w:szCs w:val="18"/>
              </w:rPr>
              <w:t xml:space="preserve"> </w:t>
            </w:r>
            <w:r w:rsidRPr="00061B36">
              <w:rPr>
                <w:sz w:val="18"/>
                <w:szCs w:val="18"/>
              </w:rPr>
              <w:t>realizó el cálculo del saldo o remanente de financiamiento público a devolver</w:t>
            </w:r>
          </w:p>
        </w:tc>
        <w:tc>
          <w:tcPr>
            <w:tcW w:w="1992" w:type="dxa"/>
            <w:vMerge/>
            <w:vAlign w:val="center"/>
          </w:tcPr>
          <w:p w14:paraId="22950440" w14:textId="77777777" w:rsidR="003B3365" w:rsidRPr="00061B36" w:rsidRDefault="003B3365" w:rsidP="00061B36">
            <w:pPr>
              <w:spacing w:before="120" w:after="120"/>
              <w:ind w:left="0"/>
              <w:jc w:val="right"/>
              <w:rPr>
                <w:sz w:val="18"/>
                <w:szCs w:val="18"/>
              </w:rPr>
            </w:pPr>
          </w:p>
        </w:tc>
      </w:tr>
      <w:tr w:rsidR="003B3365" w:rsidRPr="00061B36" w14:paraId="6E49F268" w14:textId="77777777" w:rsidTr="008E58DB">
        <w:tc>
          <w:tcPr>
            <w:tcW w:w="6408" w:type="dxa"/>
            <w:gridSpan w:val="2"/>
            <w:tcBorders>
              <w:bottom w:val="single" w:sz="4" w:space="0" w:color="auto"/>
            </w:tcBorders>
            <w:shd w:val="clear" w:color="auto" w:fill="D5DCE4" w:themeFill="text2" w:themeFillTint="33"/>
            <w:vAlign w:val="center"/>
          </w:tcPr>
          <w:p w14:paraId="6D730637" w14:textId="77777777" w:rsidR="003B3365" w:rsidRPr="00061B36" w:rsidRDefault="003B3365" w:rsidP="00061B36">
            <w:pPr>
              <w:spacing w:before="120" w:after="120"/>
              <w:ind w:left="0"/>
              <w:jc w:val="right"/>
              <w:rPr>
                <w:b/>
                <w:bCs/>
                <w:sz w:val="18"/>
                <w:szCs w:val="18"/>
              </w:rPr>
            </w:pPr>
            <w:r w:rsidRPr="00061B36">
              <w:rPr>
                <w:b/>
                <w:bCs/>
                <w:sz w:val="18"/>
                <w:szCs w:val="18"/>
              </w:rPr>
              <w:t>Total</w:t>
            </w:r>
          </w:p>
        </w:tc>
        <w:tc>
          <w:tcPr>
            <w:tcW w:w="1992" w:type="dxa"/>
            <w:tcBorders>
              <w:bottom w:val="single" w:sz="4" w:space="0" w:color="auto"/>
            </w:tcBorders>
            <w:shd w:val="clear" w:color="auto" w:fill="D5DCE4" w:themeFill="text2" w:themeFillTint="33"/>
            <w:vAlign w:val="center"/>
          </w:tcPr>
          <w:p w14:paraId="70C26FDA" w14:textId="77777777" w:rsidR="003B3365" w:rsidRPr="00061B36" w:rsidRDefault="003B3365" w:rsidP="00061B36">
            <w:pPr>
              <w:spacing w:before="120" w:after="120"/>
              <w:ind w:left="0"/>
              <w:jc w:val="right"/>
              <w:rPr>
                <w:b/>
                <w:bCs/>
                <w:sz w:val="18"/>
                <w:szCs w:val="18"/>
              </w:rPr>
            </w:pPr>
            <w:r w:rsidRPr="00061B36">
              <w:rPr>
                <w:b/>
                <w:bCs/>
                <w:sz w:val="18"/>
                <w:szCs w:val="18"/>
              </w:rPr>
              <w:t>$3,475.20</w:t>
            </w:r>
          </w:p>
        </w:tc>
      </w:tr>
      <w:tr w:rsidR="003B3365" w:rsidRPr="00061B36" w14:paraId="6ED94A66" w14:textId="77777777" w:rsidTr="008E58DB">
        <w:tc>
          <w:tcPr>
            <w:tcW w:w="8400" w:type="dxa"/>
            <w:gridSpan w:val="3"/>
            <w:tcBorders>
              <w:top w:val="single" w:sz="4" w:space="0" w:color="auto"/>
              <w:left w:val="nil"/>
              <w:bottom w:val="nil"/>
              <w:right w:val="nil"/>
            </w:tcBorders>
            <w:shd w:val="clear" w:color="auto" w:fill="auto"/>
            <w:vAlign w:val="center"/>
          </w:tcPr>
          <w:p w14:paraId="25E5757F" w14:textId="77777777" w:rsidR="003B3365" w:rsidRPr="00061B36" w:rsidRDefault="003B3365" w:rsidP="00061B36">
            <w:pPr>
              <w:spacing w:before="120" w:after="120"/>
              <w:ind w:left="0"/>
              <w:rPr>
                <w:sz w:val="18"/>
                <w:szCs w:val="18"/>
              </w:rPr>
            </w:pPr>
            <w:r w:rsidRPr="00061B36">
              <w:rPr>
                <w:sz w:val="18"/>
                <w:szCs w:val="18"/>
              </w:rPr>
              <w:t>* Multa por falta de carácter formal.</w:t>
            </w:r>
          </w:p>
        </w:tc>
      </w:tr>
    </w:tbl>
    <w:p w14:paraId="06A74516" w14:textId="4597783D" w:rsidR="009151BB" w:rsidRDefault="003B3365" w:rsidP="00C17A56">
      <w:pPr>
        <w:pStyle w:val="Ttulo3"/>
      </w:pPr>
      <w:r>
        <w:t>Partido Morena</w:t>
      </w:r>
    </w:p>
    <w:tbl>
      <w:tblPr>
        <w:tblStyle w:val="Tablaconcuadrcula"/>
        <w:tblW w:w="8258" w:type="dxa"/>
        <w:tblInd w:w="562" w:type="dxa"/>
        <w:tblLook w:val="04A0" w:firstRow="1" w:lastRow="0" w:firstColumn="1" w:lastColumn="0" w:noHBand="0" w:noVBand="1"/>
      </w:tblPr>
      <w:tblGrid>
        <w:gridCol w:w="2127"/>
        <w:gridCol w:w="4141"/>
        <w:gridCol w:w="1990"/>
      </w:tblGrid>
      <w:tr w:rsidR="000827D8" w:rsidRPr="00896D41" w14:paraId="0B1B0630" w14:textId="77777777" w:rsidTr="00316777">
        <w:trPr>
          <w:tblHeader/>
        </w:trPr>
        <w:tc>
          <w:tcPr>
            <w:tcW w:w="8258" w:type="dxa"/>
            <w:gridSpan w:val="3"/>
            <w:tcBorders>
              <w:top w:val="nil"/>
              <w:left w:val="nil"/>
              <w:bottom w:val="single" w:sz="4" w:space="0" w:color="auto"/>
              <w:right w:val="nil"/>
            </w:tcBorders>
            <w:shd w:val="clear" w:color="auto" w:fill="auto"/>
            <w:vAlign w:val="center"/>
          </w:tcPr>
          <w:p w14:paraId="415593FC" w14:textId="530BC1B7" w:rsidR="000827D8" w:rsidRPr="00896D41" w:rsidRDefault="000827D8" w:rsidP="00896D41">
            <w:pPr>
              <w:spacing w:before="120" w:after="120"/>
              <w:ind w:left="0"/>
              <w:rPr>
                <w:b/>
                <w:bCs/>
                <w:color w:val="FFFFFF" w:themeColor="background1"/>
                <w:sz w:val="18"/>
                <w:szCs w:val="18"/>
              </w:rPr>
            </w:pPr>
            <w:r w:rsidRPr="00896D41">
              <w:rPr>
                <w:b/>
                <w:bCs/>
                <w:sz w:val="18"/>
                <w:szCs w:val="18"/>
              </w:rPr>
              <w:lastRenderedPageBreak/>
              <w:t>Resolución INE/CG113/2022</w:t>
            </w:r>
          </w:p>
        </w:tc>
      </w:tr>
      <w:tr w:rsidR="00896D41" w:rsidRPr="00896D41" w14:paraId="5FB2706C" w14:textId="77777777" w:rsidTr="00316777">
        <w:trPr>
          <w:tblHeader/>
        </w:trPr>
        <w:tc>
          <w:tcPr>
            <w:tcW w:w="2127" w:type="dxa"/>
            <w:tcBorders>
              <w:top w:val="single" w:sz="4" w:space="0" w:color="auto"/>
            </w:tcBorders>
            <w:shd w:val="clear" w:color="auto" w:fill="993366"/>
            <w:vAlign w:val="center"/>
          </w:tcPr>
          <w:p w14:paraId="38E5F049" w14:textId="77777777" w:rsidR="00EF3741" w:rsidRPr="00896D41" w:rsidRDefault="00EF3741" w:rsidP="00896D41">
            <w:pPr>
              <w:spacing w:before="120" w:after="120"/>
              <w:ind w:left="0"/>
              <w:jc w:val="center"/>
              <w:rPr>
                <w:b/>
                <w:bCs/>
                <w:color w:val="FFFFFF" w:themeColor="background1"/>
                <w:sz w:val="18"/>
                <w:szCs w:val="18"/>
              </w:rPr>
            </w:pPr>
            <w:r w:rsidRPr="00896D41">
              <w:rPr>
                <w:b/>
                <w:bCs/>
                <w:color w:val="FFFFFF" w:themeColor="background1"/>
                <w:sz w:val="18"/>
                <w:szCs w:val="18"/>
              </w:rPr>
              <w:t>Conclusión</w:t>
            </w:r>
          </w:p>
        </w:tc>
        <w:tc>
          <w:tcPr>
            <w:tcW w:w="4141" w:type="dxa"/>
            <w:tcBorders>
              <w:top w:val="single" w:sz="4" w:space="0" w:color="auto"/>
            </w:tcBorders>
            <w:shd w:val="clear" w:color="auto" w:fill="993366"/>
            <w:vAlign w:val="center"/>
          </w:tcPr>
          <w:p w14:paraId="683FE228" w14:textId="77777777" w:rsidR="00EF3741" w:rsidRPr="00896D41" w:rsidRDefault="00EF3741" w:rsidP="00896D41">
            <w:pPr>
              <w:spacing w:before="120" w:after="120"/>
              <w:ind w:left="0"/>
              <w:jc w:val="center"/>
              <w:rPr>
                <w:b/>
                <w:bCs/>
                <w:color w:val="FFFFFF" w:themeColor="background1"/>
                <w:sz w:val="18"/>
                <w:szCs w:val="18"/>
              </w:rPr>
            </w:pPr>
            <w:r w:rsidRPr="00896D41">
              <w:rPr>
                <w:b/>
                <w:bCs/>
                <w:color w:val="FFFFFF" w:themeColor="background1"/>
                <w:sz w:val="18"/>
                <w:szCs w:val="18"/>
              </w:rPr>
              <w:t>Descripción</w:t>
            </w:r>
          </w:p>
        </w:tc>
        <w:tc>
          <w:tcPr>
            <w:tcW w:w="1990" w:type="dxa"/>
            <w:tcBorders>
              <w:top w:val="single" w:sz="4" w:space="0" w:color="auto"/>
            </w:tcBorders>
            <w:shd w:val="clear" w:color="auto" w:fill="993366"/>
            <w:vAlign w:val="center"/>
          </w:tcPr>
          <w:p w14:paraId="75D3F6DD" w14:textId="77777777" w:rsidR="00EF3741" w:rsidRPr="00896D41" w:rsidRDefault="00EF3741" w:rsidP="00896D41">
            <w:pPr>
              <w:spacing w:before="120" w:after="120"/>
              <w:ind w:left="0"/>
              <w:jc w:val="center"/>
              <w:rPr>
                <w:b/>
                <w:bCs/>
                <w:color w:val="FFFFFF" w:themeColor="background1"/>
                <w:sz w:val="18"/>
                <w:szCs w:val="18"/>
              </w:rPr>
            </w:pPr>
            <w:r w:rsidRPr="00896D41">
              <w:rPr>
                <w:b/>
                <w:bCs/>
                <w:color w:val="FFFFFF" w:themeColor="background1"/>
                <w:sz w:val="18"/>
                <w:szCs w:val="18"/>
              </w:rPr>
              <w:t>Monto de la Sanción</w:t>
            </w:r>
          </w:p>
        </w:tc>
      </w:tr>
      <w:tr w:rsidR="00EF3741" w:rsidRPr="00896D41" w14:paraId="36ED651E" w14:textId="77777777" w:rsidTr="00316777">
        <w:tc>
          <w:tcPr>
            <w:tcW w:w="2127" w:type="dxa"/>
            <w:vAlign w:val="center"/>
          </w:tcPr>
          <w:p w14:paraId="5B8FCE0D" w14:textId="77777777" w:rsidR="00EF3741" w:rsidRPr="00896D41" w:rsidRDefault="00EF3741" w:rsidP="00896D41">
            <w:pPr>
              <w:spacing w:before="120" w:after="120"/>
              <w:ind w:left="0"/>
              <w:rPr>
                <w:sz w:val="18"/>
                <w:szCs w:val="18"/>
              </w:rPr>
            </w:pPr>
            <w:r w:rsidRPr="00896D41">
              <w:rPr>
                <w:sz w:val="18"/>
                <w:szCs w:val="18"/>
              </w:rPr>
              <w:t>7.28-C3-MORENA-TB</w:t>
            </w:r>
          </w:p>
        </w:tc>
        <w:tc>
          <w:tcPr>
            <w:tcW w:w="4141" w:type="dxa"/>
            <w:vAlign w:val="center"/>
          </w:tcPr>
          <w:p w14:paraId="36E0BB5D" w14:textId="77777777" w:rsidR="00EF3741" w:rsidRPr="00896D41" w:rsidRDefault="00EF3741" w:rsidP="00896D41">
            <w:pPr>
              <w:spacing w:before="120" w:after="120"/>
              <w:ind w:left="0"/>
              <w:rPr>
                <w:sz w:val="18"/>
                <w:szCs w:val="18"/>
              </w:rPr>
            </w:pPr>
            <w:r w:rsidRPr="00896D41">
              <w:rPr>
                <w:sz w:val="18"/>
                <w:szCs w:val="18"/>
              </w:rPr>
              <w:t>Omitió presentar el informe de ingresos y gastos correspondiente al ejercicio ordinario 2020, firmado mediante e.firma, del auditor externo.</w:t>
            </w:r>
          </w:p>
        </w:tc>
        <w:tc>
          <w:tcPr>
            <w:tcW w:w="1990" w:type="dxa"/>
            <w:vMerge w:val="restart"/>
            <w:vAlign w:val="center"/>
          </w:tcPr>
          <w:p w14:paraId="245A4A9E" w14:textId="77777777" w:rsidR="00EF3741" w:rsidRPr="00F941F0" w:rsidRDefault="00EF3741" w:rsidP="00F941F0">
            <w:pPr>
              <w:spacing w:before="120" w:after="120"/>
              <w:ind w:left="0"/>
              <w:jc w:val="right"/>
              <w:rPr>
                <w:sz w:val="18"/>
                <w:szCs w:val="18"/>
              </w:rPr>
            </w:pPr>
            <w:r w:rsidRPr="00F941F0">
              <w:rPr>
                <w:sz w:val="18"/>
                <w:szCs w:val="18"/>
              </w:rPr>
              <w:t>$11,294.40*</w:t>
            </w:r>
          </w:p>
        </w:tc>
      </w:tr>
      <w:tr w:rsidR="00EF3741" w:rsidRPr="00896D41" w14:paraId="0F107F35" w14:textId="77777777" w:rsidTr="00316777">
        <w:tc>
          <w:tcPr>
            <w:tcW w:w="2127" w:type="dxa"/>
            <w:vAlign w:val="center"/>
          </w:tcPr>
          <w:p w14:paraId="4C4D01F2" w14:textId="77777777" w:rsidR="00EF3741" w:rsidRPr="00896D41" w:rsidRDefault="00EF3741" w:rsidP="00896D41">
            <w:pPr>
              <w:spacing w:before="120" w:after="120"/>
              <w:ind w:left="0"/>
              <w:rPr>
                <w:sz w:val="18"/>
                <w:szCs w:val="18"/>
              </w:rPr>
            </w:pPr>
            <w:r w:rsidRPr="00896D41">
              <w:rPr>
                <w:sz w:val="18"/>
                <w:szCs w:val="18"/>
              </w:rPr>
              <w:t>7.28-C4-MORENA-TB</w:t>
            </w:r>
          </w:p>
        </w:tc>
        <w:tc>
          <w:tcPr>
            <w:tcW w:w="4141" w:type="dxa"/>
            <w:vAlign w:val="center"/>
          </w:tcPr>
          <w:p w14:paraId="415076C8" w14:textId="77777777" w:rsidR="00EF3741" w:rsidRPr="00896D41" w:rsidRDefault="00EF3741" w:rsidP="00896D41">
            <w:pPr>
              <w:spacing w:before="120" w:after="120"/>
              <w:ind w:left="0"/>
              <w:rPr>
                <w:sz w:val="18"/>
                <w:szCs w:val="18"/>
              </w:rPr>
            </w:pPr>
            <w:r w:rsidRPr="00896D41">
              <w:rPr>
                <w:sz w:val="18"/>
                <w:szCs w:val="18"/>
              </w:rPr>
              <w:t>El sujeto obligado omitió presentar en el SIF el escrito de los porcentajes aplicables a la depreciación de su activo dijo en el ejercicio 2020.</w:t>
            </w:r>
          </w:p>
        </w:tc>
        <w:tc>
          <w:tcPr>
            <w:tcW w:w="1990" w:type="dxa"/>
            <w:vMerge/>
            <w:vAlign w:val="center"/>
          </w:tcPr>
          <w:p w14:paraId="46E9B6A4" w14:textId="77777777" w:rsidR="00EF3741" w:rsidRPr="00896D41" w:rsidRDefault="00EF3741" w:rsidP="00896D41">
            <w:pPr>
              <w:spacing w:before="120" w:after="120"/>
              <w:ind w:left="0"/>
              <w:rPr>
                <w:sz w:val="18"/>
                <w:szCs w:val="18"/>
              </w:rPr>
            </w:pPr>
          </w:p>
        </w:tc>
      </w:tr>
      <w:tr w:rsidR="00EF3741" w:rsidRPr="00896D41" w14:paraId="4AAD0150" w14:textId="77777777" w:rsidTr="00316777">
        <w:tc>
          <w:tcPr>
            <w:tcW w:w="2127" w:type="dxa"/>
            <w:vAlign w:val="center"/>
          </w:tcPr>
          <w:p w14:paraId="06ECCEA0" w14:textId="77777777" w:rsidR="00EF3741" w:rsidRPr="00896D41" w:rsidRDefault="00EF3741" w:rsidP="00896D41">
            <w:pPr>
              <w:spacing w:before="120" w:after="120"/>
              <w:ind w:left="0"/>
              <w:rPr>
                <w:sz w:val="18"/>
                <w:szCs w:val="18"/>
              </w:rPr>
            </w:pPr>
            <w:r w:rsidRPr="00896D41">
              <w:rPr>
                <w:sz w:val="18"/>
                <w:szCs w:val="18"/>
              </w:rPr>
              <w:t>7.28-C5-MORENA-TB</w:t>
            </w:r>
          </w:p>
        </w:tc>
        <w:tc>
          <w:tcPr>
            <w:tcW w:w="4141" w:type="dxa"/>
            <w:vAlign w:val="center"/>
          </w:tcPr>
          <w:p w14:paraId="62057BA3" w14:textId="21972A8D" w:rsidR="00EF3741" w:rsidRPr="00896D41" w:rsidRDefault="00EF3741" w:rsidP="00896D41">
            <w:pPr>
              <w:spacing w:before="120" w:after="120"/>
              <w:ind w:left="0"/>
              <w:rPr>
                <w:sz w:val="18"/>
                <w:szCs w:val="18"/>
              </w:rPr>
            </w:pPr>
            <w:r w:rsidRPr="00896D41">
              <w:rPr>
                <w:sz w:val="18"/>
                <w:szCs w:val="18"/>
              </w:rPr>
              <w:t>Omitió presentar la relación de los miembros</w:t>
            </w:r>
            <w:r w:rsidR="00044E53" w:rsidRPr="00896D41">
              <w:rPr>
                <w:sz w:val="18"/>
                <w:szCs w:val="18"/>
              </w:rPr>
              <w:t xml:space="preserve"> </w:t>
            </w:r>
            <w:r w:rsidRPr="00896D41">
              <w:rPr>
                <w:sz w:val="18"/>
                <w:szCs w:val="18"/>
              </w:rPr>
              <w:t>que integraron los órganos directivos en el ejercicio 2020</w:t>
            </w:r>
          </w:p>
        </w:tc>
        <w:tc>
          <w:tcPr>
            <w:tcW w:w="1990" w:type="dxa"/>
            <w:vMerge/>
            <w:vAlign w:val="center"/>
          </w:tcPr>
          <w:p w14:paraId="07650CE9" w14:textId="77777777" w:rsidR="00EF3741" w:rsidRPr="00896D41" w:rsidRDefault="00EF3741" w:rsidP="00896D41">
            <w:pPr>
              <w:spacing w:before="120" w:after="120"/>
              <w:ind w:left="0"/>
              <w:rPr>
                <w:sz w:val="18"/>
                <w:szCs w:val="18"/>
              </w:rPr>
            </w:pPr>
          </w:p>
        </w:tc>
      </w:tr>
      <w:tr w:rsidR="00EF3741" w:rsidRPr="00896D41" w14:paraId="0D995EBA" w14:textId="77777777" w:rsidTr="00316777">
        <w:tc>
          <w:tcPr>
            <w:tcW w:w="2127" w:type="dxa"/>
            <w:vAlign w:val="center"/>
          </w:tcPr>
          <w:p w14:paraId="6A183C84" w14:textId="77777777" w:rsidR="00EF3741" w:rsidRPr="00896D41" w:rsidRDefault="00EF3741" w:rsidP="00896D41">
            <w:pPr>
              <w:spacing w:before="120" w:after="120"/>
              <w:ind w:left="0"/>
              <w:rPr>
                <w:sz w:val="18"/>
                <w:szCs w:val="18"/>
              </w:rPr>
            </w:pPr>
            <w:r w:rsidRPr="00896D41">
              <w:rPr>
                <w:sz w:val="18"/>
                <w:szCs w:val="18"/>
              </w:rPr>
              <w:t>7.28-C6-MORENA-TB</w:t>
            </w:r>
          </w:p>
        </w:tc>
        <w:tc>
          <w:tcPr>
            <w:tcW w:w="4141" w:type="dxa"/>
            <w:vAlign w:val="center"/>
          </w:tcPr>
          <w:p w14:paraId="472169AC" w14:textId="7F4CDF83" w:rsidR="00EF3741" w:rsidRPr="00896D41" w:rsidRDefault="00EF3741" w:rsidP="00896D41">
            <w:pPr>
              <w:spacing w:before="120" w:after="120"/>
              <w:ind w:left="0"/>
              <w:rPr>
                <w:sz w:val="18"/>
                <w:szCs w:val="18"/>
              </w:rPr>
            </w:pPr>
            <w:r w:rsidRPr="00896D41">
              <w:rPr>
                <w:sz w:val="18"/>
                <w:szCs w:val="18"/>
              </w:rPr>
              <w:t>Presentó el inventario de activo fijo en formato</w:t>
            </w:r>
            <w:r w:rsidR="00044E53" w:rsidRPr="00896D41">
              <w:rPr>
                <w:sz w:val="18"/>
                <w:szCs w:val="18"/>
              </w:rPr>
              <w:t xml:space="preserve"> </w:t>
            </w:r>
            <w:r w:rsidRPr="00896D41">
              <w:rPr>
                <w:sz w:val="18"/>
                <w:szCs w:val="18"/>
              </w:rPr>
              <w:t>Excel, sin embargo, no contiene todos los requisitos establecidos en la normativa.</w:t>
            </w:r>
          </w:p>
        </w:tc>
        <w:tc>
          <w:tcPr>
            <w:tcW w:w="1990" w:type="dxa"/>
            <w:vMerge/>
            <w:vAlign w:val="center"/>
          </w:tcPr>
          <w:p w14:paraId="67DFBE6E" w14:textId="77777777" w:rsidR="00EF3741" w:rsidRPr="00896D41" w:rsidRDefault="00EF3741" w:rsidP="00896D41">
            <w:pPr>
              <w:spacing w:before="120" w:after="120"/>
              <w:ind w:left="0"/>
              <w:rPr>
                <w:sz w:val="18"/>
                <w:szCs w:val="18"/>
              </w:rPr>
            </w:pPr>
          </w:p>
        </w:tc>
      </w:tr>
      <w:tr w:rsidR="00EF3741" w:rsidRPr="00896D41" w14:paraId="09188B75" w14:textId="77777777" w:rsidTr="00316777">
        <w:tc>
          <w:tcPr>
            <w:tcW w:w="2127" w:type="dxa"/>
            <w:vAlign w:val="center"/>
          </w:tcPr>
          <w:p w14:paraId="4FD3B41A" w14:textId="77777777" w:rsidR="00EF3741" w:rsidRPr="00896D41" w:rsidRDefault="00EF3741" w:rsidP="00896D41">
            <w:pPr>
              <w:spacing w:before="120" w:after="120"/>
              <w:ind w:left="0"/>
              <w:rPr>
                <w:sz w:val="18"/>
                <w:szCs w:val="18"/>
              </w:rPr>
            </w:pPr>
            <w:r w:rsidRPr="00896D41">
              <w:rPr>
                <w:sz w:val="18"/>
                <w:szCs w:val="18"/>
              </w:rPr>
              <w:t>7.28-C7-MORENA-TB</w:t>
            </w:r>
          </w:p>
        </w:tc>
        <w:tc>
          <w:tcPr>
            <w:tcW w:w="4141" w:type="dxa"/>
            <w:vAlign w:val="center"/>
          </w:tcPr>
          <w:p w14:paraId="07B11B92" w14:textId="77777777" w:rsidR="00EF3741" w:rsidRPr="00896D41" w:rsidRDefault="00EF3741" w:rsidP="00896D41">
            <w:pPr>
              <w:spacing w:before="120" w:after="120"/>
              <w:ind w:left="0"/>
              <w:rPr>
                <w:sz w:val="18"/>
                <w:szCs w:val="18"/>
              </w:rPr>
            </w:pPr>
            <w:r w:rsidRPr="00896D41">
              <w:rPr>
                <w:sz w:val="18"/>
                <w:szCs w:val="18"/>
              </w:rPr>
              <w:t>omitió presentar la invitación para la realización de su inventario anual correspondiente al ejercicio 2020.</w:t>
            </w:r>
          </w:p>
        </w:tc>
        <w:tc>
          <w:tcPr>
            <w:tcW w:w="1990" w:type="dxa"/>
            <w:vMerge/>
            <w:vAlign w:val="center"/>
          </w:tcPr>
          <w:p w14:paraId="307B6683" w14:textId="77777777" w:rsidR="00EF3741" w:rsidRPr="00896D41" w:rsidRDefault="00EF3741" w:rsidP="00896D41">
            <w:pPr>
              <w:spacing w:before="120" w:after="120"/>
              <w:ind w:left="0"/>
              <w:rPr>
                <w:sz w:val="18"/>
                <w:szCs w:val="18"/>
              </w:rPr>
            </w:pPr>
          </w:p>
        </w:tc>
      </w:tr>
      <w:tr w:rsidR="00EF3741" w:rsidRPr="00896D41" w14:paraId="545E7A77" w14:textId="77777777" w:rsidTr="00316777">
        <w:tc>
          <w:tcPr>
            <w:tcW w:w="2127" w:type="dxa"/>
            <w:vAlign w:val="center"/>
          </w:tcPr>
          <w:p w14:paraId="0DAAAF25" w14:textId="77777777" w:rsidR="00EF3741" w:rsidRPr="00896D41" w:rsidRDefault="00EF3741" w:rsidP="00896D41">
            <w:pPr>
              <w:spacing w:before="120" w:after="120"/>
              <w:ind w:left="0"/>
              <w:rPr>
                <w:sz w:val="18"/>
                <w:szCs w:val="18"/>
              </w:rPr>
            </w:pPr>
            <w:r w:rsidRPr="00896D41">
              <w:rPr>
                <w:sz w:val="18"/>
                <w:szCs w:val="18"/>
              </w:rPr>
              <w:t>7.28-C8-MORENA-TB</w:t>
            </w:r>
          </w:p>
        </w:tc>
        <w:tc>
          <w:tcPr>
            <w:tcW w:w="4141" w:type="dxa"/>
            <w:vAlign w:val="center"/>
          </w:tcPr>
          <w:p w14:paraId="680DD549" w14:textId="77777777" w:rsidR="00EF3741" w:rsidRPr="00896D41" w:rsidRDefault="00EF3741" w:rsidP="00896D41">
            <w:pPr>
              <w:spacing w:before="120" w:after="120"/>
              <w:ind w:left="0"/>
              <w:rPr>
                <w:sz w:val="18"/>
                <w:szCs w:val="18"/>
              </w:rPr>
            </w:pPr>
            <w:r w:rsidRPr="00896D41">
              <w:rPr>
                <w:sz w:val="18"/>
                <w:szCs w:val="18"/>
              </w:rPr>
              <w:t>omitió presentar la invitación para la realización de su inventario anual correspondiente al ejercicio 2020.</w:t>
            </w:r>
          </w:p>
        </w:tc>
        <w:tc>
          <w:tcPr>
            <w:tcW w:w="1990" w:type="dxa"/>
            <w:vMerge/>
            <w:vAlign w:val="center"/>
          </w:tcPr>
          <w:p w14:paraId="75BC5038" w14:textId="77777777" w:rsidR="00EF3741" w:rsidRPr="00896D41" w:rsidRDefault="00EF3741" w:rsidP="00896D41">
            <w:pPr>
              <w:spacing w:before="120" w:after="120"/>
              <w:ind w:left="0"/>
              <w:rPr>
                <w:sz w:val="18"/>
                <w:szCs w:val="18"/>
              </w:rPr>
            </w:pPr>
          </w:p>
        </w:tc>
      </w:tr>
      <w:tr w:rsidR="00EF3741" w:rsidRPr="00896D41" w14:paraId="0C10DF8E" w14:textId="77777777" w:rsidTr="00316777">
        <w:tc>
          <w:tcPr>
            <w:tcW w:w="2127" w:type="dxa"/>
            <w:vAlign w:val="center"/>
          </w:tcPr>
          <w:p w14:paraId="478D0677" w14:textId="77777777" w:rsidR="00EF3741" w:rsidRPr="00896D41" w:rsidRDefault="00EF3741" w:rsidP="00896D41">
            <w:pPr>
              <w:spacing w:before="120" w:after="120"/>
              <w:ind w:left="0"/>
              <w:rPr>
                <w:sz w:val="18"/>
                <w:szCs w:val="18"/>
              </w:rPr>
            </w:pPr>
            <w:r w:rsidRPr="00896D41">
              <w:rPr>
                <w:sz w:val="18"/>
                <w:szCs w:val="18"/>
              </w:rPr>
              <w:t>7.28-C9-MORENA-TB</w:t>
            </w:r>
          </w:p>
        </w:tc>
        <w:tc>
          <w:tcPr>
            <w:tcW w:w="4141" w:type="dxa"/>
            <w:vAlign w:val="center"/>
          </w:tcPr>
          <w:p w14:paraId="083DD7E7" w14:textId="77777777" w:rsidR="00EF3741" w:rsidRPr="00896D41" w:rsidRDefault="00EF3741" w:rsidP="00896D41">
            <w:pPr>
              <w:spacing w:before="120" w:after="120"/>
              <w:ind w:left="0"/>
              <w:rPr>
                <w:sz w:val="18"/>
                <w:szCs w:val="18"/>
              </w:rPr>
            </w:pPr>
            <w:r w:rsidRPr="00896D41">
              <w:rPr>
                <w:sz w:val="18"/>
                <w:szCs w:val="18"/>
              </w:rPr>
              <w:t>Omitió presentar el aviso de los montos mínimos y máximos de sus aportaciones, así como la periodicidad de las cuotas ordinarias a recibir en el ejercicio 2020.</w:t>
            </w:r>
          </w:p>
        </w:tc>
        <w:tc>
          <w:tcPr>
            <w:tcW w:w="1990" w:type="dxa"/>
            <w:vMerge/>
            <w:vAlign w:val="center"/>
          </w:tcPr>
          <w:p w14:paraId="47907622" w14:textId="77777777" w:rsidR="00EF3741" w:rsidRPr="00896D41" w:rsidRDefault="00EF3741" w:rsidP="00896D41">
            <w:pPr>
              <w:spacing w:before="120" w:after="120"/>
              <w:ind w:left="0"/>
              <w:rPr>
                <w:sz w:val="18"/>
                <w:szCs w:val="18"/>
              </w:rPr>
            </w:pPr>
          </w:p>
        </w:tc>
      </w:tr>
      <w:tr w:rsidR="00EF3741" w:rsidRPr="00896D41" w14:paraId="43443416" w14:textId="77777777" w:rsidTr="00316777">
        <w:tc>
          <w:tcPr>
            <w:tcW w:w="2127" w:type="dxa"/>
            <w:vAlign w:val="center"/>
          </w:tcPr>
          <w:p w14:paraId="7E5CFEF5" w14:textId="77777777" w:rsidR="00EF3741" w:rsidRPr="00896D41" w:rsidRDefault="00EF3741" w:rsidP="00896D41">
            <w:pPr>
              <w:spacing w:before="120" w:after="120"/>
              <w:ind w:left="0"/>
              <w:rPr>
                <w:sz w:val="18"/>
                <w:szCs w:val="18"/>
              </w:rPr>
            </w:pPr>
            <w:r w:rsidRPr="00896D41">
              <w:rPr>
                <w:sz w:val="18"/>
                <w:szCs w:val="18"/>
              </w:rPr>
              <w:t>7.28-C10-MORENA-TB</w:t>
            </w:r>
          </w:p>
        </w:tc>
        <w:tc>
          <w:tcPr>
            <w:tcW w:w="4141" w:type="dxa"/>
            <w:vAlign w:val="center"/>
          </w:tcPr>
          <w:p w14:paraId="50ADFBEF" w14:textId="77777777" w:rsidR="00EF3741" w:rsidRPr="00896D41" w:rsidRDefault="00EF3741" w:rsidP="00896D41">
            <w:pPr>
              <w:spacing w:before="120" w:after="120"/>
              <w:ind w:left="0"/>
              <w:rPr>
                <w:sz w:val="18"/>
                <w:szCs w:val="18"/>
              </w:rPr>
            </w:pPr>
            <w:r w:rsidRPr="00896D41">
              <w:rPr>
                <w:sz w:val="18"/>
                <w:szCs w:val="18"/>
              </w:rPr>
              <w:t>omitió presentar un contrato de prestación de servicios de operaciones mayores a 500 UMA, por un monto involucrado de $876,320.00.</w:t>
            </w:r>
          </w:p>
        </w:tc>
        <w:tc>
          <w:tcPr>
            <w:tcW w:w="1990" w:type="dxa"/>
            <w:vMerge/>
            <w:vAlign w:val="center"/>
          </w:tcPr>
          <w:p w14:paraId="3DA6CE46" w14:textId="77777777" w:rsidR="00EF3741" w:rsidRPr="00896D41" w:rsidRDefault="00EF3741" w:rsidP="00896D41">
            <w:pPr>
              <w:spacing w:before="120" w:after="120"/>
              <w:ind w:left="0"/>
              <w:rPr>
                <w:sz w:val="18"/>
                <w:szCs w:val="18"/>
              </w:rPr>
            </w:pPr>
          </w:p>
        </w:tc>
      </w:tr>
      <w:tr w:rsidR="00EF3741" w:rsidRPr="00896D41" w14:paraId="1780959C" w14:textId="77777777" w:rsidTr="00316777">
        <w:tc>
          <w:tcPr>
            <w:tcW w:w="2127" w:type="dxa"/>
            <w:vAlign w:val="center"/>
          </w:tcPr>
          <w:p w14:paraId="2A8F15F9" w14:textId="77777777" w:rsidR="00EF3741" w:rsidRPr="00896D41" w:rsidRDefault="00EF3741" w:rsidP="00896D41">
            <w:pPr>
              <w:spacing w:before="120" w:after="120"/>
              <w:ind w:left="0"/>
              <w:rPr>
                <w:sz w:val="18"/>
                <w:szCs w:val="18"/>
              </w:rPr>
            </w:pPr>
            <w:r w:rsidRPr="00896D41">
              <w:rPr>
                <w:sz w:val="18"/>
                <w:szCs w:val="18"/>
              </w:rPr>
              <w:t>7.28-C13-MORENA-TB</w:t>
            </w:r>
          </w:p>
        </w:tc>
        <w:tc>
          <w:tcPr>
            <w:tcW w:w="4141" w:type="dxa"/>
            <w:vAlign w:val="center"/>
          </w:tcPr>
          <w:p w14:paraId="4E4AAD19" w14:textId="77777777" w:rsidR="00EF3741" w:rsidRPr="00896D41" w:rsidRDefault="00EF3741" w:rsidP="00896D41">
            <w:pPr>
              <w:spacing w:before="120" w:after="120"/>
              <w:ind w:left="0"/>
              <w:rPr>
                <w:sz w:val="18"/>
                <w:szCs w:val="18"/>
              </w:rPr>
            </w:pPr>
            <w:r w:rsidRPr="00896D41">
              <w:rPr>
                <w:sz w:val="18"/>
                <w:szCs w:val="18"/>
              </w:rPr>
              <w:t>Omitió presentar la lista de asistencia de un evento de Actividades Específicas.</w:t>
            </w:r>
          </w:p>
        </w:tc>
        <w:tc>
          <w:tcPr>
            <w:tcW w:w="1990" w:type="dxa"/>
            <w:vMerge/>
            <w:vAlign w:val="center"/>
          </w:tcPr>
          <w:p w14:paraId="21DF8867" w14:textId="77777777" w:rsidR="00EF3741" w:rsidRPr="00896D41" w:rsidRDefault="00EF3741" w:rsidP="00896D41">
            <w:pPr>
              <w:spacing w:before="120" w:after="120"/>
              <w:ind w:left="0"/>
              <w:rPr>
                <w:sz w:val="18"/>
                <w:szCs w:val="18"/>
              </w:rPr>
            </w:pPr>
          </w:p>
        </w:tc>
      </w:tr>
      <w:tr w:rsidR="00EF3741" w:rsidRPr="00896D41" w14:paraId="0320246D" w14:textId="77777777" w:rsidTr="00316777">
        <w:tc>
          <w:tcPr>
            <w:tcW w:w="2127" w:type="dxa"/>
            <w:vAlign w:val="center"/>
          </w:tcPr>
          <w:p w14:paraId="3AF8525F" w14:textId="77777777" w:rsidR="00EF3741" w:rsidRPr="00896D41" w:rsidRDefault="00EF3741" w:rsidP="00896D41">
            <w:pPr>
              <w:spacing w:before="120" w:after="120"/>
              <w:ind w:left="0"/>
              <w:rPr>
                <w:sz w:val="18"/>
                <w:szCs w:val="18"/>
              </w:rPr>
            </w:pPr>
            <w:r w:rsidRPr="00896D41">
              <w:rPr>
                <w:sz w:val="18"/>
                <w:szCs w:val="18"/>
              </w:rPr>
              <w:t>7.28-C14-MORENA-TB</w:t>
            </w:r>
          </w:p>
        </w:tc>
        <w:tc>
          <w:tcPr>
            <w:tcW w:w="4141" w:type="dxa"/>
            <w:vAlign w:val="center"/>
          </w:tcPr>
          <w:p w14:paraId="637CD20A" w14:textId="77777777" w:rsidR="00EF3741" w:rsidRPr="00896D41" w:rsidRDefault="00EF3741" w:rsidP="00896D41">
            <w:pPr>
              <w:spacing w:before="120" w:after="120"/>
              <w:ind w:left="0"/>
              <w:rPr>
                <w:sz w:val="18"/>
                <w:szCs w:val="18"/>
              </w:rPr>
            </w:pPr>
            <w:r w:rsidRPr="00896D41">
              <w:rPr>
                <w:sz w:val="18"/>
                <w:szCs w:val="18"/>
              </w:rPr>
              <w:t>Omitió presentar 120 estados de cuenta bancarios de 10 cuentas bancarias.</w:t>
            </w:r>
          </w:p>
        </w:tc>
        <w:tc>
          <w:tcPr>
            <w:tcW w:w="1990" w:type="dxa"/>
            <w:vMerge/>
            <w:vAlign w:val="center"/>
          </w:tcPr>
          <w:p w14:paraId="4692A711" w14:textId="77777777" w:rsidR="00EF3741" w:rsidRPr="00896D41" w:rsidRDefault="00EF3741" w:rsidP="00896D41">
            <w:pPr>
              <w:spacing w:before="120" w:after="120"/>
              <w:ind w:left="0"/>
              <w:rPr>
                <w:sz w:val="18"/>
                <w:szCs w:val="18"/>
              </w:rPr>
            </w:pPr>
          </w:p>
        </w:tc>
      </w:tr>
      <w:tr w:rsidR="00EF3741" w:rsidRPr="00896D41" w14:paraId="4F06FDD3" w14:textId="77777777" w:rsidTr="00316777">
        <w:tc>
          <w:tcPr>
            <w:tcW w:w="2127" w:type="dxa"/>
            <w:vAlign w:val="center"/>
          </w:tcPr>
          <w:p w14:paraId="032216A2" w14:textId="77777777" w:rsidR="00EF3741" w:rsidRPr="00896D41" w:rsidRDefault="00EF3741" w:rsidP="00896D41">
            <w:pPr>
              <w:spacing w:before="120" w:after="120"/>
              <w:ind w:left="0"/>
              <w:rPr>
                <w:sz w:val="18"/>
                <w:szCs w:val="18"/>
              </w:rPr>
            </w:pPr>
            <w:r w:rsidRPr="00896D41">
              <w:rPr>
                <w:sz w:val="18"/>
                <w:szCs w:val="18"/>
              </w:rPr>
              <w:t>7.28-C16-MORENA-TB</w:t>
            </w:r>
          </w:p>
        </w:tc>
        <w:tc>
          <w:tcPr>
            <w:tcW w:w="4141" w:type="dxa"/>
            <w:vAlign w:val="center"/>
          </w:tcPr>
          <w:p w14:paraId="4DCAFEB3" w14:textId="77777777" w:rsidR="00EF3741" w:rsidRPr="00896D41" w:rsidRDefault="00EF3741" w:rsidP="00896D41">
            <w:pPr>
              <w:spacing w:before="120" w:after="120"/>
              <w:ind w:left="0"/>
              <w:rPr>
                <w:sz w:val="18"/>
                <w:szCs w:val="18"/>
              </w:rPr>
            </w:pPr>
            <w:r w:rsidRPr="00896D41">
              <w:rPr>
                <w:sz w:val="18"/>
                <w:szCs w:val="18"/>
              </w:rPr>
              <w:t>Omitió presentar 120 conciliaciones bancarias de 10 cuentas bancarias.</w:t>
            </w:r>
          </w:p>
        </w:tc>
        <w:tc>
          <w:tcPr>
            <w:tcW w:w="1990" w:type="dxa"/>
            <w:vMerge/>
            <w:vAlign w:val="center"/>
          </w:tcPr>
          <w:p w14:paraId="7F99EC31" w14:textId="77777777" w:rsidR="00EF3741" w:rsidRPr="00896D41" w:rsidRDefault="00EF3741" w:rsidP="00896D41">
            <w:pPr>
              <w:spacing w:before="120" w:after="120"/>
              <w:ind w:left="0"/>
              <w:rPr>
                <w:sz w:val="18"/>
                <w:szCs w:val="18"/>
              </w:rPr>
            </w:pPr>
          </w:p>
        </w:tc>
      </w:tr>
      <w:tr w:rsidR="00EF3741" w:rsidRPr="00896D41" w14:paraId="701B557E" w14:textId="77777777" w:rsidTr="00316777">
        <w:tc>
          <w:tcPr>
            <w:tcW w:w="2127" w:type="dxa"/>
            <w:vAlign w:val="center"/>
          </w:tcPr>
          <w:p w14:paraId="5A446264" w14:textId="77777777" w:rsidR="00EF3741" w:rsidRPr="00896D41" w:rsidRDefault="00EF3741" w:rsidP="00896D41">
            <w:pPr>
              <w:spacing w:before="120" w:after="120"/>
              <w:ind w:left="0"/>
              <w:rPr>
                <w:sz w:val="18"/>
                <w:szCs w:val="18"/>
              </w:rPr>
            </w:pPr>
            <w:r w:rsidRPr="00896D41">
              <w:rPr>
                <w:sz w:val="18"/>
                <w:szCs w:val="18"/>
              </w:rPr>
              <w:lastRenderedPageBreak/>
              <w:t>7.28-C18-MORENA-TB</w:t>
            </w:r>
          </w:p>
        </w:tc>
        <w:tc>
          <w:tcPr>
            <w:tcW w:w="4141" w:type="dxa"/>
            <w:vAlign w:val="center"/>
          </w:tcPr>
          <w:p w14:paraId="0C7F6EE6" w14:textId="77777777" w:rsidR="00EF3741" w:rsidRPr="00896D41" w:rsidRDefault="00EF3741" w:rsidP="00896D41">
            <w:pPr>
              <w:spacing w:before="120" w:after="120"/>
              <w:ind w:left="0"/>
              <w:rPr>
                <w:sz w:val="18"/>
                <w:szCs w:val="18"/>
              </w:rPr>
            </w:pPr>
            <w:r w:rsidRPr="00896D41">
              <w:rPr>
                <w:sz w:val="18"/>
                <w:szCs w:val="18"/>
              </w:rPr>
              <w:t>Omitió presentar dos contratos de adquisición de activos fijos.</w:t>
            </w:r>
          </w:p>
        </w:tc>
        <w:tc>
          <w:tcPr>
            <w:tcW w:w="1990" w:type="dxa"/>
            <w:vMerge/>
            <w:vAlign w:val="center"/>
          </w:tcPr>
          <w:p w14:paraId="0FCE157F" w14:textId="77777777" w:rsidR="00EF3741" w:rsidRPr="00896D41" w:rsidRDefault="00EF3741" w:rsidP="00896D41">
            <w:pPr>
              <w:spacing w:before="120" w:after="120"/>
              <w:ind w:left="0"/>
              <w:rPr>
                <w:sz w:val="18"/>
                <w:szCs w:val="18"/>
              </w:rPr>
            </w:pPr>
          </w:p>
        </w:tc>
      </w:tr>
      <w:tr w:rsidR="00EF3741" w:rsidRPr="00896D41" w14:paraId="3BA493B6" w14:textId="77777777" w:rsidTr="00316777">
        <w:tc>
          <w:tcPr>
            <w:tcW w:w="2127" w:type="dxa"/>
            <w:vAlign w:val="center"/>
          </w:tcPr>
          <w:p w14:paraId="63ABB0FE" w14:textId="77777777" w:rsidR="00EF3741" w:rsidRPr="00896D41" w:rsidRDefault="00EF3741" w:rsidP="00896D41">
            <w:pPr>
              <w:spacing w:before="120" w:after="120"/>
              <w:ind w:left="0"/>
              <w:rPr>
                <w:sz w:val="18"/>
                <w:szCs w:val="18"/>
              </w:rPr>
            </w:pPr>
            <w:r w:rsidRPr="00896D41">
              <w:rPr>
                <w:sz w:val="18"/>
                <w:szCs w:val="18"/>
              </w:rPr>
              <w:lastRenderedPageBreak/>
              <w:t>7.28-C23-MORENA-TB</w:t>
            </w:r>
          </w:p>
        </w:tc>
        <w:tc>
          <w:tcPr>
            <w:tcW w:w="4141" w:type="dxa"/>
            <w:vAlign w:val="center"/>
          </w:tcPr>
          <w:p w14:paraId="4CB1E19B" w14:textId="77777777" w:rsidR="00EF3741" w:rsidRPr="00896D41" w:rsidRDefault="00EF3741" w:rsidP="00896D41">
            <w:pPr>
              <w:spacing w:before="120" w:after="120"/>
              <w:ind w:left="0"/>
              <w:rPr>
                <w:sz w:val="18"/>
                <w:szCs w:val="18"/>
              </w:rPr>
            </w:pPr>
            <w:r w:rsidRPr="00896D41">
              <w:rPr>
                <w:sz w:val="18"/>
                <w:szCs w:val="18"/>
              </w:rPr>
              <w:t>Informó 6 avisos de contratación de manera extemporánea.</w:t>
            </w:r>
          </w:p>
        </w:tc>
        <w:tc>
          <w:tcPr>
            <w:tcW w:w="1990" w:type="dxa"/>
            <w:vMerge/>
            <w:vAlign w:val="center"/>
          </w:tcPr>
          <w:p w14:paraId="5F28CF46" w14:textId="77777777" w:rsidR="00EF3741" w:rsidRPr="00896D41" w:rsidRDefault="00EF3741" w:rsidP="00896D41">
            <w:pPr>
              <w:spacing w:before="120" w:after="120"/>
              <w:ind w:left="0"/>
              <w:rPr>
                <w:sz w:val="18"/>
                <w:szCs w:val="18"/>
              </w:rPr>
            </w:pPr>
          </w:p>
        </w:tc>
      </w:tr>
      <w:tr w:rsidR="00EF3741" w:rsidRPr="00F941F0" w14:paraId="71D90039" w14:textId="77777777" w:rsidTr="00316777">
        <w:tc>
          <w:tcPr>
            <w:tcW w:w="2127" w:type="dxa"/>
            <w:vAlign w:val="center"/>
          </w:tcPr>
          <w:p w14:paraId="33C37A72" w14:textId="77777777" w:rsidR="00EF3741" w:rsidRPr="00896D41" w:rsidRDefault="00EF3741" w:rsidP="00896D41">
            <w:pPr>
              <w:spacing w:before="120" w:after="120"/>
              <w:ind w:left="0"/>
              <w:rPr>
                <w:sz w:val="18"/>
                <w:szCs w:val="18"/>
              </w:rPr>
            </w:pPr>
          </w:p>
          <w:p w14:paraId="6D3D2C45" w14:textId="77777777" w:rsidR="00EF3741" w:rsidRPr="00896D41" w:rsidRDefault="00EF3741" w:rsidP="00896D41">
            <w:pPr>
              <w:spacing w:before="120" w:after="120"/>
              <w:ind w:left="0"/>
              <w:rPr>
                <w:sz w:val="18"/>
                <w:szCs w:val="18"/>
              </w:rPr>
            </w:pPr>
            <w:r w:rsidRPr="00896D41">
              <w:rPr>
                <w:sz w:val="18"/>
                <w:szCs w:val="18"/>
              </w:rPr>
              <w:t>7.28-C12-MORENA-TB</w:t>
            </w:r>
          </w:p>
        </w:tc>
        <w:tc>
          <w:tcPr>
            <w:tcW w:w="4141" w:type="dxa"/>
            <w:vAlign w:val="center"/>
          </w:tcPr>
          <w:p w14:paraId="2B94F4AD" w14:textId="3B6EF780" w:rsidR="00EF3741" w:rsidRPr="00896D41" w:rsidRDefault="00EF3741" w:rsidP="00896D41">
            <w:pPr>
              <w:spacing w:before="120" w:after="120"/>
              <w:ind w:left="0"/>
              <w:rPr>
                <w:sz w:val="18"/>
                <w:szCs w:val="18"/>
              </w:rPr>
            </w:pPr>
            <w:r w:rsidRPr="00896D41">
              <w:rPr>
                <w:sz w:val="18"/>
                <w:szCs w:val="18"/>
              </w:rPr>
              <w:t>Omitió destinar el porcentaje mínimo del financiamiento público ordinario otorgado en el ejercicio 2019, para el desarrollo de actividades</w:t>
            </w:r>
            <w:r w:rsidR="00AF1A0C" w:rsidRPr="00896D41">
              <w:rPr>
                <w:sz w:val="18"/>
                <w:szCs w:val="18"/>
              </w:rPr>
              <w:t xml:space="preserve"> </w:t>
            </w:r>
            <w:r w:rsidRPr="00896D41">
              <w:rPr>
                <w:sz w:val="18"/>
                <w:szCs w:val="18"/>
              </w:rPr>
              <w:t>específicas, por un monto de $205,471.82.</w:t>
            </w:r>
          </w:p>
        </w:tc>
        <w:tc>
          <w:tcPr>
            <w:tcW w:w="1990" w:type="dxa"/>
            <w:vAlign w:val="center"/>
          </w:tcPr>
          <w:p w14:paraId="0C7B50D7" w14:textId="77777777" w:rsidR="00EF3741" w:rsidRPr="00F941F0" w:rsidRDefault="00EF3741" w:rsidP="00F941F0">
            <w:pPr>
              <w:spacing w:before="120" w:after="120"/>
              <w:ind w:left="0"/>
              <w:jc w:val="right"/>
              <w:rPr>
                <w:sz w:val="18"/>
                <w:szCs w:val="18"/>
              </w:rPr>
            </w:pPr>
            <w:r w:rsidRPr="00F941F0">
              <w:rPr>
                <w:sz w:val="18"/>
                <w:szCs w:val="18"/>
              </w:rPr>
              <w:t>$20,547.18</w:t>
            </w:r>
          </w:p>
        </w:tc>
      </w:tr>
      <w:tr w:rsidR="00EF3741" w:rsidRPr="00F941F0" w14:paraId="79087E24" w14:textId="77777777" w:rsidTr="00316777">
        <w:tc>
          <w:tcPr>
            <w:tcW w:w="2127" w:type="dxa"/>
            <w:vAlign w:val="center"/>
          </w:tcPr>
          <w:p w14:paraId="3D27BB15" w14:textId="77777777" w:rsidR="00EF3741" w:rsidRPr="00896D41" w:rsidRDefault="00EF3741" w:rsidP="00896D41">
            <w:pPr>
              <w:spacing w:before="120" w:after="120"/>
              <w:ind w:left="0"/>
              <w:rPr>
                <w:sz w:val="18"/>
                <w:szCs w:val="18"/>
              </w:rPr>
            </w:pPr>
            <w:r w:rsidRPr="00896D41">
              <w:rPr>
                <w:sz w:val="18"/>
                <w:szCs w:val="18"/>
              </w:rPr>
              <w:t>7.28-C20-MORENA-TB</w:t>
            </w:r>
          </w:p>
        </w:tc>
        <w:tc>
          <w:tcPr>
            <w:tcW w:w="4141" w:type="dxa"/>
            <w:vAlign w:val="center"/>
          </w:tcPr>
          <w:p w14:paraId="3840FA15" w14:textId="518FECA3" w:rsidR="00EF3741" w:rsidRPr="00896D41" w:rsidRDefault="005F1582" w:rsidP="00896D41">
            <w:pPr>
              <w:spacing w:before="120" w:after="120"/>
              <w:ind w:left="0"/>
              <w:rPr>
                <w:sz w:val="18"/>
                <w:szCs w:val="18"/>
              </w:rPr>
            </w:pPr>
            <w:r>
              <w:rPr>
                <w:sz w:val="18"/>
                <w:szCs w:val="18"/>
              </w:rPr>
              <w:t>R</w:t>
            </w:r>
            <w:r w:rsidR="00EF3741" w:rsidRPr="00896D41">
              <w:rPr>
                <w:sz w:val="18"/>
                <w:szCs w:val="18"/>
              </w:rPr>
              <w:t>eportó saldos en cuentas por pagar con antigüedad mayor a un año, generados en el ejercicio 2019, que no han sido cubiertos al 31 de diciembre de 2020, por un importe de $0.36.</w:t>
            </w:r>
          </w:p>
        </w:tc>
        <w:tc>
          <w:tcPr>
            <w:tcW w:w="1990" w:type="dxa"/>
            <w:vAlign w:val="center"/>
          </w:tcPr>
          <w:p w14:paraId="2FC6CF39" w14:textId="77777777" w:rsidR="00EF3741" w:rsidRPr="00F941F0" w:rsidRDefault="00EF3741" w:rsidP="00F941F0">
            <w:pPr>
              <w:spacing w:before="120" w:after="120"/>
              <w:ind w:left="0"/>
              <w:jc w:val="right"/>
              <w:rPr>
                <w:sz w:val="18"/>
                <w:szCs w:val="18"/>
              </w:rPr>
            </w:pPr>
            <w:r w:rsidRPr="00F941F0">
              <w:rPr>
                <w:sz w:val="18"/>
                <w:szCs w:val="18"/>
              </w:rPr>
              <w:t>$0.54</w:t>
            </w:r>
          </w:p>
        </w:tc>
      </w:tr>
      <w:tr w:rsidR="00EF3741" w:rsidRPr="00896D41" w14:paraId="04163C79" w14:textId="77777777" w:rsidTr="00316777">
        <w:tc>
          <w:tcPr>
            <w:tcW w:w="6268" w:type="dxa"/>
            <w:gridSpan w:val="2"/>
            <w:tcBorders>
              <w:bottom w:val="single" w:sz="4" w:space="0" w:color="auto"/>
            </w:tcBorders>
            <w:shd w:val="clear" w:color="auto" w:fill="D5DCE4" w:themeFill="text2" w:themeFillTint="33"/>
            <w:vAlign w:val="center"/>
          </w:tcPr>
          <w:p w14:paraId="55DC335F" w14:textId="77777777" w:rsidR="00EF3741" w:rsidRPr="00F941F0" w:rsidRDefault="00EF3741" w:rsidP="00F941F0">
            <w:pPr>
              <w:spacing w:before="120" w:after="120"/>
              <w:ind w:left="0"/>
              <w:jc w:val="right"/>
              <w:rPr>
                <w:b/>
                <w:bCs/>
                <w:sz w:val="18"/>
                <w:szCs w:val="18"/>
              </w:rPr>
            </w:pPr>
            <w:r w:rsidRPr="00F941F0">
              <w:rPr>
                <w:b/>
                <w:bCs/>
                <w:sz w:val="18"/>
                <w:szCs w:val="18"/>
              </w:rPr>
              <w:t>Total</w:t>
            </w:r>
          </w:p>
        </w:tc>
        <w:tc>
          <w:tcPr>
            <w:tcW w:w="1990" w:type="dxa"/>
            <w:tcBorders>
              <w:bottom w:val="single" w:sz="4" w:space="0" w:color="auto"/>
            </w:tcBorders>
            <w:shd w:val="clear" w:color="auto" w:fill="D5DCE4" w:themeFill="text2" w:themeFillTint="33"/>
            <w:vAlign w:val="center"/>
          </w:tcPr>
          <w:p w14:paraId="7BABACEF" w14:textId="77777777" w:rsidR="00EF3741" w:rsidRPr="00F941F0" w:rsidRDefault="00EF3741" w:rsidP="00F941F0">
            <w:pPr>
              <w:spacing w:before="120" w:after="120"/>
              <w:ind w:left="0"/>
              <w:jc w:val="right"/>
              <w:rPr>
                <w:b/>
                <w:bCs/>
                <w:sz w:val="18"/>
                <w:szCs w:val="18"/>
              </w:rPr>
            </w:pPr>
            <w:r w:rsidRPr="00F941F0">
              <w:rPr>
                <w:b/>
                <w:bCs/>
                <w:sz w:val="18"/>
                <w:szCs w:val="18"/>
              </w:rPr>
              <w:t>$31,842.12</w:t>
            </w:r>
          </w:p>
        </w:tc>
      </w:tr>
      <w:tr w:rsidR="00EF3741" w:rsidRPr="00896D41" w14:paraId="6AAA8846" w14:textId="77777777" w:rsidTr="00316777">
        <w:tc>
          <w:tcPr>
            <w:tcW w:w="8258" w:type="dxa"/>
            <w:gridSpan w:val="3"/>
            <w:tcBorders>
              <w:top w:val="single" w:sz="4" w:space="0" w:color="auto"/>
              <w:left w:val="nil"/>
              <w:bottom w:val="nil"/>
              <w:right w:val="nil"/>
            </w:tcBorders>
            <w:shd w:val="clear" w:color="auto" w:fill="auto"/>
            <w:vAlign w:val="center"/>
          </w:tcPr>
          <w:p w14:paraId="641A93F2" w14:textId="77777777" w:rsidR="00EF3741" w:rsidRPr="00896D41" w:rsidRDefault="00EF3741" w:rsidP="00896D41">
            <w:pPr>
              <w:spacing w:before="120" w:after="120"/>
              <w:ind w:left="0"/>
              <w:rPr>
                <w:sz w:val="18"/>
                <w:szCs w:val="18"/>
              </w:rPr>
            </w:pPr>
            <w:r w:rsidRPr="00896D41">
              <w:rPr>
                <w:sz w:val="18"/>
                <w:szCs w:val="18"/>
              </w:rPr>
              <w:t>* Multa por falta de carácter formal.</w:t>
            </w:r>
          </w:p>
        </w:tc>
      </w:tr>
    </w:tbl>
    <w:p w14:paraId="04286EC2" w14:textId="4C6E1B1F" w:rsidR="00337EBA" w:rsidRDefault="00A67FEB" w:rsidP="00B65359">
      <w:pPr>
        <w:spacing w:before="360"/>
      </w:pPr>
      <w:r>
        <w:t xml:space="preserve">Por lo que se refiere a la </w:t>
      </w:r>
      <w:r w:rsidR="00417949">
        <w:t xml:space="preserve">sanción derivada de la </w:t>
      </w:r>
      <w:r>
        <w:t xml:space="preserve">conclusión </w:t>
      </w:r>
      <w:r w:rsidRPr="00A67FEB">
        <w:t>7.28-C25-MORENA-TB</w:t>
      </w:r>
      <w:r w:rsidR="00417949">
        <w:t xml:space="preserve"> l</w:t>
      </w:r>
      <w:r w:rsidR="00B65359">
        <w:t xml:space="preserve">a misma quedó sin efecto alguno </w:t>
      </w:r>
      <w:r w:rsidR="00417949">
        <w:t xml:space="preserve">en virtud de </w:t>
      </w:r>
      <w:r w:rsidR="00B65359">
        <w:t xml:space="preserve">la determinación de </w:t>
      </w:r>
      <w:r w:rsidR="00417949">
        <w:t xml:space="preserve">la Sala Superior </w:t>
      </w:r>
      <w:r w:rsidR="00B65359">
        <w:t>en el SUP-REC-186/2022.</w:t>
      </w:r>
    </w:p>
    <w:p w14:paraId="5F77F1BB" w14:textId="388EDF4E" w:rsidR="000C042B" w:rsidRPr="00C17A56" w:rsidRDefault="00B658D6" w:rsidP="00C6513E">
      <w:pPr>
        <w:spacing w:before="240"/>
      </w:pPr>
      <w:r>
        <w:t xml:space="preserve">A partir de lo anterior, el titular del Órgano Técnico de Fiscalización, en términos </w:t>
      </w:r>
      <w:r w:rsidR="000C042B" w:rsidRPr="00C17A56">
        <w:t xml:space="preserve">del apartado B, numeral 1, inciso a), del artículo </w:t>
      </w:r>
      <w:r w:rsidR="000C042B">
        <w:t>s</w:t>
      </w:r>
      <w:r w:rsidR="000C042B" w:rsidRPr="00C17A56">
        <w:t>exto de los Lineamientos, verificó el estatus en el Sistema Informático de Sanciones del INE confirmando que la</w:t>
      </w:r>
      <w:r w:rsidR="000C042B">
        <w:t>s</w:t>
      </w:r>
      <w:r w:rsidR="000C042B" w:rsidRPr="00C17A56">
        <w:t xml:space="preserve"> </w:t>
      </w:r>
      <w:r w:rsidR="000C042B">
        <w:t xml:space="preserve">resoluciones </w:t>
      </w:r>
      <w:r w:rsidR="000C042B" w:rsidRPr="000C042B">
        <w:t xml:space="preserve">INE/CG108/2022, INE/CG109/2022, </w:t>
      </w:r>
      <w:r w:rsidR="00A14708" w:rsidRPr="000C042B">
        <w:t>INE/CG11</w:t>
      </w:r>
      <w:r w:rsidR="00A14708">
        <w:t>0</w:t>
      </w:r>
      <w:r w:rsidR="00A14708" w:rsidRPr="000C042B">
        <w:t xml:space="preserve">/2022, </w:t>
      </w:r>
      <w:r w:rsidR="000C042B" w:rsidRPr="000C042B">
        <w:t>INE/CG111/2022</w:t>
      </w:r>
      <w:r w:rsidR="00A14708">
        <w:t xml:space="preserve"> e</w:t>
      </w:r>
      <w:r w:rsidR="000C042B" w:rsidRPr="000C042B">
        <w:t xml:space="preserve"> INE/CG113/2022</w:t>
      </w:r>
      <w:r w:rsidR="000C042B" w:rsidRPr="00C17A56">
        <w:t xml:space="preserve"> cuyas sanciones se ejecutan, se encuentra</w:t>
      </w:r>
      <w:r w:rsidR="00D75E02">
        <w:t>n</w:t>
      </w:r>
      <w:r w:rsidR="000C042B" w:rsidRPr="00C17A56">
        <w:t xml:space="preserve"> firme</w:t>
      </w:r>
      <w:r w:rsidR="00D75E02">
        <w:t>s</w:t>
      </w:r>
      <w:r w:rsidR="00C6513E">
        <w:t>, en virtud de haber agotado los medios de impugnación correspondientes.</w:t>
      </w:r>
    </w:p>
    <w:p w14:paraId="266AC2ED" w14:textId="63543F1A" w:rsidR="00844F77" w:rsidRDefault="00844F77" w:rsidP="00844F77">
      <w:pPr>
        <w:pStyle w:val="Ttulo2"/>
      </w:pPr>
      <w:r w:rsidRPr="00844F77">
        <w:t>Notificación de la</w:t>
      </w:r>
      <w:r>
        <w:t>s</w:t>
      </w:r>
      <w:r w:rsidRPr="00844F77">
        <w:t xml:space="preserve"> </w:t>
      </w:r>
      <w:r>
        <w:t>resoluciones</w:t>
      </w:r>
    </w:p>
    <w:p w14:paraId="3205A80E" w14:textId="4650ECF7" w:rsidR="00E22BD6" w:rsidRDefault="00E22BD6" w:rsidP="00E22BD6">
      <w:r w:rsidRPr="00E22BD6">
        <w:t>Que, en cumplimiento a</w:t>
      </w:r>
      <w:r>
        <w:t xml:space="preserve"> las resoluciones </w:t>
      </w:r>
      <w:r w:rsidRPr="000C042B">
        <w:t>INE/CG108/2022, INE/CG109/2022, INE/CG11</w:t>
      </w:r>
      <w:r>
        <w:t>0</w:t>
      </w:r>
      <w:r w:rsidRPr="000C042B">
        <w:t>/2022, INE/CG111/2022</w:t>
      </w:r>
      <w:r>
        <w:t xml:space="preserve"> e</w:t>
      </w:r>
      <w:r w:rsidRPr="000C042B">
        <w:t xml:space="preserve"> INE/CG113/2022</w:t>
      </w:r>
      <w:r w:rsidRPr="00C17A56">
        <w:t xml:space="preserve"> </w:t>
      </w:r>
      <w:r w:rsidRPr="00E22BD6">
        <w:t>cuyas sanciones se ejecutan, este organismo electoral notificó a los partidos políticos sancionados de la siguiente forma:</w:t>
      </w:r>
    </w:p>
    <w:tbl>
      <w:tblPr>
        <w:tblStyle w:val="Tablaconcuadrcula"/>
        <w:tblW w:w="0" w:type="auto"/>
        <w:tblInd w:w="675" w:type="dxa"/>
        <w:tblLook w:val="04A0" w:firstRow="1" w:lastRow="0" w:firstColumn="1" w:lastColumn="0" w:noHBand="0" w:noVBand="1"/>
      </w:tblPr>
      <w:tblGrid>
        <w:gridCol w:w="3431"/>
        <w:gridCol w:w="2410"/>
        <w:gridCol w:w="2312"/>
      </w:tblGrid>
      <w:tr w:rsidR="00B424D2" w:rsidRPr="00A834D1" w14:paraId="3AB3FDA6" w14:textId="77777777" w:rsidTr="00761590">
        <w:tc>
          <w:tcPr>
            <w:tcW w:w="3431" w:type="dxa"/>
            <w:shd w:val="clear" w:color="auto" w:fill="993366"/>
          </w:tcPr>
          <w:p w14:paraId="320D5E4B" w14:textId="77777777" w:rsidR="00B424D2" w:rsidRPr="00A834D1" w:rsidRDefault="00B424D2" w:rsidP="00761590">
            <w:pPr>
              <w:pStyle w:val="Prrafodelista"/>
              <w:spacing w:before="120" w:after="120" w:line="288" w:lineRule="auto"/>
              <w:ind w:left="0"/>
              <w:contextualSpacing w:val="0"/>
              <w:jc w:val="center"/>
              <w:rPr>
                <w:b/>
                <w:bCs/>
                <w:color w:val="FFFFFF" w:themeColor="background1"/>
                <w:sz w:val="16"/>
                <w:szCs w:val="16"/>
              </w:rPr>
            </w:pPr>
            <w:r w:rsidRPr="00A834D1">
              <w:rPr>
                <w:b/>
                <w:bCs/>
                <w:color w:val="FFFFFF" w:themeColor="background1"/>
                <w:sz w:val="16"/>
                <w:szCs w:val="16"/>
              </w:rPr>
              <w:lastRenderedPageBreak/>
              <w:t>Partido político</w:t>
            </w:r>
          </w:p>
        </w:tc>
        <w:tc>
          <w:tcPr>
            <w:tcW w:w="2410" w:type="dxa"/>
            <w:shd w:val="clear" w:color="auto" w:fill="993366"/>
          </w:tcPr>
          <w:p w14:paraId="45E73F7C" w14:textId="77777777" w:rsidR="00B424D2" w:rsidRPr="00A834D1" w:rsidRDefault="00B424D2" w:rsidP="00761590">
            <w:pPr>
              <w:pStyle w:val="Prrafodelista"/>
              <w:spacing w:before="120" w:after="120" w:line="288" w:lineRule="auto"/>
              <w:ind w:left="0"/>
              <w:contextualSpacing w:val="0"/>
              <w:jc w:val="center"/>
              <w:rPr>
                <w:b/>
                <w:bCs/>
                <w:color w:val="FFFFFF" w:themeColor="background1"/>
                <w:sz w:val="16"/>
                <w:szCs w:val="16"/>
              </w:rPr>
            </w:pPr>
            <w:r w:rsidRPr="00A834D1">
              <w:rPr>
                <w:b/>
                <w:bCs/>
                <w:color w:val="FFFFFF" w:themeColor="background1"/>
                <w:sz w:val="16"/>
                <w:szCs w:val="16"/>
              </w:rPr>
              <w:t>Número de oficio</w:t>
            </w:r>
          </w:p>
        </w:tc>
        <w:tc>
          <w:tcPr>
            <w:tcW w:w="2312" w:type="dxa"/>
            <w:shd w:val="clear" w:color="auto" w:fill="993366"/>
          </w:tcPr>
          <w:p w14:paraId="537B4286" w14:textId="77777777" w:rsidR="00B424D2" w:rsidRPr="00A834D1" w:rsidRDefault="00B424D2" w:rsidP="00761590">
            <w:pPr>
              <w:pStyle w:val="Prrafodelista"/>
              <w:spacing w:before="120" w:after="120" w:line="288" w:lineRule="auto"/>
              <w:ind w:left="0"/>
              <w:contextualSpacing w:val="0"/>
              <w:jc w:val="center"/>
              <w:rPr>
                <w:b/>
                <w:bCs/>
                <w:color w:val="FFFFFF" w:themeColor="background1"/>
                <w:sz w:val="16"/>
                <w:szCs w:val="16"/>
              </w:rPr>
            </w:pPr>
            <w:r w:rsidRPr="00A834D1">
              <w:rPr>
                <w:b/>
                <w:bCs/>
                <w:color w:val="FFFFFF" w:themeColor="background1"/>
                <w:sz w:val="16"/>
                <w:szCs w:val="16"/>
              </w:rPr>
              <w:t>Fecha de notificación</w:t>
            </w:r>
          </w:p>
        </w:tc>
      </w:tr>
      <w:tr w:rsidR="00B424D2" w:rsidRPr="00A834D1" w14:paraId="6CF25B34" w14:textId="77777777" w:rsidTr="00761590">
        <w:tc>
          <w:tcPr>
            <w:tcW w:w="3431" w:type="dxa"/>
          </w:tcPr>
          <w:p w14:paraId="64B797BF" w14:textId="77777777" w:rsidR="00B424D2" w:rsidRPr="00A834D1" w:rsidRDefault="00B424D2" w:rsidP="00761590">
            <w:pPr>
              <w:pStyle w:val="Prrafodelista"/>
              <w:spacing w:before="60" w:after="60" w:line="288" w:lineRule="auto"/>
              <w:ind w:left="0"/>
              <w:contextualSpacing w:val="0"/>
              <w:rPr>
                <w:sz w:val="18"/>
                <w:szCs w:val="18"/>
              </w:rPr>
            </w:pPr>
            <w:r w:rsidRPr="00A834D1">
              <w:rPr>
                <w:sz w:val="18"/>
                <w:szCs w:val="18"/>
              </w:rPr>
              <w:t>Partido Revolucionario Institucional</w:t>
            </w:r>
          </w:p>
        </w:tc>
        <w:tc>
          <w:tcPr>
            <w:tcW w:w="2410" w:type="dxa"/>
          </w:tcPr>
          <w:p w14:paraId="724578CA" w14:textId="02DCDFDD" w:rsidR="00B424D2" w:rsidRPr="00A834D1" w:rsidRDefault="00F011C1" w:rsidP="00761590">
            <w:pPr>
              <w:pStyle w:val="Prrafodelista"/>
              <w:spacing w:before="60" w:after="60" w:line="288" w:lineRule="auto"/>
              <w:ind w:left="0"/>
              <w:contextualSpacing w:val="0"/>
              <w:jc w:val="center"/>
              <w:rPr>
                <w:sz w:val="18"/>
                <w:szCs w:val="18"/>
              </w:rPr>
            </w:pPr>
            <w:r>
              <w:rPr>
                <w:sz w:val="18"/>
                <w:szCs w:val="18"/>
              </w:rPr>
              <w:t>OTF/027/2022</w:t>
            </w:r>
          </w:p>
        </w:tc>
        <w:tc>
          <w:tcPr>
            <w:tcW w:w="2312" w:type="dxa"/>
          </w:tcPr>
          <w:p w14:paraId="6E37C7A1" w14:textId="6A74F991" w:rsidR="00B424D2" w:rsidRPr="00A834D1" w:rsidRDefault="00B424D2" w:rsidP="00F011C1">
            <w:pPr>
              <w:pStyle w:val="Prrafodelista"/>
              <w:spacing w:before="60" w:after="60" w:line="288" w:lineRule="auto"/>
              <w:ind w:left="0"/>
              <w:contextualSpacing w:val="0"/>
              <w:jc w:val="center"/>
              <w:rPr>
                <w:sz w:val="18"/>
                <w:szCs w:val="18"/>
              </w:rPr>
            </w:pPr>
            <w:r w:rsidRPr="00A834D1">
              <w:rPr>
                <w:sz w:val="18"/>
                <w:szCs w:val="18"/>
              </w:rPr>
              <w:t xml:space="preserve">30 de </w:t>
            </w:r>
            <w:r w:rsidR="00F011C1">
              <w:rPr>
                <w:sz w:val="18"/>
                <w:szCs w:val="18"/>
              </w:rPr>
              <w:t>marzo de 2022</w:t>
            </w:r>
          </w:p>
        </w:tc>
      </w:tr>
      <w:tr w:rsidR="00B424D2" w:rsidRPr="00A834D1" w14:paraId="418C161E" w14:textId="77777777" w:rsidTr="00761590">
        <w:tc>
          <w:tcPr>
            <w:tcW w:w="3431" w:type="dxa"/>
          </w:tcPr>
          <w:p w14:paraId="28A1D380" w14:textId="77777777" w:rsidR="00B424D2" w:rsidRPr="00A834D1" w:rsidRDefault="00B424D2" w:rsidP="00761590">
            <w:pPr>
              <w:pStyle w:val="Prrafodelista"/>
              <w:spacing w:before="60" w:after="60" w:line="288" w:lineRule="auto"/>
              <w:ind w:left="0"/>
              <w:contextualSpacing w:val="0"/>
              <w:rPr>
                <w:sz w:val="18"/>
                <w:szCs w:val="18"/>
              </w:rPr>
            </w:pPr>
            <w:r w:rsidRPr="00A834D1">
              <w:rPr>
                <w:sz w:val="18"/>
                <w:szCs w:val="18"/>
              </w:rPr>
              <w:t>Partido de la Revolución Democrática</w:t>
            </w:r>
          </w:p>
        </w:tc>
        <w:tc>
          <w:tcPr>
            <w:tcW w:w="2410" w:type="dxa"/>
          </w:tcPr>
          <w:p w14:paraId="633BA7D8" w14:textId="3DD14F6C" w:rsidR="00B424D2" w:rsidRPr="00A834D1" w:rsidRDefault="00F011C1" w:rsidP="00F011C1">
            <w:pPr>
              <w:pStyle w:val="Prrafodelista"/>
              <w:spacing w:before="60" w:after="60" w:line="288" w:lineRule="auto"/>
              <w:ind w:left="0"/>
              <w:contextualSpacing w:val="0"/>
              <w:jc w:val="center"/>
              <w:rPr>
                <w:sz w:val="18"/>
                <w:szCs w:val="18"/>
              </w:rPr>
            </w:pPr>
            <w:r>
              <w:rPr>
                <w:sz w:val="18"/>
                <w:szCs w:val="18"/>
              </w:rPr>
              <w:t>OTF/028/2022</w:t>
            </w:r>
          </w:p>
        </w:tc>
        <w:tc>
          <w:tcPr>
            <w:tcW w:w="2312" w:type="dxa"/>
          </w:tcPr>
          <w:p w14:paraId="02A2FB37" w14:textId="6BEE21A6" w:rsidR="00B424D2" w:rsidRPr="00A834D1" w:rsidRDefault="00F011C1" w:rsidP="00761590">
            <w:pPr>
              <w:pStyle w:val="Prrafodelista"/>
              <w:spacing w:before="60" w:after="60" w:line="288" w:lineRule="auto"/>
              <w:ind w:left="0"/>
              <w:contextualSpacing w:val="0"/>
              <w:jc w:val="center"/>
              <w:rPr>
                <w:sz w:val="18"/>
                <w:szCs w:val="18"/>
              </w:rPr>
            </w:pPr>
            <w:r w:rsidRPr="00A834D1">
              <w:rPr>
                <w:sz w:val="18"/>
                <w:szCs w:val="18"/>
              </w:rPr>
              <w:t xml:space="preserve">30 de </w:t>
            </w:r>
            <w:r>
              <w:rPr>
                <w:sz w:val="18"/>
                <w:szCs w:val="18"/>
              </w:rPr>
              <w:t>marzo de 2022</w:t>
            </w:r>
          </w:p>
        </w:tc>
      </w:tr>
      <w:tr w:rsidR="00B424D2" w:rsidRPr="00A834D1" w14:paraId="3C4FDF37" w14:textId="77777777" w:rsidTr="00761590">
        <w:tc>
          <w:tcPr>
            <w:tcW w:w="3431" w:type="dxa"/>
          </w:tcPr>
          <w:p w14:paraId="25D60A7C" w14:textId="77777777" w:rsidR="00B424D2" w:rsidRPr="00A834D1" w:rsidRDefault="00B424D2" w:rsidP="00761590">
            <w:pPr>
              <w:pStyle w:val="Prrafodelista"/>
              <w:spacing w:before="60" w:after="60" w:line="288" w:lineRule="auto"/>
              <w:ind w:left="0"/>
              <w:contextualSpacing w:val="0"/>
              <w:rPr>
                <w:sz w:val="18"/>
                <w:szCs w:val="18"/>
              </w:rPr>
            </w:pPr>
            <w:r w:rsidRPr="00A834D1">
              <w:rPr>
                <w:sz w:val="18"/>
                <w:szCs w:val="18"/>
              </w:rPr>
              <w:t>Partido Verde Ecologista de México</w:t>
            </w:r>
          </w:p>
        </w:tc>
        <w:tc>
          <w:tcPr>
            <w:tcW w:w="2410" w:type="dxa"/>
          </w:tcPr>
          <w:p w14:paraId="1F5CF4B7" w14:textId="77AAF4D4" w:rsidR="00B424D2" w:rsidRPr="00A834D1" w:rsidRDefault="00F011C1" w:rsidP="00F011C1">
            <w:pPr>
              <w:pStyle w:val="Prrafodelista"/>
              <w:spacing w:before="60" w:after="60" w:line="288" w:lineRule="auto"/>
              <w:ind w:left="0"/>
              <w:contextualSpacing w:val="0"/>
              <w:jc w:val="center"/>
              <w:rPr>
                <w:sz w:val="18"/>
                <w:szCs w:val="18"/>
              </w:rPr>
            </w:pPr>
            <w:r>
              <w:rPr>
                <w:sz w:val="18"/>
                <w:szCs w:val="18"/>
              </w:rPr>
              <w:t>OTF/029/2022</w:t>
            </w:r>
          </w:p>
        </w:tc>
        <w:tc>
          <w:tcPr>
            <w:tcW w:w="2312" w:type="dxa"/>
          </w:tcPr>
          <w:p w14:paraId="4C24D6C3" w14:textId="1F0B8AB5" w:rsidR="00B424D2" w:rsidRPr="00A834D1" w:rsidRDefault="00F011C1" w:rsidP="00761590">
            <w:pPr>
              <w:pStyle w:val="Prrafodelista"/>
              <w:spacing w:before="60" w:after="60" w:line="288" w:lineRule="auto"/>
              <w:ind w:left="0"/>
              <w:contextualSpacing w:val="0"/>
              <w:jc w:val="center"/>
              <w:rPr>
                <w:sz w:val="18"/>
                <w:szCs w:val="18"/>
              </w:rPr>
            </w:pPr>
            <w:r w:rsidRPr="00A834D1">
              <w:rPr>
                <w:sz w:val="18"/>
                <w:szCs w:val="18"/>
              </w:rPr>
              <w:t xml:space="preserve">30 de </w:t>
            </w:r>
            <w:r>
              <w:rPr>
                <w:sz w:val="18"/>
                <w:szCs w:val="18"/>
              </w:rPr>
              <w:t>marzo de 2022</w:t>
            </w:r>
          </w:p>
        </w:tc>
      </w:tr>
      <w:tr w:rsidR="00B424D2" w:rsidRPr="00A834D1" w14:paraId="3D16E457" w14:textId="77777777" w:rsidTr="00761590">
        <w:tc>
          <w:tcPr>
            <w:tcW w:w="3431" w:type="dxa"/>
          </w:tcPr>
          <w:p w14:paraId="5F331BCB" w14:textId="1A566628" w:rsidR="00B424D2" w:rsidRPr="00A834D1" w:rsidRDefault="00B424D2" w:rsidP="00F011C1">
            <w:pPr>
              <w:pStyle w:val="Prrafodelista"/>
              <w:spacing w:before="60" w:after="60" w:line="288" w:lineRule="auto"/>
              <w:ind w:left="0"/>
              <w:contextualSpacing w:val="0"/>
              <w:rPr>
                <w:sz w:val="18"/>
                <w:szCs w:val="18"/>
              </w:rPr>
            </w:pPr>
            <w:r w:rsidRPr="00A834D1">
              <w:rPr>
                <w:sz w:val="18"/>
                <w:szCs w:val="18"/>
              </w:rPr>
              <w:t xml:space="preserve">Partido </w:t>
            </w:r>
            <w:r w:rsidR="00F011C1">
              <w:rPr>
                <w:sz w:val="18"/>
                <w:szCs w:val="18"/>
              </w:rPr>
              <w:t>Morena</w:t>
            </w:r>
          </w:p>
        </w:tc>
        <w:tc>
          <w:tcPr>
            <w:tcW w:w="2410" w:type="dxa"/>
          </w:tcPr>
          <w:p w14:paraId="46BE1A48" w14:textId="213B51D6" w:rsidR="00B424D2" w:rsidRPr="00A834D1" w:rsidRDefault="00F011C1" w:rsidP="00F011C1">
            <w:pPr>
              <w:pStyle w:val="Prrafodelista"/>
              <w:spacing w:before="60" w:after="60" w:line="288" w:lineRule="auto"/>
              <w:ind w:left="0"/>
              <w:contextualSpacing w:val="0"/>
              <w:jc w:val="center"/>
              <w:rPr>
                <w:sz w:val="18"/>
                <w:szCs w:val="18"/>
              </w:rPr>
            </w:pPr>
            <w:r>
              <w:rPr>
                <w:sz w:val="18"/>
                <w:szCs w:val="18"/>
              </w:rPr>
              <w:t>OTF/030/2022</w:t>
            </w:r>
          </w:p>
        </w:tc>
        <w:tc>
          <w:tcPr>
            <w:tcW w:w="2312" w:type="dxa"/>
          </w:tcPr>
          <w:p w14:paraId="06030657" w14:textId="2FE99078" w:rsidR="00B424D2" w:rsidRPr="00A834D1" w:rsidRDefault="00F011C1" w:rsidP="00761590">
            <w:pPr>
              <w:pStyle w:val="Prrafodelista"/>
              <w:spacing w:before="60" w:after="60" w:line="288" w:lineRule="auto"/>
              <w:ind w:left="0"/>
              <w:contextualSpacing w:val="0"/>
              <w:jc w:val="center"/>
              <w:rPr>
                <w:sz w:val="18"/>
                <w:szCs w:val="18"/>
              </w:rPr>
            </w:pPr>
            <w:r w:rsidRPr="00A834D1">
              <w:rPr>
                <w:sz w:val="18"/>
                <w:szCs w:val="18"/>
              </w:rPr>
              <w:t xml:space="preserve">30 de </w:t>
            </w:r>
            <w:r>
              <w:rPr>
                <w:sz w:val="18"/>
                <w:szCs w:val="18"/>
              </w:rPr>
              <w:t>marzo de 2022</w:t>
            </w:r>
          </w:p>
        </w:tc>
      </w:tr>
    </w:tbl>
    <w:p w14:paraId="7F59C186" w14:textId="029B99DF" w:rsidR="00EB5557" w:rsidRDefault="00EB5557" w:rsidP="00EB5557">
      <w:pPr>
        <w:pStyle w:val="Ttulo2"/>
      </w:pPr>
      <w:r>
        <w:t>Sanciones en ejecución</w:t>
      </w:r>
    </w:p>
    <w:p w14:paraId="3162248C" w14:textId="78F28A20" w:rsidR="00EB5557" w:rsidRPr="006076C1" w:rsidRDefault="00EB5557" w:rsidP="00EB5557">
      <w:r w:rsidRPr="006076C1">
        <w:t>Que, este Consejo Estatal mediante acuerdos CE/2020/</w:t>
      </w:r>
      <w:r w:rsidR="00441A1E">
        <w:t>0</w:t>
      </w:r>
      <w:r w:rsidRPr="006076C1">
        <w:t>05, CE/2020/014, CE</w:t>
      </w:r>
      <w:r>
        <w:t>/2021/082</w:t>
      </w:r>
      <w:r w:rsidRPr="006076C1">
        <w:t xml:space="preserve"> y CE/2022/010 hizo efectivas las sanciones impuestas por el Consejo General del INE, entre otros, a los partidos políticos: </w:t>
      </w:r>
      <w:r>
        <w:t xml:space="preserve">Revolucionario Institucional y </w:t>
      </w:r>
      <w:r w:rsidRPr="006076C1">
        <w:t>Verde Ecologista de México</w:t>
      </w:r>
      <w:r>
        <w:t xml:space="preserve">, conforme a los montos y períodos </w:t>
      </w:r>
      <w:r w:rsidRPr="006076C1">
        <w:t>siguientes:</w:t>
      </w:r>
    </w:p>
    <w:tbl>
      <w:tblPr>
        <w:tblStyle w:val="Tablaconcuadrcula"/>
        <w:tblW w:w="8222" w:type="dxa"/>
        <w:tblInd w:w="562" w:type="dxa"/>
        <w:tblLook w:val="04A0" w:firstRow="1" w:lastRow="0" w:firstColumn="1" w:lastColumn="0" w:noHBand="0" w:noVBand="1"/>
      </w:tblPr>
      <w:tblGrid>
        <w:gridCol w:w="1134"/>
        <w:gridCol w:w="2268"/>
        <w:gridCol w:w="1531"/>
        <w:gridCol w:w="1644"/>
        <w:gridCol w:w="1645"/>
      </w:tblGrid>
      <w:tr w:rsidR="00EB5557" w:rsidRPr="00A834D1" w14:paraId="7D542EBA" w14:textId="77777777" w:rsidTr="001D08BE">
        <w:trPr>
          <w:trHeight w:val="566"/>
        </w:trPr>
        <w:tc>
          <w:tcPr>
            <w:tcW w:w="1134" w:type="dxa"/>
            <w:shd w:val="clear" w:color="auto" w:fill="660033"/>
            <w:vAlign w:val="center"/>
          </w:tcPr>
          <w:p w14:paraId="1D20D3DF" w14:textId="77777777" w:rsidR="00EB5557" w:rsidRPr="00A834D1" w:rsidRDefault="00EB5557" w:rsidP="00B07483">
            <w:pPr>
              <w:widowControl w:val="0"/>
              <w:spacing w:before="60" w:after="60" w:line="288" w:lineRule="auto"/>
              <w:ind w:left="0"/>
              <w:jc w:val="center"/>
              <w:rPr>
                <w:b/>
                <w:sz w:val="16"/>
                <w:szCs w:val="16"/>
              </w:rPr>
            </w:pPr>
            <w:r w:rsidRPr="00A834D1">
              <w:rPr>
                <w:b/>
                <w:sz w:val="16"/>
                <w:szCs w:val="16"/>
              </w:rPr>
              <w:t>Partido político</w:t>
            </w:r>
          </w:p>
        </w:tc>
        <w:tc>
          <w:tcPr>
            <w:tcW w:w="2268" w:type="dxa"/>
            <w:shd w:val="clear" w:color="auto" w:fill="660033"/>
            <w:vAlign w:val="center"/>
          </w:tcPr>
          <w:p w14:paraId="0F6CD0A8" w14:textId="77777777" w:rsidR="00EB5557" w:rsidRPr="00A834D1" w:rsidRDefault="00EB5557" w:rsidP="00B07483">
            <w:pPr>
              <w:widowControl w:val="0"/>
              <w:spacing w:before="60" w:after="60" w:line="288" w:lineRule="auto"/>
              <w:ind w:left="0"/>
              <w:jc w:val="center"/>
              <w:rPr>
                <w:b/>
                <w:sz w:val="16"/>
                <w:szCs w:val="16"/>
              </w:rPr>
            </w:pPr>
            <w:r w:rsidRPr="00A834D1">
              <w:rPr>
                <w:b/>
                <w:sz w:val="16"/>
                <w:szCs w:val="16"/>
              </w:rPr>
              <w:t xml:space="preserve">Resolución </w:t>
            </w:r>
          </w:p>
        </w:tc>
        <w:tc>
          <w:tcPr>
            <w:tcW w:w="1531" w:type="dxa"/>
            <w:shd w:val="clear" w:color="auto" w:fill="660033"/>
            <w:vAlign w:val="center"/>
          </w:tcPr>
          <w:p w14:paraId="5C8D6AD0" w14:textId="77777777" w:rsidR="00EB5557" w:rsidRPr="00A834D1" w:rsidRDefault="00EB5557" w:rsidP="00B07483">
            <w:pPr>
              <w:widowControl w:val="0"/>
              <w:spacing w:before="60" w:after="60" w:line="288" w:lineRule="auto"/>
              <w:ind w:left="0"/>
              <w:jc w:val="center"/>
              <w:rPr>
                <w:b/>
                <w:sz w:val="16"/>
                <w:szCs w:val="16"/>
              </w:rPr>
            </w:pPr>
            <w:r w:rsidRPr="00A834D1">
              <w:rPr>
                <w:b/>
                <w:sz w:val="16"/>
                <w:szCs w:val="16"/>
              </w:rPr>
              <w:t>Monto total de sanción</w:t>
            </w:r>
          </w:p>
        </w:tc>
        <w:tc>
          <w:tcPr>
            <w:tcW w:w="1644" w:type="dxa"/>
            <w:shd w:val="clear" w:color="auto" w:fill="660033"/>
            <w:vAlign w:val="center"/>
          </w:tcPr>
          <w:p w14:paraId="384786BA" w14:textId="77777777" w:rsidR="00EB5557" w:rsidRPr="00A834D1" w:rsidRDefault="00EB5557" w:rsidP="00B07483">
            <w:pPr>
              <w:widowControl w:val="0"/>
              <w:spacing w:before="60" w:after="60" w:line="288" w:lineRule="auto"/>
              <w:ind w:left="0" w:firstLine="102"/>
              <w:jc w:val="center"/>
              <w:rPr>
                <w:b/>
                <w:sz w:val="16"/>
                <w:szCs w:val="16"/>
              </w:rPr>
            </w:pPr>
            <w:r>
              <w:rPr>
                <w:b/>
                <w:sz w:val="16"/>
                <w:szCs w:val="16"/>
              </w:rPr>
              <w:t>Inicio de pago</w:t>
            </w:r>
          </w:p>
        </w:tc>
        <w:tc>
          <w:tcPr>
            <w:tcW w:w="1645" w:type="dxa"/>
            <w:shd w:val="clear" w:color="auto" w:fill="660033"/>
            <w:vAlign w:val="center"/>
          </w:tcPr>
          <w:p w14:paraId="2B086D41" w14:textId="77777777" w:rsidR="00EB5557" w:rsidRPr="00A834D1" w:rsidRDefault="00EB5557" w:rsidP="00B07483">
            <w:pPr>
              <w:widowControl w:val="0"/>
              <w:spacing w:before="60" w:after="60" w:line="288" w:lineRule="auto"/>
              <w:ind w:left="0" w:firstLine="102"/>
              <w:jc w:val="center"/>
              <w:rPr>
                <w:b/>
                <w:sz w:val="16"/>
                <w:szCs w:val="16"/>
              </w:rPr>
            </w:pPr>
            <w:r w:rsidRPr="00A834D1">
              <w:rPr>
                <w:b/>
                <w:sz w:val="16"/>
                <w:szCs w:val="16"/>
              </w:rPr>
              <w:t>Deducción programada hasta</w:t>
            </w:r>
          </w:p>
        </w:tc>
      </w:tr>
      <w:tr w:rsidR="00EB5557" w:rsidRPr="00A834D1" w14:paraId="64719763" w14:textId="77777777" w:rsidTr="001D08BE">
        <w:trPr>
          <w:trHeight w:val="376"/>
        </w:trPr>
        <w:tc>
          <w:tcPr>
            <w:tcW w:w="1134" w:type="dxa"/>
            <w:vMerge w:val="restart"/>
            <w:vAlign w:val="center"/>
          </w:tcPr>
          <w:p w14:paraId="219186CA" w14:textId="77777777" w:rsidR="00EB5557" w:rsidRPr="003B6110" w:rsidRDefault="00EB5557" w:rsidP="00B07483">
            <w:pPr>
              <w:widowControl w:val="0"/>
              <w:spacing w:before="60" w:after="60" w:line="288" w:lineRule="auto"/>
              <w:ind w:left="0"/>
              <w:jc w:val="left"/>
              <w:rPr>
                <w:b/>
                <w:bCs/>
                <w:sz w:val="20"/>
                <w:szCs w:val="16"/>
              </w:rPr>
            </w:pPr>
            <w:r w:rsidRPr="003B6110">
              <w:rPr>
                <w:b/>
                <w:bCs/>
                <w:sz w:val="20"/>
                <w:szCs w:val="16"/>
              </w:rPr>
              <w:t>PRI</w:t>
            </w:r>
          </w:p>
        </w:tc>
        <w:tc>
          <w:tcPr>
            <w:tcW w:w="2268" w:type="dxa"/>
            <w:vAlign w:val="center"/>
          </w:tcPr>
          <w:p w14:paraId="66ECB88A" w14:textId="77777777" w:rsidR="00EB5557" w:rsidRPr="003B6110" w:rsidRDefault="00EB5557" w:rsidP="00B07483">
            <w:pPr>
              <w:widowControl w:val="0"/>
              <w:spacing w:before="60" w:after="60" w:line="288" w:lineRule="auto"/>
              <w:ind w:left="0"/>
              <w:rPr>
                <w:sz w:val="20"/>
                <w:szCs w:val="16"/>
              </w:rPr>
            </w:pPr>
            <w:r w:rsidRPr="003B6110">
              <w:rPr>
                <w:sz w:val="20"/>
                <w:szCs w:val="16"/>
              </w:rPr>
              <w:t>INE/CG1396/2021</w:t>
            </w:r>
          </w:p>
        </w:tc>
        <w:tc>
          <w:tcPr>
            <w:tcW w:w="1531" w:type="dxa"/>
            <w:vAlign w:val="center"/>
          </w:tcPr>
          <w:p w14:paraId="22707913" w14:textId="77777777" w:rsidR="00EB5557" w:rsidRPr="003B6110" w:rsidRDefault="00EB5557" w:rsidP="00B07483">
            <w:pPr>
              <w:widowControl w:val="0"/>
              <w:spacing w:before="60" w:after="60" w:line="288" w:lineRule="auto"/>
              <w:ind w:left="0"/>
              <w:jc w:val="right"/>
              <w:rPr>
                <w:sz w:val="20"/>
                <w:szCs w:val="16"/>
              </w:rPr>
            </w:pPr>
            <w:r w:rsidRPr="003B6110">
              <w:rPr>
                <w:sz w:val="20"/>
                <w:szCs w:val="16"/>
              </w:rPr>
              <w:t>$1’725,638.88</w:t>
            </w:r>
          </w:p>
        </w:tc>
        <w:tc>
          <w:tcPr>
            <w:tcW w:w="1644" w:type="dxa"/>
            <w:vAlign w:val="center"/>
          </w:tcPr>
          <w:p w14:paraId="4FE199CE" w14:textId="77777777" w:rsidR="00EB5557" w:rsidRPr="003B6110" w:rsidRDefault="00EB5557" w:rsidP="00B07483">
            <w:pPr>
              <w:widowControl w:val="0"/>
              <w:spacing w:before="60" w:after="60" w:line="288" w:lineRule="auto"/>
              <w:ind w:left="0"/>
              <w:jc w:val="right"/>
              <w:rPr>
                <w:sz w:val="20"/>
                <w:szCs w:val="16"/>
              </w:rPr>
            </w:pPr>
            <w:r w:rsidRPr="003B6110">
              <w:rPr>
                <w:sz w:val="20"/>
                <w:szCs w:val="16"/>
              </w:rPr>
              <w:t>Abril/2022</w:t>
            </w:r>
          </w:p>
        </w:tc>
        <w:tc>
          <w:tcPr>
            <w:tcW w:w="1645" w:type="dxa"/>
            <w:vAlign w:val="center"/>
          </w:tcPr>
          <w:p w14:paraId="1CD64DC1" w14:textId="77777777" w:rsidR="00EB5557" w:rsidRPr="003B6110" w:rsidRDefault="00EB5557" w:rsidP="00B07483">
            <w:pPr>
              <w:widowControl w:val="0"/>
              <w:spacing w:before="60" w:after="60" w:line="288" w:lineRule="auto"/>
              <w:ind w:left="0"/>
              <w:jc w:val="right"/>
              <w:rPr>
                <w:sz w:val="20"/>
                <w:szCs w:val="16"/>
              </w:rPr>
            </w:pPr>
            <w:r w:rsidRPr="003B6110">
              <w:rPr>
                <w:sz w:val="20"/>
                <w:szCs w:val="16"/>
              </w:rPr>
              <w:t>Mayo/2023</w:t>
            </w:r>
          </w:p>
        </w:tc>
      </w:tr>
      <w:tr w:rsidR="00EB5557" w:rsidRPr="00A834D1" w14:paraId="219F569E" w14:textId="77777777" w:rsidTr="001D08BE">
        <w:trPr>
          <w:trHeight w:val="376"/>
        </w:trPr>
        <w:tc>
          <w:tcPr>
            <w:tcW w:w="1134" w:type="dxa"/>
            <w:vMerge/>
            <w:vAlign w:val="center"/>
          </w:tcPr>
          <w:p w14:paraId="74C9AC98" w14:textId="77777777" w:rsidR="00EB5557" w:rsidRPr="003B6110" w:rsidRDefault="00EB5557" w:rsidP="00B07483">
            <w:pPr>
              <w:widowControl w:val="0"/>
              <w:spacing w:before="60" w:after="60" w:line="288" w:lineRule="auto"/>
              <w:ind w:left="0"/>
              <w:jc w:val="left"/>
              <w:rPr>
                <w:b/>
                <w:bCs/>
                <w:sz w:val="20"/>
                <w:szCs w:val="16"/>
              </w:rPr>
            </w:pPr>
          </w:p>
        </w:tc>
        <w:tc>
          <w:tcPr>
            <w:tcW w:w="2268" w:type="dxa"/>
            <w:vAlign w:val="center"/>
          </w:tcPr>
          <w:p w14:paraId="77EF382E" w14:textId="74217E2F" w:rsidR="00EB5557" w:rsidRPr="003B6110" w:rsidRDefault="00101A9E" w:rsidP="00BC66C1">
            <w:pPr>
              <w:widowControl w:val="0"/>
              <w:spacing w:before="60" w:after="60" w:line="288" w:lineRule="auto"/>
              <w:ind w:left="0"/>
              <w:rPr>
                <w:sz w:val="20"/>
                <w:szCs w:val="16"/>
              </w:rPr>
            </w:pPr>
            <w:r>
              <w:rPr>
                <w:sz w:val="20"/>
                <w:szCs w:val="16"/>
              </w:rPr>
              <w:t>Ex</w:t>
            </w:r>
            <w:r w:rsidR="00BC66C1">
              <w:rPr>
                <w:sz w:val="20"/>
                <w:szCs w:val="16"/>
              </w:rPr>
              <w:t>p</w:t>
            </w:r>
            <w:r>
              <w:rPr>
                <w:sz w:val="20"/>
                <w:szCs w:val="16"/>
              </w:rPr>
              <w:t xml:space="preserve">. </w:t>
            </w:r>
            <w:r w:rsidR="00BC66C1">
              <w:rPr>
                <w:sz w:val="20"/>
                <w:szCs w:val="16"/>
              </w:rPr>
              <w:t>l</w:t>
            </w:r>
            <w:r>
              <w:rPr>
                <w:sz w:val="20"/>
                <w:szCs w:val="16"/>
              </w:rPr>
              <w:t xml:space="preserve">aboral </w:t>
            </w:r>
            <w:r w:rsidR="00EB5557" w:rsidRPr="003B6110">
              <w:rPr>
                <w:sz w:val="20"/>
                <w:szCs w:val="16"/>
              </w:rPr>
              <w:t>4509/2012</w:t>
            </w:r>
          </w:p>
        </w:tc>
        <w:tc>
          <w:tcPr>
            <w:tcW w:w="1531" w:type="dxa"/>
            <w:vAlign w:val="center"/>
          </w:tcPr>
          <w:p w14:paraId="2F4B2B62" w14:textId="77777777" w:rsidR="00EB5557" w:rsidRPr="003B6110" w:rsidRDefault="00EB5557" w:rsidP="00B07483">
            <w:pPr>
              <w:widowControl w:val="0"/>
              <w:spacing w:before="60" w:after="60" w:line="288" w:lineRule="auto"/>
              <w:ind w:left="0"/>
              <w:jc w:val="right"/>
              <w:rPr>
                <w:sz w:val="20"/>
                <w:szCs w:val="16"/>
              </w:rPr>
            </w:pPr>
            <w:r w:rsidRPr="003B6110">
              <w:rPr>
                <w:sz w:val="20"/>
                <w:szCs w:val="16"/>
              </w:rPr>
              <w:t>2’698,053.80</w:t>
            </w:r>
          </w:p>
        </w:tc>
        <w:tc>
          <w:tcPr>
            <w:tcW w:w="1644" w:type="dxa"/>
            <w:vAlign w:val="center"/>
          </w:tcPr>
          <w:p w14:paraId="71CC0D04" w14:textId="77777777" w:rsidR="00EB5557" w:rsidRPr="003B6110" w:rsidRDefault="00EB5557" w:rsidP="00B07483">
            <w:pPr>
              <w:widowControl w:val="0"/>
              <w:spacing w:before="60" w:after="60" w:line="288" w:lineRule="auto"/>
              <w:ind w:left="0"/>
              <w:jc w:val="right"/>
              <w:rPr>
                <w:sz w:val="20"/>
                <w:szCs w:val="16"/>
              </w:rPr>
            </w:pPr>
            <w:r w:rsidRPr="003B6110">
              <w:rPr>
                <w:sz w:val="20"/>
                <w:szCs w:val="16"/>
              </w:rPr>
              <w:t>Junio/2022</w:t>
            </w:r>
          </w:p>
        </w:tc>
        <w:tc>
          <w:tcPr>
            <w:tcW w:w="1645" w:type="dxa"/>
            <w:vAlign w:val="center"/>
          </w:tcPr>
          <w:p w14:paraId="3C1C380E" w14:textId="77777777" w:rsidR="00EB5557" w:rsidRPr="003B6110" w:rsidRDefault="00EB5557" w:rsidP="00B07483">
            <w:pPr>
              <w:widowControl w:val="0"/>
              <w:spacing w:before="60" w:after="60" w:line="288" w:lineRule="auto"/>
              <w:ind w:left="0"/>
              <w:jc w:val="right"/>
              <w:rPr>
                <w:sz w:val="20"/>
                <w:szCs w:val="16"/>
              </w:rPr>
            </w:pPr>
            <w:r w:rsidRPr="003B6110">
              <w:rPr>
                <w:sz w:val="20"/>
                <w:szCs w:val="16"/>
              </w:rPr>
              <w:t>Mayo/2023</w:t>
            </w:r>
          </w:p>
        </w:tc>
      </w:tr>
      <w:tr w:rsidR="00EB5557" w:rsidRPr="00A834D1" w14:paraId="2E5451B1" w14:textId="77777777" w:rsidTr="001D08BE">
        <w:trPr>
          <w:trHeight w:val="376"/>
        </w:trPr>
        <w:tc>
          <w:tcPr>
            <w:tcW w:w="1134" w:type="dxa"/>
            <w:vMerge w:val="restart"/>
            <w:vAlign w:val="center"/>
          </w:tcPr>
          <w:p w14:paraId="78CAA397" w14:textId="77777777" w:rsidR="00EB5557" w:rsidRPr="003B6110" w:rsidRDefault="00EB5557" w:rsidP="00B07483">
            <w:pPr>
              <w:widowControl w:val="0"/>
              <w:spacing w:before="60" w:after="60" w:line="288" w:lineRule="auto"/>
              <w:ind w:left="0"/>
              <w:jc w:val="left"/>
              <w:rPr>
                <w:b/>
                <w:bCs/>
                <w:sz w:val="20"/>
                <w:szCs w:val="16"/>
              </w:rPr>
            </w:pPr>
            <w:r w:rsidRPr="003B6110">
              <w:rPr>
                <w:b/>
                <w:bCs/>
                <w:sz w:val="20"/>
                <w:szCs w:val="16"/>
              </w:rPr>
              <w:t>PVEM</w:t>
            </w:r>
          </w:p>
        </w:tc>
        <w:tc>
          <w:tcPr>
            <w:tcW w:w="2268" w:type="dxa"/>
            <w:vAlign w:val="center"/>
          </w:tcPr>
          <w:p w14:paraId="10F2E0E7" w14:textId="77777777" w:rsidR="00EB5557" w:rsidRPr="003B6110" w:rsidRDefault="00EB5557" w:rsidP="00B07483">
            <w:pPr>
              <w:widowControl w:val="0"/>
              <w:spacing w:before="60" w:after="60" w:line="288" w:lineRule="auto"/>
              <w:ind w:left="0"/>
              <w:rPr>
                <w:sz w:val="20"/>
                <w:szCs w:val="16"/>
              </w:rPr>
            </w:pPr>
            <w:r w:rsidRPr="003B6110">
              <w:rPr>
                <w:sz w:val="20"/>
                <w:szCs w:val="16"/>
              </w:rPr>
              <w:t>INE/CG58/2019</w:t>
            </w:r>
          </w:p>
        </w:tc>
        <w:tc>
          <w:tcPr>
            <w:tcW w:w="1531" w:type="dxa"/>
            <w:vMerge w:val="restart"/>
            <w:vAlign w:val="center"/>
          </w:tcPr>
          <w:p w14:paraId="50AAB9EF" w14:textId="77777777" w:rsidR="00EB5557" w:rsidRPr="003B6110" w:rsidRDefault="00EB5557" w:rsidP="00B07483">
            <w:pPr>
              <w:widowControl w:val="0"/>
              <w:spacing w:before="60" w:after="60" w:line="288" w:lineRule="auto"/>
              <w:ind w:left="0"/>
              <w:jc w:val="right"/>
              <w:rPr>
                <w:sz w:val="20"/>
                <w:szCs w:val="16"/>
              </w:rPr>
            </w:pPr>
            <w:r w:rsidRPr="003B6110">
              <w:rPr>
                <w:sz w:val="20"/>
                <w:szCs w:val="16"/>
              </w:rPr>
              <w:t>$7’484,112.76</w:t>
            </w:r>
          </w:p>
        </w:tc>
        <w:tc>
          <w:tcPr>
            <w:tcW w:w="1644" w:type="dxa"/>
            <w:vMerge w:val="restart"/>
            <w:vAlign w:val="center"/>
          </w:tcPr>
          <w:p w14:paraId="40ABF29F" w14:textId="77777777" w:rsidR="00EB5557" w:rsidRPr="003B6110" w:rsidRDefault="00EB5557" w:rsidP="00B07483">
            <w:pPr>
              <w:widowControl w:val="0"/>
              <w:spacing w:before="60" w:after="60" w:line="288" w:lineRule="auto"/>
              <w:ind w:left="0"/>
              <w:jc w:val="right"/>
              <w:rPr>
                <w:sz w:val="20"/>
                <w:szCs w:val="16"/>
              </w:rPr>
            </w:pPr>
            <w:r w:rsidRPr="003B6110">
              <w:rPr>
                <w:sz w:val="20"/>
                <w:szCs w:val="16"/>
              </w:rPr>
              <w:t>Enero/2020</w:t>
            </w:r>
          </w:p>
        </w:tc>
        <w:tc>
          <w:tcPr>
            <w:tcW w:w="1645" w:type="dxa"/>
            <w:vMerge w:val="restart"/>
            <w:vAlign w:val="center"/>
          </w:tcPr>
          <w:p w14:paraId="1F878DB6" w14:textId="77777777" w:rsidR="00EB5557" w:rsidRPr="003B6110" w:rsidRDefault="00EB5557" w:rsidP="00B07483">
            <w:pPr>
              <w:widowControl w:val="0"/>
              <w:spacing w:before="60" w:after="60" w:line="288" w:lineRule="auto"/>
              <w:ind w:left="0"/>
              <w:jc w:val="right"/>
              <w:rPr>
                <w:sz w:val="20"/>
                <w:szCs w:val="16"/>
              </w:rPr>
            </w:pPr>
            <w:r w:rsidRPr="003B6110">
              <w:rPr>
                <w:sz w:val="20"/>
                <w:szCs w:val="16"/>
              </w:rPr>
              <w:t>Diciembre/2026</w:t>
            </w:r>
          </w:p>
        </w:tc>
      </w:tr>
      <w:tr w:rsidR="00EB5557" w:rsidRPr="00A834D1" w14:paraId="0AC2F944" w14:textId="77777777" w:rsidTr="001D08BE">
        <w:trPr>
          <w:trHeight w:val="376"/>
        </w:trPr>
        <w:tc>
          <w:tcPr>
            <w:tcW w:w="1134" w:type="dxa"/>
            <w:vMerge/>
            <w:vAlign w:val="center"/>
          </w:tcPr>
          <w:p w14:paraId="73CEAD38" w14:textId="77777777" w:rsidR="00EB5557" w:rsidRPr="003B6110" w:rsidRDefault="00EB5557" w:rsidP="00B07483">
            <w:pPr>
              <w:widowControl w:val="0"/>
              <w:spacing w:before="60" w:after="60" w:line="288" w:lineRule="auto"/>
              <w:ind w:left="0"/>
              <w:jc w:val="left"/>
              <w:rPr>
                <w:b/>
                <w:bCs/>
                <w:sz w:val="20"/>
                <w:szCs w:val="16"/>
              </w:rPr>
            </w:pPr>
          </w:p>
        </w:tc>
        <w:tc>
          <w:tcPr>
            <w:tcW w:w="2268" w:type="dxa"/>
            <w:vAlign w:val="center"/>
          </w:tcPr>
          <w:p w14:paraId="5AD826D7" w14:textId="77777777" w:rsidR="00EB5557" w:rsidRPr="003B6110" w:rsidRDefault="00EB5557" w:rsidP="00B07483">
            <w:pPr>
              <w:widowControl w:val="0"/>
              <w:spacing w:before="60" w:after="60" w:line="288" w:lineRule="auto"/>
              <w:ind w:left="0"/>
              <w:rPr>
                <w:sz w:val="20"/>
                <w:szCs w:val="16"/>
              </w:rPr>
            </w:pPr>
            <w:r w:rsidRPr="003B6110">
              <w:rPr>
                <w:sz w:val="20"/>
                <w:szCs w:val="16"/>
              </w:rPr>
              <w:t>INE/CG467/2019</w:t>
            </w:r>
          </w:p>
        </w:tc>
        <w:tc>
          <w:tcPr>
            <w:tcW w:w="1531" w:type="dxa"/>
            <w:vMerge/>
            <w:vAlign w:val="center"/>
          </w:tcPr>
          <w:p w14:paraId="3156FCB8" w14:textId="77777777" w:rsidR="00EB5557" w:rsidRPr="003B6110" w:rsidRDefault="00EB5557" w:rsidP="00B07483">
            <w:pPr>
              <w:widowControl w:val="0"/>
              <w:spacing w:before="60" w:after="60" w:line="288" w:lineRule="auto"/>
              <w:ind w:left="0"/>
              <w:jc w:val="right"/>
              <w:rPr>
                <w:sz w:val="20"/>
                <w:szCs w:val="16"/>
              </w:rPr>
            </w:pPr>
          </w:p>
        </w:tc>
        <w:tc>
          <w:tcPr>
            <w:tcW w:w="1644" w:type="dxa"/>
            <w:vMerge/>
            <w:vAlign w:val="center"/>
          </w:tcPr>
          <w:p w14:paraId="7129E6EC" w14:textId="77777777" w:rsidR="00EB5557" w:rsidRPr="003B6110" w:rsidRDefault="00EB5557" w:rsidP="00B07483">
            <w:pPr>
              <w:widowControl w:val="0"/>
              <w:spacing w:before="60" w:after="60" w:line="288" w:lineRule="auto"/>
              <w:ind w:left="0"/>
              <w:jc w:val="right"/>
              <w:rPr>
                <w:sz w:val="20"/>
                <w:szCs w:val="16"/>
              </w:rPr>
            </w:pPr>
          </w:p>
        </w:tc>
        <w:tc>
          <w:tcPr>
            <w:tcW w:w="1645" w:type="dxa"/>
            <w:vMerge/>
            <w:vAlign w:val="center"/>
          </w:tcPr>
          <w:p w14:paraId="6F8CE1E5" w14:textId="77777777" w:rsidR="00EB5557" w:rsidRPr="003B6110" w:rsidRDefault="00EB5557" w:rsidP="00B07483">
            <w:pPr>
              <w:widowControl w:val="0"/>
              <w:spacing w:before="60" w:after="60" w:line="288" w:lineRule="auto"/>
              <w:ind w:left="0"/>
              <w:jc w:val="right"/>
              <w:rPr>
                <w:sz w:val="20"/>
                <w:szCs w:val="16"/>
              </w:rPr>
            </w:pPr>
          </w:p>
        </w:tc>
      </w:tr>
      <w:tr w:rsidR="00EB5557" w:rsidRPr="00A834D1" w14:paraId="5E951775" w14:textId="77777777" w:rsidTr="001D08BE">
        <w:trPr>
          <w:trHeight w:val="376"/>
        </w:trPr>
        <w:tc>
          <w:tcPr>
            <w:tcW w:w="1134" w:type="dxa"/>
            <w:vMerge/>
            <w:vAlign w:val="center"/>
          </w:tcPr>
          <w:p w14:paraId="74E16EE8" w14:textId="77777777" w:rsidR="00EB5557" w:rsidRPr="003B6110" w:rsidRDefault="00EB5557" w:rsidP="00B07483">
            <w:pPr>
              <w:widowControl w:val="0"/>
              <w:spacing w:before="60" w:after="60" w:line="288" w:lineRule="auto"/>
              <w:ind w:left="0"/>
              <w:jc w:val="left"/>
              <w:rPr>
                <w:b/>
                <w:bCs/>
                <w:sz w:val="20"/>
                <w:szCs w:val="16"/>
              </w:rPr>
            </w:pPr>
          </w:p>
        </w:tc>
        <w:tc>
          <w:tcPr>
            <w:tcW w:w="2268" w:type="dxa"/>
            <w:vAlign w:val="center"/>
          </w:tcPr>
          <w:p w14:paraId="0768A5E2" w14:textId="77777777" w:rsidR="00EB5557" w:rsidRPr="003B6110" w:rsidRDefault="00EB5557" w:rsidP="00B07483">
            <w:pPr>
              <w:widowControl w:val="0"/>
              <w:spacing w:before="60" w:after="60" w:line="288" w:lineRule="auto"/>
              <w:ind w:left="0"/>
              <w:rPr>
                <w:sz w:val="20"/>
                <w:szCs w:val="16"/>
              </w:rPr>
            </w:pPr>
            <w:r w:rsidRPr="003B6110">
              <w:rPr>
                <w:sz w:val="20"/>
                <w:szCs w:val="16"/>
              </w:rPr>
              <w:t>INE/CG524/2017</w:t>
            </w:r>
          </w:p>
        </w:tc>
        <w:tc>
          <w:tcPr>
            <w:tcW w:w="1531" w:type="dxa"/>
            <w:vMerge w:val="restart"/>
            <w:vAlign w:val="center"/>
          </w:tcPr>
          <w:p w14:paraId="54B07C48" w14:textId="77777777" w:rsidR="00EB5557" w:rsidRPr="003B6110" w:rsidRDefault="00EB5557" w:rsidP="00B07483">
            <w:pPr>
              <w:widowControl w:val="0"/>
              <w:spacing w:before="60" w:after="60" w:line="288" w:lineRule="auto"/>
              <w:ind w:left="0"/>
              <w:jc w:val="right"/>
              <w:rPr>
                <w:sz w:val="20"/>
                <w:szCs w:val="16"/>
              </w:rPr>
            </w:pPr>
            <w:r w:rsidRPr="003B6110">
              <w:rPr>
                <w:sz w:val="20"/>
                <w:szCs w:val="16"/>
              </w:rPr>
              <w:t>200,950.00</w:t>
            </w:r>
          </w:p>
        </w:tc>
        <w:tc>
          <w:tcPr>
            <w:tcW w:w="1644" w:type="dxa"/>
            <w:vMerge w:val="restart"/>
            <w:vAlign w:val="center"/>
          </w:tcPr>
          <w:p w14:paraId="119CC44E" w14:textId="77777777" w:rsidR="00EB5557" w:rsidRPr="003B6110" w:rsidRDefault="00EB5557" w:rsidP="00B07483">
            <w:pPr>
              <w:widowControl w:val="0"/>
              <w:spacing w:before="60" w:after="60" w:line="288" w:lineRule="auto"/>
              <w:ind w:left="0"/>
              <w:jc w:val="right"/>
              <w:rPr>
                <w:sz w:val="20"/>
                <w:szCs w:val="16"/>
              </w:rPr>
            </w:pPr>
            <w:r w:rsidRPr="003B6110">
              <w:rPr>
                <w:sz w:val="20"/>
                <w:szCs w:val="16"/>
              </w:rPr>
              <w:t>Enero/2027</w:t>
            </w:r>
          </w:p>
        </w:tc>
        <w:tc>
          <w:tcPr>
            <w:tcW w:w="1645" w:type="dxa"/>
            <w:vMerge w:val="restart"/>
            <w:vAlign w:val="center"/>
          </w:tcPr>
          <w:p w14:paraId="46239843" w14:textId="77777777" w:rsidR="00EB5557" w:rsidRPr="003B6110" w:rsidRDefault="00EB5557" w:rsidP="00B07483">
            <w:pPr>
              <w:widowControl w:val="0"/>
              <w:spacing w:before="60" w:after="60" w:line="288" w:lineRule="auto"/>
              <w:ind w:left="0"/>
              <w:jc w:val="right"/>
              <w:rPr>
                <w:sz w:val="20"/>
                <w:szCs w:val="16"/>
              </w:rPr>
            </w:pPr>
            <w:r w:rsidRPr="003B6110">
              <w:rPr>
                <w:sz w:val="20"/>
                <w:szCs w:val="16"/>
              </w:rPr>
              <w:t>Agosto/2027</w:t>
            </w:r>
          </w:p>
        </w:tc>
      </w:tr>
      <w:tr w:rsidR="00EB5557" w:rsidRPr="00A834D1" w14:paraId="7F5948E5" w14:textId="77777777" w:rsidTr="001D08BE">
        <w:trPr>
          <w:trHeight w:val="376"/>
        </w:trPr>
        <w:tc>
          <w:tcPr>
            <w:tcW w:w="1134" w:type="dxa"/>
            <w:vMerge/>
            <w:vAlign w:val="center"/>
          </w:tcPr>
          <w:p w14:paraId="18B1CA88" w14:textId="77777777" w:rsidR="00EB5557" w:rsidRPr="003B6110" w:rsidRDefault="00EB5557" w:rsidP="00B07483">
            <w:pPr>
              <w:widowControl w:val="0"/>
              <w:spacing w:before="60" w:after="60" w:line="288" w:lineRule="auto"/>
              <w:ind w:left="0"/>
              <w:jc w:val="left"/>
              <w:rPr>
                <w:b/>
                <w:bCs/>
                <w:sz w:val="20"/>
                <w:szCs w:val="16"/>
              </w:rPr>
            </w:pPr>
          </w:p>
        </w:tc>
        <w:tc>
          <w:tcPr>
            <w:tcW w:w="2268" w:type="dxa"/>
            <w:vAlign w:val="center"/>
          </w:tcPr>
          <w:p w14:paraId="77B393E0" w14:textId="77777777" w:rsidR="00EB5557" w:rsidRPr="003B6110" w:rsidRDefault="00EB5557" w:rsidP="00B07483">
            <w:pPr>
              <w:widowControl w:val="0"/>
              <w:spacing w:before="60" w:after="60" w:line="288" w:lineRule="auto"/>
              <w:ind w:left="0"/>
              <w:rPr>
                <w:sz w:val="20"/>
                <w:szCs w:val="16"/>
              </w:rPr>
            </w:pPr>
            <w:r w:rsidRPr="003B6110">
              <w:rPr>
                <w:sz w:val="20"/>
                <w:szCs w:val="16"/>
              </w:rPr>
              <w:t>INE/CG237/2019</w:t>
            </w:r>
          </w:p>
        </w:tc>
        <w:tc>
          <w:tcPr>
            <w:tcW w:w="1531" w:type="dxa"/>
            <w:vMerge/>
            <w:vAlign w:val="center"/>
          </w:tcPr>
          <w:p w14:paraId="3F3CFBBA" w14:textId="77777777" w:rsidR="00EB5557" w:rsidRPr="003B6110" w:rsidRDefault="00EB5557" w:rsidP="00B07483">
            <w:pPr>
              <w:widowControl w:val="0"/>
              <w:spacing w:before="60" w:after="60" w:line="288" w:lineRule="auto"/>
              <w:ind w:left="0"/>
              <w:jc w:val="right"/>
              <w:rPr>
                <w:sz w:val="20"/>
                <w:szCs w:val="16"/>
              </w:rPr>
            </w:pPr>
          </w:p>
        </w:tc>
        <w:tc>
          <w:tcPr>
            <w:tcW w:w="1644" w:type="dxa"/>
            <w:vMerge/>
            <w:vAlign w:val="center"/>
          </w:tcPr>
          <w:p w14:paraId="2191D215" w14:textId="77777777" w:rsidR="00EB5557" w:rsidRPr="003B6110" w:rsidRDefault="00EB5557" w:rsidP="00B07483">
            <w:pPr>
              <w:widowControl w:val="0"/>
              <w:spacing w:before="60" w:after="60" w:line="288" w:lineRule="auto"/>
              <w:ind w:left="0"/>
              <w:jc w:val="right"/>
              <w:rPr>
                <w:sz w:val="20"/>
                <w:szCs w:val="16"/>
              </w:rPr>
            </w:pPr>
          </w:p>
        </w:tc>
        <w:tc>
          <w:tcPr>
            <w:tcW w:w="1645" w:type="dxa"/>
            <w:vMerge/>
            <w:vAlign w:val="center"/>
          </w:tcPr>
          <w:p w14:paraId="72353C5A" w14:textId="77777777" w:rsidR="00EB5557" w:rsidRPr="003B6110" w:rsidRDefault="00EB5557" w:rsidP="00B07483">
            <w:pPr>
              <w:widowControl w:val="0"/>
              <w:spacing w:before="60" w:after="60" w:line="288" w:lineRule="auto"/>
              <w:ind w:left="0"/>
              <w:jc w:val="right"/>
              <w:rPr>
                <w:sz w:val="20"/>
                <w:szCs w:val="16"/>
              </w:rPr>
            </w:pPr>
          </w:p>
        </w:tc>
      </w:tr>
      <w:tr w:rsidR="00EB5557" w:rsidRPr="00A834D1" w14:paraId="1D4B20FC" w14:textId="77777777" w:rsidTr="001D08BE">
        <w:trPr>
          <w:trHeight w:val="376"/>
        </w:trPr>
        <w:tc>
          <w:tcPr>
            <w:tcW w:w="1134" w:type="dxa"/>
            <w:vMerge/>
            <w:vAlign w:val="center"/>
          </w:tcPr>
          <w:p w14:paraId="1F4E714E" w14:textId="77777777" w:rsidR="00EB5557" w:rsidRPr="003B6110" w:rsidRDefault="00EB5557" w:rsidP="00B07483">
            <w:pPr>
              <w:widowControl w:val="0"/>
              <w:spacing w:before="60" w:after="60" w:line="288" w:lineRule="auto"/>
              <w:ind w:left="0"/>
              <w:jc w:val="left"/>
              <w:rPr>
                <w:b/>
                <w:bCs/>
                <w:sz w:val="20"/>
                <w:szCs w:val="16"/>
              </w:rPr>
            </w:pPr>
          </w:p>
        </w:tc>
        <w:tc>
          <w:tcPr>
            <w:tcW w:w="2268" w:type="dxa"/>
            <w:vAlign w:val="center"/>
          </w:tcPr>
          <w:p w14:paraId="1F5D7768" w14:textId="77777777" w:rsidR="00EB5557" w:rsidRPr="003B6110" w:rsidRDefault="00EB5557" w:rsidP="00B07483">
            <w:pPr>
              <w:widowControl w:val="0"/>
              <w:spacing w:before="60" w:after="60" w:line="288" w:lineRule="auto"/>
              <w:ind w:left="0"/>
              <w:rPr>
                <w:sz w:val="20"/>
                <w:szCs w:val="16"/>
              </w:rPr>
            </w:pPr>
            <w:r w:rsidRPr="003B6110">
              <w:rPr>
                <w:sz w:val="20"/>
                <w:szCs w:val="16"/>
              </w:rPr>
              <w:t>INE/CG648/2020</w:t>
            </w:r>
          </w:p>
        </w:tc>
        <w:tc>
          <w:tcPr>
            <w:tcW w:w="1531" w:type="dxa"/>
            <w:vAlign w:val="center"/>
          </w:tcPr>
          <w:p w14:paraId="5FBAA1DA" w14:textId="77777777" w:rsidR="00EB5557" w:rsidRPr="003B6110" w:rsidRDefault="00EB5557" w:rsidP="00B07483">
            <w:pPr>
              <w:widowControl w:val="0"/>
              <w:spacing w:before="60" w:after="60" w:line="288" w:lineRule="auto"/>
              <w:ind w:left="0"/>
              <w:jc w:val="right"/>
              <w:rPr>
                <w:sz w:val="20"/>
                <w:szCs w:val="16"/>
              </w:rPr>
            </w:pPr>
            <w:r w:rsidRPr="003B6110">
              <w:rPr>
                <w:sz w:val="20"/>
                <w:szCs w:val="16"/>
              </w:rPr>
              <w:t>647,278.78</w:t>
            </w:r>
          </w:p>
        </w:tc>
        <w:tc>
          <w:tcPr>
            <w:tcW w:w="1644" w:type="dxa"/>
            <w:vMerge/>
            <w:vAlign w:val="center"/>
          </w:tcPr>
          <w:p w14:paraId="15E01691" w14:textId="77777777" w:rsidR="00EB5557" w:rsidRPr="003B6110" w:rsidRDefault="00EB5557" w:rsidP="00B07483">
            <w:pPr>
              <w:widowControl w:val="0"/>
              <w:spacing w:before="60" w:after="60" w:line="288" w:lineRule="auto"/>
              <w:ind w:left="0"/>
              <w:jc w:val="right"/>
              <w:rPr>
                <w:sz w:val="20"/>
                <w:szCs w:val="16"/>
              </w:rPr>
            </w:pPr>
          </w:p>
        </w:tc>
        <w:tc>
          <w:tcPr>
            <w:tcW w:w="1645" w:type="dxa"/>
            <w:vMerge/>
            <w:vAlign w:val="center"/>
          </w:tcPr>
          <w:p w14:paraId="50CE8181" w14:textId="77777777" w:rsidR="00EB5557" w:rsidRPr="003B6110" w:rsidRDefault="00EB5557" w:rsidP="00B07483">
            <w:pPr>
              <w:widowControl w:val="0"/>
              <w:spacing w:before="60" w:after="60" w:line="288" w:lineRule="auto"/>
              <w:ind w:left="0"/>
              <w:jc w:val="right"/>
              <w:rPr>
                <w:sz w:val="20"/>
                <w:szCs w:val="16"/>
              </w:rPr>
            </w:pPr>
          </w:p>
        </w:tc>
      </w:tr>
      <w:tr w:rsidR="00EB5557" w:rsidRPr="00A834D1" w14:paraId="113298B1" w14:textId="77777777" w:rsidTr="001D08BE">
        <w:trPr>
          <w:trHeight w:val="376"/>
        </w:trPr>
        <w:tc>
          <w:tcPr>
            <w:tcW w:w="1134" w:type="dxa"/>
            <w:vMerge/>
            <w:vAlign w:val="center"/>
          </w:tcPr>
          <w:p w14:paraId="663D2555" w14:textId="77777777" w:rsidR="00EB5557" w:rsidRPr="003B6110" w:rsidRDefault="00EB5557" w:rsidP="00B07483">
            <w:pPr>
              <w:widowControl w:val="0"/>
              <w:spacing w:before="60" w:after="60" w:line="288" w:lineRule="auto"/>
              <w:ind w:left="0"/>
              <w:jc w:val="left"/>
              <w:rPr>
                <w:b/>
                <w:bCs/>
                <w:sz w:val="20"/>
                <w:szCs w:val="16"/>
              </w:rPr>
            </w:pPr>
          </w:p>
        </w:tc>
        <w:tc>
          <w:tcPr>
            <w:tcW w:w="2268" w:type="dxa"/>
            <w:vAlign w:val="center"/>
          </w:tcPr>
          <w:p w14:paraId="52CE1A26" w14:textId="77777777" w:rsidR="00EB5557" w:rsidRPr="003B6110" w:rsidRDefault="00EB5557" w:rsidP="00B07483">
            <w:pPr>
              <w:widowControl w:val="0"/>
              <w:spacing w:before="60" w:after="60" w:line="288" w:lineRule="auto"/>
              <w:ind w:left="0"/>
              <w:rPr>
                <w:sz w:val="20"/>
                <w:szCs w:val="16"/>
              </w:rPr>
            </w:pPr>
            <w:r w:rsidRPr="003B6110">
              <w:rPr>
                <w:sz w:val="20"/>
                <w:szCs w:val="16"/>
              </w:rPr>
              <w:t>INE/CG1396/2021</w:t>
            </w:r>
          </w:p>
        </w:tc>
        <w:tc>
          <w:tcPr>
            <w:tcW w:w="1531" w:type="dxa"/>
            <w:vAlign w:val="center"/>
          </w:tcPr>
          <w:p w14:paraId="47CE0FB4" w14:textId="77777777" w:rsidR="00EB5557" w:rsidRPr="003B6110" w:rsidRDefault="00EB5557" w:rsidP="00B07483">
            <w:pPr>
              <w:widowControl w:val="0"/>
              <w:spacing w:before="60" w:after="60" w:line="288" w:lineRule="auto"/>
              <w:ind w:left="0"/>
              <w:jc w:val="right"/>
              <w:rPr>
                <w:sz w:val="20"/>
                <w:szCs w:val="16"/>
              </w:rPr>
            </w:pPr>
            <w:r w:rsidRPr="003B6110">
              <w:rPr>
                <w:sz w:val="20"/>
                <w:szCs w:val="16"/>
              </w:rPr>
              <w:t>1’594,081.84</w:t>
            </w:r>
          </w:p>
        </w:tc>
        <w:tc>
          <w:tcPr>
            <w:tcW w:w="1644" w:type="dxa"/>
            <w:vAlign w:val="center"/>
          </w:tcPr>
          <w:p w14:paraId="473D3572" w14:textId="77777777" w:rsidR="00EB5557" w:rsidRPr="003B6110" w:rsidRDefault="00EB5557" w:rsidP="00B07483">
            <w:pPr>
              <w:widowControl w:val="0"/>
              <w:spacing w:before="60" w:after="60" w:line="288" w:lineRule="auto"/>
              <w:ind w:left="0"/>
              <w:jc w:val="right"/>
              <w:rPr>
                <w:sz w:val="20"/>
                <w:szCs w:val="16"/>
              </w:rPr>
            </w:pPr>
            <w:r w:rsidRPr="003B6110">
              <w:rPr>
                <w:sz w:val="20"/>
                <w:szCs w:val="16"/>
              </w:rPr>
              <w:t>Enero/2027</w:t>
            </w:r>
          </w:p>
        </w:tc>
        <w:tc>
          <w:tcPr>
            <w:tcW w:w="1645" w:type="dxa"/>
            <w:vAlign w:val="center"/>
          </w:tcPr>
          <w:p w14:paraId="12383414" w14:textId="2F81AD5C" w:rsidR="00EB5557" w:rsidRPr="003B6110" w:rsidRDefault="00042271" w:rsidP="00B07483">
            <w:pPr>
              <w:widowControl w:val="0"/>
              <w:spacing w:before="60" w:after="60" w:line="288" w:lineRule="auto"/>
              <w:ind w:left="0"/>
              <w:jc w:val="right"/>
              <w:rPr>
                <w:sz w:val="20"/>
                <w:szCs w:val="16"/>
              </w:rPr>
            </w:pPr>
            <w:r>
              <w:rPr>
                <w:sz w:val="20"/>
                <w:szCs w:val="16"/>
              </w:rPr>
              <w:t>Marzo</w:t>
            </w:r>
            <w:r w:rsidR="00EB5557">
              <w:rPr>
                <w:sz w:val="20"/>
                <w:szCs w:val="16"/>
              </w:rPr>
              <w:t>/2028</w:t>
            </w:r>
          </w:p>
        </w:tc>
      </w:tr>
    </w:tbl>
    <w:p w14:paraId="5D188555" w14:textId="77777777" w:rsidR="00EB5557" w:rsidRPr="00417A82" w:rsidRDefault="00EB5557" w:rsidP="00EB5557">
      <w:pPr>
        <w:spacing w:before="240"/>
      </w:pPr>
      <w:r w:rsidRPr="00417A82">
        <w:t>En ese sentido, los montos pendientes de ejecución continuarán su deducción del financiamiento público local que corresponda de forma mensual, en los términos señalados en los acuerdos citados sin perjuicio de las multas que se ejecutan en el presente acuerdo.</w:t>
      </w:r>
    </w:p>
    <w:p w14:paraId="10BFEF37" w14:textId="77777777" w:rsidR="00EB5557" w:rsidRDefault="00EB5557" w:rsidP="00EB5557">
      <w:pPr>
        <w:spacing w:before="240"/>
      </w:pPr>
      <w:r w:rsidRPr="00417A82">
        <w:t>En lo que se refiere a los partidos políticos: de la Revolución Democrática y Morena, a la presente fecha, no cuentan con sanciones pendientes de ejecución. Por lo que, la ejecución de las sanciones se hará conforme al orden de prelación y en el mes siguiente inmediato de la fecha de aprobación del presente acuerdo, de conformidad con el artículo sexto, apartado B, numeral 1, inciso a), fracción ii) de los Lineamientos.</w:t>
      </w:r>
    </w:p>
    <w:p w14:paraId="0090BCE5" w14:textId="4BC01203" w:rsidR="00C83D05" w:rsidRDefault="00C83D05" w:rsidP="00C83D05">
      <w:pPr>
        <w:pStyle w:val="Ttulo2"/>
      </w:pPr>
      <w:r>
        <w:lastRenderedPageBreak/>
        <w:t>Montos totales por ejecutar</w:t>
      </w:r>
    </w:p>
    <w:p w14:paraId="12D26FC4" w14:textId="2720599B" w:rsidR="00C83D05" w:rsidRDefault="00C83D05" w:rsidP="00B27245">
      <w:r>
        <w:t xml:space="preserve">Que, </w:t>
      </w:r>
      <w:r w:rsidR="00B27245">
        <w:t xml:space="preserve">con base en las consideraciones anteriores, </w:t>
      </w:r>
      <w:r>
        <w:t xml:space="preserve">el total de las sanciones impuestas por el Consejo General del INE a los partidos políticos: </w:t>
      </w:r>
      <w:r w:rsidRPr="006D5A77">
        <w:rPr>
          <w:b/>
          <w:bCs/>
        </w:rPr>
        <w:t>Revolucionario Institucional, de la Revolución Democrática, Verde Ecologista de México, y Morena</w:t>
      </w:r>
      <w:r w:rsidR="00B27245">
        <w:t>, es</w:t>
      </w:r>
      <w:r>
        <w:t xml:space="preserve"> </w:t>
      </w:r>
      <w:r w:rsidR="00B27245">
        <w:t>el siguiente</w:t>
      </w:r>
      <w:r>
        <w:t>:</w:t>
      </w:r>
    </w:p>
    <w:tbl>
      <w:tblPr>
        <w:tblStyle w:val="Tablaconcuadrcula"/>
        <w:tblW w:w="0" w:type="auto"/>
        <w:tblInd w:w="704" w:type="dxa"/>
        <w:tblLook w:val="04A0" w:firstRow="1" w:lastRow="0" w:firstColumn="1" w:lastColumn="0" w:noHBand="0" w:noVBand="1"/>
      </w:tblPr>
      <w:tblGrid>
        <w:gridCol w:w="3827"/>
        <w:gridCol w:w="1985"/>
        <w:gridCol w:w="2312"/>
      </w:tblGrid>
      <w:tr w:rsidR="0054708D" w14:paraId="3645986A" w14:textId="77777777" w:rsidTr="0054708D">
        <w:tc>
          <w:tcPr>
            <w:tcW w:w="3827" w:type="dxa"/>
            <w:shd w:val="clear" w:color="auto" w:fill="993366"/>
            <w:vAlign w:val="center"/>
          </w:tcPr>
          <w:p w14:paraId="627203C3" w14:textId="77777777" w:rsidR="0054708D" w:rsidRPr="000F410A" w:rsidRDefault="0054708D" w:rsidP="002502F1">
            <w:pPr>
              <w:pStyle w:val="Puntos"/>
              <w:spacing w:before="120" w:after="120"/>
              <w:ind w:left="0"/>
              <w:jc w:val="center"/>
              <w:rPr>
                <w:rFonts w:ascii="Arial" w:hAnsi="Arial" w:cs="Arial"/>
                <w:b/>
                <w:bCs/>
                <w:color w:val="FFFFFF" w:themeColor="background1"/>
                <w:sz w:val="20"/>
                <w:szCs w:val="20"/>
              </w:rPr>
            </w:pPr>
            <w:r w:rsidRPr="000F410A">
              <w:rPr>
                <w:rFonts w:ascii="Arial" w:hAnsi="Arial" w:cs="Arial"/>
                <w:b/>
                <w:bCs/>
                <w:color w:val="FFFFFF" w:themeColor="background1"/>
                <w:sz w:val="20"/>
                <w:szCs w:val="20"/>
              </w:rPr>
              <w:t>Partido Político</w:t>
            </w:r>
          </w:p>
        </w:tc>
        <w:tc>
          <w:tcPr>
            <w:tcW w:w="1985" w:type="dxa"/>
            <w:shd w:val="clear" w:color="auto" w:fill="993366"/>
            <w:vAlign w:val="center"/>
          </w:tcPr>
          <w:p w14:paraId="4B072B1A" w14:textId="77777777" w:rsidR="0054708D" w:rsidRPr="000F410A" w:rsidRDefault="0054708D" w:rsidP="002502F1">
            <w:pPr>
              <w:pStyle w:val="Puntos"/>
              <w:spacing w:before="120" w:after="120"/>
              <w:ind w:left="0"/>
              <w:jc w:val="center"/>
              <w:rPr>
                <w:rFonts w:ascii="Arial" w:hAnsi="Arial" w:cs="Arial"/>
                <w:b/>
                <w:bCs/>
                <w:color w:val="FFFFFF" w:themeColor="background1"/>
                <w:sz w:val="20"/>
                <w:szCs w:val="20"/>
              </w:rPr>
            </w:pPr>
            <w:r w:rsidRPr="000F410A">
              <w:rPr>
                <w:rFonts w:ascii="Arial" w:hAnsi="Arial" w:cs="Arial"/>
                <w:b/>
                <w:bCs/>
                <w:color w:val="FFFFFF" w:themeColor="background1"/>
                <w:sz w:val="20"/>
                <w:szCs w:val="20"/>
              </w:rPr>
              <w:t>Resolución</w:t>
            </w:r>
          </w:p>
        </w:tc>
        <w:tc>
          <w:tcPr>
            <w:tcW w:w="2312" w:type="dxa"/>
            <w:shd w:val="clear" w:color="auto" w:fill="993366"/>
            <w:vAlign w:val="center"/>
          </w:tcPr>
          <w:p w14:paraId="6D0D676C" w14:textId="55029C96" w:rsidR="0054708D" w:rsidRPr="000F410A" w:rsidRDefault="00AB333A" w:rsidP="002502F1">
            <w:pPr>
              <w:pStyle w:val="Puntos"/>
              <w:spacing w:before="120" w:after="120"/>
              <w:ind w:left="0"/>
              <w:jc w:val="center"/>
              <w:rPr>
                <w:rFonts w:ascii="Arial" w:hAnsi="Arial" w:cs="Arial"/>
                <w:b/>
                <w:bCs/>
                <w:color w:val="FFFFFF" w:themeColor="background1"/>
                <w:sz w:val="20"/>
                <w:szCs w:val="20"/>
              </w:rPr>
            </w:pPr>
            <w:r>
              <w:rPr>
                <w:rFonts w:ascii="Arial" w:hAnsi="Arial" w:cs="Arial"/>
                <w:b/>
                <w:bCs/>
                <w:color w:val="FFFFFF" w:themeColor="background1"/>
                <w:sz w:val="20"/>
                <w:szCs w:val="20"/>
              </w:rPr>
              <w:t>S</w:t>
            </w:r>
            <w:r w:rsidR="007B70BE">
              <w:rPr>
                <w:rFonts w:ascii="Arial" w:hAnsi="Arial" w:cs="Arial"/>
                <w:b/>
                <w:bCs/>
                <w:color w:val="FFFFFF" w:themeColor="background1"/>
                <w:sz w:val="20"/>
                <w:szCs w:val="20"/>
              </w:rPr>
              <w:t>anción</w:t>
            </w:r>
            <w:r>
              <w:rPr>
                <w:rFonts w:ascii="Arial" w:hAnsi="Arial" w:cs="Arial"/>
                <w:b/>
                <w:bCs/>
                <w:color w:val="FFFFFF" w:themeColor="background1"/>
                <w:sz w:val="20"/>
                <w:szCs w:val="20"/>
              </w:rPr>
              <w:t xml:space="preserve"> total</w:t>
            </w:r>
          </w:p>
        </w:tc>
      </w:tr>
      <w:tr w:rsidR="0054708D" w14:paraId="4353BD2C" w14:textId="77777777" w:rsidTr="0054708D">
        <w:tc>
          <w:tcPr>
            <w:tcW w:w="3827" w:type="dxa"/>
            <w:vAlign w:val="center"/>
          </w:tcPr>
          <w:p w14:paraId="26F4EFDA" w14:textId="77777777" w:rsidR="0054708D" w:rsidRPr="00E161D9" w:rsidRDefault="0054708D" w:rsidP="002502F1">
            <w:pPr>
              <w:pStyle w:val="Puntos"/>
              <w:spacing w:before="120" w:after="120"/>
              <w:ind w:left="0"/>
              <w:rPr>
                <w:rFonts w:ascii="Arial" w:hAnsi="Arial" w:cs="Arial"/>
                <w:b/>
                <w:bCs/>
                <w:sz w:val="20"/>
                <w:szCs w:val="20"/>
              </w:rPr>
            </w:pPr>
            <w:r w:rsidRPr="00E161D9">
              <w:rPr>
                <w:rFonts w:ascii="Arial" w:hAnsi="Arial" w:cs="Arial"/>
                <w:b/>
                <w:bCs/>
                <w:sz w:val="20"/>
                <w:szCs w:val="20"/>
              </w:rPr>
              <w:t>Partido Revolucionario Institucional</w:t>
            </w:r>
          </w:p>
        </w:tc>
        <w:tc>
          <w:tcPr>
            <w:tcW w:w="1985" w:type="dxa"/>
            <w:vAlign w:val="center"/>
          </w:tcPr>
          <w:p w14:paraId="1DA253C4" w14:textId="77777777" w:rsidR="0054708D" w:rsidRPr="00E161D9" w:rsidRDefault="0054708D" w:rsidP="002502F1">
            <w:pPr>
              <w:pStyle w:val="Puntos"/>
              <w:spacing w:before="120" w:after="120"/>
              <w:ind w:left="0"/>
              <w:jc w:val="center"/>
              <w:rPr>
                <w:rFonts w:ascii="Arial" w:hAnsi="Arial" w:cs="Arial"/>
                <w:b/>
                <w:bCs/>
                <w:sz w:val="20"/>
                <w:szCs w:val="20"/>
              </w:rPr>
            </w:pPr>
            <w:r w:rsidRPr="00E161D9">
              <w:rPr>
                <w:rFonts w:ascii="Arial" w:hAnsi="Arial" w:cs="Arial"/>
                <w:b/>
                <w:bCs/>
                <w:sz w:val="20"/>
                <w:szCs w:val="20"/>
              </w:rPr>
              <w:t>INE/CG108/2022</w:t>
            </w:r>
          </w:p>
        </w:tc>
        <w:tc>
          <w:tcPr>
            <w:tcW w:w="2312" w:type="dxa"/>
            <w:vAlign w:val="center"/>
          </w:tcPr>
          <w:p w14:paraId="77744A4F" w14:textId="77777777" w:rsidR="0054708D" w:rsidRPr="00E161D9" w:rsidRDefault="0054708D" w:rsidP="002502F1">
            <w:pPr>
              <w:pStyle w:val="Puntos"/>
              <w:spacing w:before="120" w:after="120"/>
              <w:ind w:left="0"/>
              <w:jc w:val="right"/>
              <w:rPr>
                <w:rFonts w:ascii="Arial" w:hAnsi="Arial" w:cs="Arial"/>
                <w:b/>
                <w:bCs/>
                <w:sz w:val="20"/>
                <w:szCs w:val="20"/>
              </w:rPr>
            </w:pPr>
            <w:r w:rsidRPr="00E161D9">
              <w:rPr>
                <w:rFonts w:ascii="Arial" w:hAnsi="Arial" w:cs="Arial"/>
                <w:b/>
                <w:bCs/>
                <w:sz w:val="20"/>
                <w:szCs w:val="20"/>
              </w:rPr>
              <w:t>$1’081,683.08</w:t>
            </w:r>
          </w:p>
        </w:tc>
      </w:tr>
      <w:tr w:rsidR="0054708D" w14:paraId="7948E80F" w14:textId="77777777" w:rsidTr="0054708D">
        <w:tc>
          <w:tcPr>
            <w:tcW w:w="3827" w:type="dxa"/>
            <w:vAlign w:val="center"/>
          </w:tcPr>
          <w:p w14:paraId="7E8D2037" w14:textId="77777777" w:rsidR="0054708D" w:rsidRPr="00E161D9" w:rsidRDefault="0054708D" w:rsidP="002502F1">
            <w:pPr>
              <w:pStyle w:val="Puntos"/>
              <w:spacing w:before="120" w:after="120"/>
              <w:ind w:left="0"/>
              <w:rPr>
                <w:rFonts w:ascii="Arial" w:hAnsi="Arial" w:cs="Arial"/>
                <w:b/>
                <w:bCs/>
                <w:sz w:val="20"/>
                <w:szCs w:val="20"/>
              </w:rPr>
            </w:pPr>
            <w:r w:rsidRPr="00E161D9">
              <w:rPr>
                <w:rFonts w:ascii="Arial" w:hAnsi="Arial" w:cs="Arial"/>
                <w:b/>
                <w:bCs/>
                <w:sz w:val="20"/>
                <w:szCs w:val="20"/>
              </w:rPr>
              <w:t>Partido de la Revolución Democrática</w:t>
            </w:r>
          </w:p>
        </w:tc>
        <w:tc>
          <w:tcPr>
            <w:tcW w:w="1985" w:type="dxa"/>
            <w:vAlign w:val="center"/>
          </w:tcPr>
          <w:p w14:paraId="0719D904" w14:textId="77777777" w:rsidR="0054708D" w:rsidRPr="00E161D9" w:rsidRDefault="0054708D" w:rsidP="002502F1">
            <w:pPr>
              <w:pStyle w:val="Puntos"/>
              <w:spacing w:before="120" w:after="120"/>
              <w:ind w:left="0"/>
              <w:jc w:val="center"/>
              <w:rPr>
                <w:rFonts w:ascii="Arial" w:hAnsi="Arial" w:cs="Arial"/>
                <w:b/>
                <w:bCs/>
                <w:sz w:val="20"/>
                <w:szCs w:val="20"/>
              </w:rPr>
            </w:pPr>
            <w:r w:rsidRPr="00E161D9">
              <w:rPr>
                <w:rFonts w:ascii="Arial" w:hAnsi="Arial" w:cs="Arial"/>
                <w:b/>
                <w:bCs/>
                <w:sz w:val="20"/>
                <w:szCs w:val="20"/>
              </w:rPr>
              <w:t>INE/CG109/2022</w:t>
            </w:r>
          </w:p>
        </w:tc>
        <w:tc>
          <w:tcPr>
            <w:tcW w:w="2312" w:type="dxa"/>
            <w:vAlign w:val="center"/>
          </w:tcPr>
          <w:p w14:paraId="05A72BD3" w14:textId="77777777" w:rsidR="0054708D" w:rsidRPr="00E161D9" w:rsidRDefault="0054708D" w:rsidP="002502F1">
            <w:pPr>
              <w:pStyle w:val="Puntos"/>
              <w:spacing w:before="120" w:after="120"/>
              <w:ind w:left="0"/>
              <w:jc w:val="right"/>
              <w:rPr>
                <w:rFonts w:ascii="Arial" w:hAnsi="Arial" w:cs="Arial"/>
                <w:b/>
                <w:bCs/>
                <w:sz w:val="20"/>
                <w:szCs w:val="20"/>
              </w:rPr>
            </w:pPr>
            <w:r w:rsidRPr="00E161D9">
              <w:rPr>
                <w:rFonts w:ascii="Arial" w:hAnsi="Arial" w:cs="Arial"/>
                <w:b/>
                <w:bCs/>
                <w:sz w:val="20"/>
                <w:szCs w:val="20"/>
              </w:rPr>
              <w:t>$151,168.80</w:t>
            </w:r>
          </w:p>
        </w:tc>
      </w:tr>
      <w:tr w:rsidR="0054708D" w14:paraId="16C8EFC1" w14:textId="77777777" w:rsidTr="0054708D">
        <w:tc>
          <w:tcPr>
            <w:tcW w:w="3827" w:type="dxa"/>
            <w:vAlign w:val="center"/>
          </w:tcPr>
          <w:p w14:paraId="7CFB804E" w14:textId="77777777" w:rsidR="0054708D" w:rsidRPr="00E161D9" w:rsidRDefault="0054708D" w:rsidP="002502F1">
            <w:pPr>
              <w:pStyle w:val="Puntos"/>
              <w:spacing w:before="120" w:after="120"/>
              <w:ind w:left="0"/>
              <w:rPr>
                <w:rFonts w:ascii="Arial" w:hAnsi="Arial" w:cs="Arial"/>
                <w:b/>
                <w:bCs/>
                <w:sz w:val="20"/>
                <w:szCs w:val="20"/>
              </w:rPr>
            </w:pPr>
            <w:r w:rsidRPr="00E161D9">
              <w:rPr>
                <w:rFonts w:ascii="Arial" w:hAnsi="Arial" w:cs="Arial"/>
                <w:b/>
                <w:bCs/>
                <w:sz w:val="20"/>
                <w:szCs w:val="20"/>
              </w:rPr>
              <w:t>Partido Verde Ecologista de México</w:t>
            </w:r>
          </w:p>
        </w:tc>
        <w:tc>
          <w:tcPr>
            <w:tcW w:w="1985" w:type="dxa"/>
            <w:vAlign w:val="center"/>
          </w:tcPr>
          <w:p w14:paraId="57763016" w14:textId="77777777" w:rsidR="0054708D" w:rsidRPr="00E161D9" w:rsidRDefault="0054708D" w:rsidP="002502F1">
            <w:pPr>
              <w:pStyle w:val="Puntos"/>
              <w:spacing w:before="120" w:after="120"/>
              <w:ind w:left="0"/>
              <w:jc w:val="center"/>
              <w:rPr>
                <w:rFonts w:ascii="Arial" w:hAnsi="Arial" w:cs="Arial"/>
                <w:b/>
                <w:bCs/>
                <w:sz w:val="20"/>
                <w:szCs w:val="20"/>
              </w:rPr>
            </w:pPr>
            <w:r w:rsidRPr="00E161D9">
              <w:rPr>
                <w:rFonts w:ascii="Arial" w:hAnsi="Arial" w:cs="Arial"/>
                <w:b/>
                <w:bCs/>
                <w:sz w:val="20"/>
                <w:szCs w:val="20"/>
              </w:rPr>
              <w:t>INE/CG111/2022</w:t>
            </w:r>
          </w:p>
        </w:tc>
        <w:tc>
          <w:tcPr>
            <w:tcW w:w="2312" w:type="dxa"/>
            <w:vAlign w:val="center"/>
          </w:tcPr>
          <w:p w14:paraId="6C1FB0A7" w14:textId="77777777" w:rsidR="0054708D" w:rsidRPr="00E161D9" w:rsidRDefault="0054708D" w:rsidP="002502F1">
            <w:pPr>
              <w:pStyle w:val="Puntos"/>
              <w:spacing w:before="120" w:after="120"/>
              <w:ind w:left="0"/>
              <w:jc w:val="right"/>
              <w:rPr>
                <w:rFonts w:ascii="Arial" w:hAnsi="Arial" w:cs="Arial"/>
                <w:b/>
                <w:bCs/>
                <w:sz w:val="20"/>
                <w:szCs w:val="20"/>
              </w:rPr>
            </w:pPr>
            <w:r w:rsidRPr="00E161D9">
              <w:rPr>
                <w:rFonts w:ascii="Arial" w:hAnsi="Arial" w:cs="Arial"/>
                <w:b/>
                <w:bCs/>
                <w:sz w:val="20"/>
                <w:szCs w:val="20"/>
              </w:rPr>
              <w:t>$3,475.20</w:t>
            </w:r>
          </w:p>
        </w:tc>
      </w:tr>
      <w:tr w:rsidR="0054708D" w14:paraId="5369A7B3" w14:textId="77777777" w:rsidTr="0054708D">
        <w:tc>
          <w:tcPr>
            <w:tcW w:w="3827" w:type="dxa"/>
            <w:vAlign w:val="center"/>
          </w:tcPr>
          <w:p w14:paraId="35A286F8" w14:textId="77777777" w:rsidR="0054708D" w:rsidRPr="00E161D9" w:rsidRDefault="0054708D" w:rsidP="002502F1">
            <w:pPr>
              <w:pStyle w:val="Puntos"/>
              <w:spacing w:before="120" w:after="120"/>
              <w:ind w:left="0"/>
              <w:rPr>
                <w:rFonts w:ascii="Arial" w:hAnsi="Arial" w:cs="Arial"/>
                <w:b/>
                <w:bCs/>
                <w:sz w:val="20"/>
                <w:szCs w:val="20"/>
              </w:rPr>
            </w:pPr>
            <w:r w:rsidRPr="00E161D9">
              <w:rPr>
                <w:rFonts w:ascii="Arial" w:hAnsi="Arial" w:cs="Arial"/>
                <w:b/>
                <w:bCs/>
                <w:sz w:val="20"/>
                <w:szCs w:val="20"/>
              </w:rPr>
              <w:t>Partido Morena</w:t>
            </w:r>
          </w:p>
        </w:tc>
        <w:tc>
          <w:tcPr>
            <w:tcW w:w="1985" w:type="dxa"/>
            <w:vAlign w:val="center"/>
          </w:tcPr>
          <w:p w14:paraId="3720B95A" w14:textId="77777777" w:rsidR="0054708D" w:rsidRPr="00E161D9" w:rsidRDefault="0054708D" w:rsidP="002502F1">
            <w:pPr>
              <w:pStyle w:val="Puntos"/>
              <w:spacing w:before="120" w:after="120"/>
              <w:ind w:left="0"/>
              <w:jc w:val="center"/>
              <w:rPr>
                <w:rFonts w:ascii="Arial" w:hAnsi="Arial" w:cs="Arial"/>
                <w:b/>
                <w:bCs/>
                <w:sz w:val="20"/>
                <w:szCs w:val="20"/>
              </w:rPr>
            </w:pPr>
            <w:r w:rsidRPr="00E161D9">
              <w:rPr>
                <w:rFonts w:ascii="Arial" w:hAnsi="Arial" w:cs="Arial"/>
                <w:b/>
                <w:bCs/>
                <w:sz w:val="20"/>
                <w:szCs w:val="20"/>
              </w:rPr>
              <w:t>INE/CG113/2022</w:t>
            </w:r>
          </w:p>
        </w:tc>
        <w:tc>
          <w:tcPr>
            <w:tcW w:w="2312" w:type="dxa"/>
            <w:vAlign w:val="center"/>
          </w:tcPr>
          <w:p w14:paraId="7D7382B0" w14:textId="77777777" w:rsidR="0054708D" w:rsidRPr="00E161D9" w:rsidRDefault="0054708D" w:rsidP="002502F1">
            <w:pPr>
              <w:pStyle w:val="Puntos"/>
              <w:spacing w:before="120" w:after="120"/>
              <w:ind w:left="0"/>
              <w:jc w:val="right"/>
              <w:rPr>
                <w:rFonts w:ascii="Arial" w:hAnsi="Arial" w:cs="Arial"/>
                <w:b/>
                <w:bCs/>
                <w:sz w:val="20"/>
                <w:szCs w:val="20"/>
              </w:rPr>
            </w:pPr>
            <w:r w:rsidRPr="00E161D9">
              <w:rPr>
                <w:rFonts w:ascii="Arial" w:hAnsi="Arial" w:cs="Arial"/>
                <w:b/>
                <w:bCs/>
                <w:sz w:val="20"/>
                <w:szCs w:val="20"/>
              </w:rPr>
              <w:t>$31,842.12</w:t>
            </w:r>
          </w:p>
        </w:tc>
      </w:tr>
    </w:tbl>
    <w:p w14:paraId="1A66525A" w14:textId="77777777" w:rsidR="0054708D" w:rsidRDefault="0054708D" w:rsidP="00B27245"/>
    <w:p w14:paraId="3A413B40" w14:textId="6B2F2F21" w:rsidR="00C83D05" w:rsidRDefault="00C83D05" w:rsidP="00C83D05">
      <w:r>
        <w:t>En razón de las cantidades mencionadas y de acuerdo con el procedimiento determinado por el INE, resulta procedente la ejecución de las sanciones establecidas en la</w:t>
      </w:r>
      <w:r w:rsidR="00D13D33">
        <w:t>s</w:t>
      </w:r>
      <w:r>
        <w:t xml:space="preserve"> </w:t>
      </w:r>
      <w:r w:rsidR="00D13D33">
        <w:t>resoluciones mencionadas</w:t>
      </w:r>
      <w:r>
        <w:t>; por lo que, en el caso de las multas, su retención será el equivalente al 25</w:t>
      </w:r>
      <w:r w:rsidR="002C6766">
        <w:t xml:space="preserve"> por ciento</w:t>
      </w:r>
      <w:r>
        <w:t xml:space="preserve"> de la ministración mensual que cada partido político sancionado perciba por concepto de financiamiento público local para el sostenimiento de actividades ordinarias permanentes, hasta alcanzar cada uno de los montos mencionados en el presente acuerdo y extendiéndose por el número de meses necesarios para cubrir la totalidad de las sanciones impuestas</w:t>
      </w:r>
      <w:r w:rsidR="008130BB">
        <w:t>.</w:t>
      </w:r>
    </w:p>
    <w:p w14:paraId="181718A4" w14:textId="6045DD2E" w:rsidR="00E72B3D" w:rsidRDefault="00E72B3D" w:rsidP="00C83D05">
      <w:r>
        <w:t xml:space="preserve">Cabe señalar que, el porcentaje mencionado es acorde al contenido del </w:t>
      </w:r>
      <w:r w:rsidRPr="00E72B3D">
        <w:t xml:space="preserve">artículo 23, inciso d), párrafo último de la Ley de Partidos, que </w:t>
      </w:r>
      <w:r w:rsidR="008C1252">
        <w:t xml:space="preserve">establece </w:t>
      </w:r>
      <w:r w:rsidRPr="00E72B3D">
        <w:t xml:space="preserve">que la autoridad electoral no debe reducir o retener más del </w:t>
      </w:r>
      <w:r w:rsidR="008C1252">
        <w:t xml:space="preserve">25 </w:t>
      </w:r>
      <w:r w:rsidRPr="00E72B3D">
        <w:t>por ciento de la ministración mensual del financiamiento público ordinario que corresponda a los partidos políticos por concepto de sanciones, multas, descuento</w:t>
      </w:r>
      <w:r w:rsidR="00AC632A">
        <w:t>s, remanentes u otros conceptos.</w:t>
      </w:r>
    </w:p>
    <w:p w14:paraId="5616A5F6" w14:textId="057CA918" w:rsidR="00441ED3" w:rsidRDefault="00E6499C" w:rsidP="00C17A56">
      <w:r>
        <w:t xml:space="preserve">A partir de lo anterior y considerando que el Consejo Estatal mediante </w:t>
      </w:r>
      <w:r w:rsidR="00441ED3">
        <w:t xml:space="preserve">acuerdo CE/2022/027 estableció </w:t>
      </w:r>
      <w:r w:rsidR="00441ED3" w:rsidRPr="00441ED3">
        <w:t>el financiamiento público local para el sostenimiento de actividades ordinarias permanentes</w:t>
      </w:r>
      <w:r w:rsidR="00441ED3">
        <w:t>, así como el importe de la ministración mensual que corresponde a cada partido</w:t>
      </w:r>
      <w:r w:rsidR="00441ED3" w:rsidRPr="00441ED3">
        <w:t xml:space="preserve"> po</w:t>
      </w:r>
      <w:r w:rsidR="00441ED3">
        <w:t xml:space="preserve">lítico con derecho a ello, lo conducente es determinar el límite mensual </w:t>
      </w:r>
      <w:r w:rsidR="00021D56">
        <w:t xml:space="preserve">aplicando </w:t>
      </w:r>
      <w:r w:rsidR="00441ED3">
        <w:t xml:space="preserve">al porcentaje </w:t>
      </w:r>
      <w:r w:rsidR="00940CDE">
        <w:t>señalado, de acuerdo con lo siguiente:</w:t>
      </w:r>
      <w:r w:rsidR="00441ED3">
        <w:t xml:space="preserve"> </w:t>
      </w:r>
    </w:p>
    <w:tbl>
      <w:tblPr>
        <w:tblStyle w:val="Tablaconcuadrcula"/>
        <w:tblW w:w="0" w:type="auto"/>
        <w:jc w:val="right"/>
        <w:tblLayout w:type="fixed"/>
        <w:tblLook w:val="04A0" w:firstRow="1" w:lastRow="0" w:firstColumn="1" w:lastColumn="0" w:noHBand="0" w:noVBand="1"/>
      </w:tblPr>
      <w:tblGrid>
        <w:gridCol w:w="3555"/>
        <w:gridCol w:w="2263"/>
        <w:gridCol w:w="2262"/>
      </w:tblGrid>
      <w:tr w:rsidR="00441ED3" w:rsidRPr="00A834D1" w14:paraId="441228BA" w14:textId="77777777" w:rsidTr="0078424B">
        <w:trPr>
          <w:jc w:val="right"/>
        </w:trPr>
        <w:tc>
          <w:tcPr>
            <w:tcW w:w="3555" w:type="dxa"/>
            <w:shd w:val="clear" w:color="auto" w:fill="993366"/>
            <w:vAlign w:val="center"/>
          </w:tcPr>
          <w:p w14:paraId="40B5F238" w14:textId="77777777" w:rsidR="00441ED3" w:rsidRPr="00381F38" w:rsidRDefault="00441ED3" w:rsidP="00381F38">
            <w:pPr>
              <w:spacing w:before="60" w:after="60" w:line="240" w:lineRule="auto"/>
              <w:ind w:left="0"/>
              <w:jc w:val="center"/>
              <w:rPr>
                <w:b/>
                <w:color w:val="FFFFFF" w:themeColor="background1"/>
                <w:sz w:val="16"/>
                <w:szCs w:val="18"/>
              </w:rPr>
            </w:pPr>
            <w:r w:rsidRPr="00381F38">
              <w:rPr>
                <w:b/>
                <w:color w:val="FFFFFF" w:themeColor="background1"/>
                <w:sz w:val="16"/>
                <w:szCs w:val="18"/>
              </w:rPr>
              <w:lastRenderedPageBreak/>
              <w:t>Partido Político</w:t>
            </w:r>
          </w:p>
        </w:tc>
        <w:tc>
          <w:tcPr>
            <w:tcW w:w="2263" w:type="dxa"/>
            <w:shd w:val="clear" w:color="auto" w:fill="993366"/>
            <w:vAlign w:val="center"/>
          </w:tcPr>
          <w:p w14:paraId="1F1A215E" w14:textId="0E58F91C" w:rsidR="00441ED3" w:rsidRPr="00381F38" w:rsidRDefault="00441ED3" w:rsidP="007E68F9">
            <w:pPr>
              <w:spacing w:before="60" w:after="60" w:line="240" w:lineRule="auto"/>
              <w:ind w:left="0"/>
              <w:jc w:val="center"/>
              <w:rPr>
                <w:b/>
                <w:color w:val="FFFFFF" w:themeColor="background1"/>
                <w:sz w:val="16"/>
                <w:szCs w:val="18"/>
              </w:rPr>
            </w:pPr>
            <w:r w:rsidRPr="00381F38">
              <w:rPr>
                <w:b/>
                <w:color w:val="FFFFFF" w:themeColor="background1"/>
                <w:sz w:val="16"/>
                <w:szCs w:val="18"/>
              </w:rPr>
              <w:t>Ministración mensual</w:t>
            </w:r>
            <w:r w:rsidR="007E68F9">
              <w:rPr>
                <w:b/>
                <w:color w:val="FFFFFF" w:themeColor="background1"/>
                <w:sz w:val="16"/>
                <w:szCs w:val="18"/>
              </w:rPr>
              <w:t xml:space="preserve"> </w:t>
            </w:r>
            <w:r w:rsidR="00A86CD0">
              <w:rPr>
                <w:b/>
                <w:color w:val="FFFFFF" w:themeColor="background1"/>
                <w:sz w:val="16"/>
                <w:szCs w:val="18"/>
              </w:rPr>
              <w:t xml:space="preserve">para el ejercicio 2023 </w:t>
            </w:r>
            <w:r w:rsidR="007E68F9">
              <w:rPr>
                <w:b/>
                <w:color w:val="FFFFFF" w:themeColor="background1"/>
                <w:sz w:val="16"/>
                <w:szCs w:val="18"/>
              </w:rPr>
              <w:t>(Actividades ordinarias)</w:t>
            </w:r>
          </w:p>
        </w:tc>
        <w:tc>
          <w:tcPr>
            <w:tcW w:w="2262" w:type="dxa"/>
            <w:shd w:val="clear" w:color="auto" w:fill="993366"/>
            <w:vAlign w:val="center"/>
          </w:tcPr>
          <w:p w14:paraId="487ED084" w14:textId="77777777" w:rsidR="00441ED3" w:rsidRPr="00381F38" w:rsidRDefault="00441ED3" w:rsidP="00381F38">
            <w:pPr>
              <w:spacing w:before="60" w:after="60" w:line="240" w:lineRule="auto"/>
              <w:ind w:left="0"/>
              <w:jc w:val="center"/>
              <w:rPr>
                <w:b/>
                <w:color w:val="FFFFFF" w:themeColor="background1"/>
                <w:sz w:val="16"/>
                <w:szCs w:val="18"/>
              </w:rPr>
            </w:pPr>
            <w:r w:rsidRPr="00381F38">
              <w:rPr>
                <w:b/>
                <w:color w:val="FFFFFF" w:themeColor="background1"/>
                <w:sz w:val="16"/>
                <w:szCs w:val="18"/>
              </w:rPr>
              <w:t>Reducción del 25%</w:t>
            </w:r>
          </w:p>
        </w:tc>
      </w:tr>
      <w:tr w:rsidR="00441ED3" w:rsidRPr="000059AB" w14:paraId="0A11D6C9" w14:textId="77777777" w:rsidTr="0078424B">
        <w:trPr>
          <w:jc w:val="right"/>
        </w:trPr>
        <w:tc>
          <w:tcPr>
            <w:tcW w:w="3555" w:type="dxa"/>
            <w:vAlign w:val="center"/>
          </w:tcPr>
          <w:p w14:paraId="07B13A12" w14:textId="77777777" w:rsidR="00441ED3" w:rsidRPr="000059AB" w:rsidRDefault="00441ED3" w:rsidP="001F708C">
            <w:pPr>
              <w:spacing w:before="60" w:after="60" w:line="288" w:lineRule="auto"/>
              <w:ind w:left="170"/>
              <w:rPr>
                <w:b/>
                <w:bCs/>
                <w:sz w:val="20"/>
                <w:szCs w:val="20"/>
              </w:rPr>
            </w:pPr>
            <w:r w:rsidRPr="000059AB">
              <w:rPr>
                <w:b/>
                <w:bCs/>
                <w:sz w:val="20"/>
                <w:szCs w:val="20"/>
              </w:rPr>
              <w:t>Revolucionario Institucional</w:t>
            </w:r>
          </w:p>
        </w:tc>
        <w:tc>
          <w:tcPr>
            <w:tcW w:w="2263" w:type="dxa"/>
          </w:tcPr>
          <w:p w14:paraId="350D777E" w14:textId="0BF07A5F" w:rsidR="00441ED3" w:rsidRPr="000059AB" w:rsidRDefault="00113246" w:rsidP="001F708C">
            <w:pPr>
              <w:spacing w:before="60" w:after="60" w:line="288" w:lineRule="auto"/>
              <w:ind w:left="163" w:right="113"/>
              <w:jc w:val="right"/>
              <w:rPr>
                <w:b/>
                <w:bCs/>
                <w:sz w:val="20"/>
                <w:szCs w:val="20"/>
              </w:rPr>
            </w:pPr>
            <w:r w:rsidRPr="000059AB">
              <w:rPr>
                <w:b/>
                <w:bCs/>
                <w:sz w:val="20"/>
                <w:szCs w:val="20"/>
              </w:rPr>
              <w:t>$583,012.29</w:t>
            </w:r>
          </w:p>
        </w:tc>
        <w:tc>
          <w:tcPr>
            <w:tcW w:w="2262" w:type="dxa"/>
            <w:vAlign w:val="center"/>
          </w:tcPr>
          <w:p w14:paraId="60ADE407" w14:textId="26D43CDC" w:rsidR="00441ED3" w:rsidRPr="000059AB" w:rsidRDefault="00113246" w:rsidP="001F708C">
            <w:pPr>
              <w:spacing w:before="60" w:after="60" w:line="288" w:lineRule="auto"/>
              <w:ind w:left="178" w:right="113"/>
              <w:jc w:val="center"/>
              <w:rPr>
                <w:b/>
                <w:bCs/>
                <w:sz w:val="20"/>
                <w:szCs w:val="20"/>
              </w:rPr>
            </w:pPr>
            <w:bookmarkStart w:id="1" w:name="OLE_LINK9"/>
            <w:r w:rsidRPr="000059AB">
              <w:rPr>
                <w:b/>
                <w:bCs/>
                <w:sz w:val="20"/>
                <w:szCs w:val="20"/>
              </w:rPr>
              <w:t>$145,753.07</w:t>
            </w:r>
            <w:bookmarkEnd w:id="1"/>
          </w:p>
        </w:tc>
      </w:tr>
      <w:tr w:rsidR="00441ED3" w:rsidRPr="000059AB" w14:paraId="7829BF8D" w14:textId="77777777" w:rsidTr="0078424B">
        <w:trPr>
          <w:jc w:val="right"/>
        </w:trPr>
        <w:tc>
          <w:tcPr>
            <w:tcW w:w="3555" w:type="dxa"/>
            <w:vAlign w:val="center"/>
          </w:tcPr>
          <w:p w14:paraId="69698242" w14:textId="77777777" w:rsidR="00441ED3" w:rsidRPr="000059AB" w:rsidRDefault="00441ED3" w:rsidP="001F708C">
            <w:pPr>
              <w:spacing w:before="60" w:after="60" w:line="288" w:lineRule="auto"/>
              <w:ind w:left="170"/>
              <w:rPr>
                <w:b/>
                <w:bCs/>
                <w:sz w:val="20"/>
                <w:szCs w:val="20"/>
              </w:rPr>
            </w:pPr>
            <w:r w:rsidRPr="000059AB">
              <w:rPr>
                <w:b/>
                <w:bCs/>
                <w:sz w:val="20"/>
                <w:szCs w:val="20"/>
              </w:rPr>
              <w:t>De la Revolución Democrática</w:t>
            </w:r>
          </w:p>
        </w:tc>
        <w:tc>
          <w:tcPr>
            <w:tcW w:w="2263" w:type="dxa"/>
          </w:tcPr>
          <w:p w14:paraId="0FB70262" w14:textId="6B214B3B" w:rsidR="00441ED3" w:rsidRPr="000059AB" w:rsidRDefault="00113246" w:rsidP="001F708C">
            <w:pPr>
              <w:spacing w:before="60" w:after="60" w:line="288" w:lineRule="auto"/>
              <w:ind w:left="163" w:right="113"/>
              <w:jc w:val="right"/>
              <w:rPr>
                <w:b/>
                <w:bCs/>
                <w:sz w:val="20"/>
                <w:szCs w:val="20"/>
              </w:rPr>
            </w:pPr>
            <w:r w:rsidRPr="000059AB">
              <w:rPr>
                <w:b/>
                <w:bCs/>
                <w:sz w:val="20"/>
                <w:szCs w:val="20"/>
              </w:rPr>
              <w:t>$795,304.21</w:t>
            </w:r>
          </w:p>
        </w:tc>
        <w:tc>
          <w:tcPr>
            <w:tcW w:w="2262" w:type="dxa"/>
            <w:vAlign w:val="center"/>
          </w:tcPr>
          <w:p w14:paraId="7AE32C5C" w14:textId="6547539F" w:rsidR="00441ED3" w:rsidRPr="000059AB" w:rsidRDefault="00113246" w:rsidP="001F708C">
            <w:pPr>
              <w:spacing w:before="60" w:after="60" w:line="288" w:lineRule="auto"/>
              <w:ind w:left="178" w:right="113"/>
              <w:jc w:val="center"/>
              <w:rPr>
                <w:b/>
                <w:bCs/>
                <w:sz w:val="20"/>
                <w:szCs w:val="20"/>
              </w:rPr>
            </w:pPr>
            <w:r w:rsidRPr="000059AB">
              <w:rPr>
                <w:b/>
                <w:bCs/>
                <w:sz w:val="20"/>
                <w:szCs w:val="20"/>
              </w:rPr>
              <w:t>$198,826.05</w:t>
            </w:r>
          </w:p>
        </w:tc>
      </w:tr>
      <w:tr w:rsidR="00441ED3" w:rsidRPr="000059AB" w14:paraId="68EFCB99" w14:textId="77777777" w:rsidTr="0078424B">
        <w:trPr>
          <w:jc w:val="right"/>
        </w:trPr>
        <w:tc>
          <w:tcPr>
            <w:tcW w:w="3555" w:type="dxa"/>
            <w:vAlign w:val="center"/>
          </w:tcPr>
          <w:p w14:paraId="74A6876B" w14:textId="77777777" w:rsidR="00441ED3" w:rsidRPr="000059AB" w:rsidRDefault="00441ED3" w:rsidP="001F708C">
            <w:pPr>
              <w:spacing w:before="60" w:after="60" w:line="288" w:lineRule="auto"/>
              <w:ind w:left="170"/>
              <w:rPr>
                <w:b/>
                <w:bCs/>
                <w:sz w:val="20"/>
                <w:szCs w:val="20"/>
              </w:rPr>
            </w:pPr>
            <w:r w:rsidRPr="000059AB">
              <w:rPr>
                <w:b/>
                <w:bCs/>
                <w:sz w:val="20"/>
                <w:szCs w:val="20"/>
              </w:rPr>
              <w:t>Verde Ecologista de México</w:t>
            </w:r>
          </w:p>
        </w:tc>
        <w:tc>
          <w:tcPr>
            <w:tcW w:w="2263" w:type="dxa"/>
            <w:vAlign w:val="center"/>
          </w:tcPr>
          <w:p w14:paraId="33A6162C" w14:textId="5306DB01" w:rsidR="00441ED3" w:rsidRPr="000059AB" w:rsidRDefault="00113246" w:rsidP="001F708C">
            <w:pPr>
              <w:spacing w:before="60" w:after="60" w:line="288" w:lineRule="auto"/>
              <w:ind w:left="163" w:right="113"/>
              <w:jc w:val="right"/>
              <w:rPr>
                <w:b/>
                <w:bCs/>
                <w:sz w:val="20"/>
                <w:szCs w:val="20"/>
              </w:rPr>
            </w:pPr>
            <w:r w:rsidRPr="000059AB">
              <w:rPr>
                <w:b/>
                <w:bCs/>
                <w:sz w:val="20"/>
                <w:szCs w:val="20"/>
              </w:rPr>
              <w:t>$538,004.25</w:t>
            </w:r>
          </w:p>
        </w:tc>
        <w:tc>
          <w:tcPr>
            <w:tcW w:w="2262" w:type="dxa"/>
            <w:vAlign w:val="center"/>
          </w:tcPr>
          <w:p w14:paraId="05AD6B08" w14:textId="1EA91491" w:rsidR="00441ED3" w:rsidRPr="000059AB" w:rsidRDefault="00113246" w:rsidP="001F708C">
            <w:pPr>
              <w:spacing w:before="60" w:after="60" w:line="288" w:lineRule="auto"/>
              <w:ind w:left="178" w:right="113"/>
              <w:jc w:val="center"/>
              <w:rPr>
                <w:b/>
                <w:bCs/>
                <w:sz w:val="20"/>
                <w:szCs w:val="20"/>
              </w:rPr>
            </w:pPr>
            <w:r w:rsidRPr="000059AB">
              <w:rPr>
                <w:b/>
                <w:bCs/>
                <w:sz w:val="20"/>
                <w:szCs w:val="20"/>
              </w:rPr>
              <w:t>$134,501.06</w:t>
            </w:r>
          </w:p>
        </w:tc>
      </w:tr>
      <w:tr w:rsidR="00441ED3" w:rsidRPr="000059AB" w14:paraId="77E4B554" w14:textId="77777777" w:rsidTr="0078424B">
        <w:trPr>
          <w:jc w:val="right"/>
        </w:trPr>
        <w:tc>
          <w:tcPr>
            <w:tcW w:w="3555" w:type="dxa"/>
            <w:vAlign w:val="center"/>
          </w:tcPr>
          <w:p w14:paraId="5262A78A" w14:textId="77777777" w:rsidR="00441ED3" w:rsidRPr="000059AB" w:rsidRDefault="00441ED3" w:rsidP="001F708C">
            <w:pPr>
              <w:spacing w:before="60" w:after="60" w:line="288" w:lineRule="auto"/>
              <w:ind w:left="170"/>
              <w:rPr>
                <w:b/>
                <w:bCs/>
                <w:sz w:val="20"/>
                <w:szCs w:val="20"/>
              </w:rPr>
            </w:pPr>
            <w:r w:rsidRPr="000059AB">
              <w:rPr>
                <w:b/>
                <w:bCs/>
                <w:sz w:val="20"/>
                <w:szCs w:val="20"/>
              </w:rPr>
              <w:t>Morena</w:t>
            </w:r>
          </w:p>
        </w:tc>
        <w:tc>
          <w:tcPr>
            <w:tcW w:w="2263" w:type="dxa"/>
            <w:vAlign w:val="center"/>
          </w:tcPr>
          <w:p w14:paraId="2DC235BF" w14:textId="651D2528" w:rsidR="00441ED3" w:rsidRPr="000059AB" w:rsidRDefault="007D73AC" w:rsidP="001F708C">
            <w:pPr>
              <w:spacing w:before="60" w:after="60" w:line="288" w:lineRule="auto"/>
              <w:ind w:left="163" w:right="113"/>
              <w:jc w:val="right"/>
              <w:rPr>
                <w:b/>
                <w:bCs/>
                <w:sz w:val="20"/>
                <w:szCs w:val="20"/>
              </w:rPr>
            </w:pPr>
            <w:r w:rsidRPr="000059AB">
              <w:rPr>
                <w:b/>
                <w:bCs/>
                <w:sz w:val="20"/>
                <w:szCs w:val="20"/>
              </w:rPr>
              <w:t>$2’</w:t>
            </w:r>
            <w:r w:rsidR="00113246" w:rsidRPr="000059AB">
              <w:rPr>
                <w:b/>
                <w:bCs/>
                <w:sz w:val="20"/>
                <w:szCs w:val="20"/>
              </w:rPr>
              <w:t>269,540.87</w:t>
            </w:r>
          </w:p>
        </w:tc>
        <w:tc>
          <w:tcPr>
            <w:tcW w:w="2262" w:type="dxa"/>
            <w:vAlign w:val="center"/>
          </w:tcPr>
          <w:p w14:paraId="0E94A759" w14:textId="527A6AC9" w:rsidR="00441ED3" w:rsidRPr="000059AB" w:rsidRDefault="00113246" w:rsidP="001F708C">
            <w:pPr>
              <w:spacing w:before="60" w:after="60" w:line="288" w:lineRule="auto"/>
              <w:ind w:left="178" w:right="113"/>
              <w:jc w:val="center"/>
              <w:rPr>
                <w:b/>
                <w:bCs/>
                <w:sz w:val="20"/>
                <w:szCs w:val="20"/>
              </w:rPr>
            </w:pPr>
            <w:r w:rsidRPr="000059AB">
              <w:rPr>
                <w:b/>
                <w:bCs/>
                <w:sz w:val="20"/>
                <w:szCs w:val="20"/>
              </w:rPr>
              <w:t>$567,385.22</w:t>
            </w:r>
          </w:p>
        </w:tc>
      </w:tr>
    </w:tbl>
    <w:p w14:paraId="42B74A32" w14:textId="1897D8AC" w:rsidR="001D76B5" w:rsidRDefault="00940CDE" w:rsidP="002A60A6">
      <w:pPr>
        <w:spacing w:before="360"/>
      </w:pPr>
      <w:r>
        <w:t xml:space="preserve">Ahora bien, </w:t>
      </w:r>
      <w:r w:rsidR="002A60A6">
        <w:t xml:space="preserve">las sanciones establecidas a los partidos políticos: </w:t>
      </w:r>
      <w:r w:rsidR="002A60A6" w:rsidRPr="00735A6F">
        <w:rPr>
          <w:b/>
          <w:bCs/>
        </w:rPr>
        <w:t xml:space="preserve">De la Revolución Democrática y Morena, serán retenidas en la ministración </w:t>
      </w:r>
      <w:r w:rsidR="00455F3A" w:rsidRPr="00735A6F">
        <w:rPr>
          <w:b/>
          <w:bCs/>
        </w:rPr>
        <w:t>correspondiente al mes de abril de la presente anualidad,</w:t>
      </w:r>
      <w:r w:rsidR="002A60A6">
        <w:t xml:space="preserve"> en virtud de que no </w:t>
      </w:r>
      <w:r w:rsidR="009030E1">
        <w:t xml:space="preserve">existen adeudos económicos </w:t>
      </w:r>
      <w:r w:rsidR="002A60A6">
        <w:t xml:space="preserve">pendientes de </w:t>
      </w:r>
      <w:r w:rsidR="009030E1">
        <w:t>cobro</w:t>
      </w:r>
      <w:r w:rsidR="001D76B5">
        <w:t xml:space="preserve"> y su monto no excede del 25 </w:t>
      </w:r>
      <w:r w:rsidR="001D76B5" w:rsidRPr="001D76B5">
        <w:t xml:space="preserve">por ciento de la ministración mensual del financiamiento público ordinario que </w:t>
      </w:r>
      <w:r w:rsidR="001D76B5">
        <w:t xml:space="preserve">les </w:t>
      </w:r>
      <w:r w:rsidR="001D76B5" w:rsidRPr="001D76B5">
        <w:t>correspond</w:t>
      </w:r>
      <w:r w:rsidR="001D76B5">
        <w:t>e.</w:t>
      </w:r>
    </w:p>
    <w:p w14:paraId="61582C5E" w14:textId="42B8E9D3" w:rsidR="002A60A6" w:rsidRDefault="002A60A6" w:rsidP="009030E1">
      <w:pPr>
        <w:spacing w:before="240"/>
      </w:pPr>
      <w:r>
        <w:t xml:space="preserve">En lo que respecta a los partidos: </w:t>
      </w:r>
      <w:r w:rsidRPr="00665290">
        <w:rPr>
          <w:b/>
          <w:bCs/>
        </w:rPr>
        <w:t>Revolucionario Institucional y Verde Ecologista de México,</w:t>
      </w:r>
      <w:r>
        <w:t xml:space="preserve"> la retención se hará conforme a la siguiente calendarización:</w:t>
      </w:r>
    </w:p>
    <w:p w14:paraId="5B850835" w14:textId="250BB030" w:rsidR="003D5C56" w:rsidRDefault="00EE6051" w:rsidP="00EE6051">
      <w:pPr>
        <w:pStyle w:val="Ttulo3"/>
        <w:numPr>
          <w:ilvl w:val="0"/>
          <w:numId w:val="5"/>
        </w:numPr>
      </w:pPr>
      <w:r>
        <w:t>Partido Revolucionario Institucional</w:t>
      </w:r>
    </w:p>
    <w:tbl>
      <w:tblPr>
        <w:tblStyle w:val="Tablaconcuadrcula"/>
        <w:tblW w:w="8276" w:type="dxa"/>
        <w:tblInd w:w="624" w:type="dxa"/>
        <w:tblLook w:val="04A0" w:firstRow="1" w:lastRow="0" w:firstColumn="1" w:lastColumn="0" w:noHBand="0" w:noVBand="1"/>
      </w:tblPr>
      <w:tblGrid>
        <w:gridCol w:w="1923"/>
        <w:gridCol w:w="283"/>
        <w:gridCol w:w="1843"/>
        <w:gridCol w:w="284"/>
        <w:gridCol w:w="1820"/>
        <w:gridCol w:w="236"/>
        <w:gridCol w:w="1887"/>
      </w:tblGrid>
      <w:tr w:rsidR="00E4293F" w:rsidRPr="00E94754" w14:paraId="7A6BB660" w14:textId="77777777" w:rsidTr="00E4293F">
        <w:tc>
          <w:tcPr>
            <w:tcW w:w="1923" w:type="dxa"/>
            <w:tcBorders>
              <w:bottom w:val="single" w:sz="4" w:space="0" w:color="auto"/>
              <w:right w:val="single" w:sz="4" w:space="0" w:color="auto"/>
            </w:tcBorders>
            <w:shd w:val="clear" w:color="auto" w:fill="993366"/>
          </w:tcPr>
          <w:p w14:paraId="0B866BDD" w14:textId="53D0CEC3" w:rsidR="000C1FF8" w:rsidRPr="00E94754" w:rsidRDefault="000C1FF8" w:rsidP="005D35F0">
            <w:pPr>
              <w:spacing w:before="60" w:after="60"/>
              <w:ind w:left="0"/>
              <w:jc w:val="center"/>
              <w:rPr>
                <w:sz w:val="16"/>
              </w:rPr>
            </w:pPr>
            <w:r w:rsidRPr="00E4293F">
              <w:rPr>
                <w:color w:val="FFFFFF" w:themeColor="background1"/>
                <w:sz w:val="16"/>
              </w:rPr>
              <w:t>Febrero/2024</w:t>
            </w:r>
          </w:p>
        </w:tc>
        <w:tc>
          <w:tcPr>
            <w:tcW w:w="283" w:type="dxa"/>
            <w:tcBorders>
              <w:top w:val="nil"/>
              <w:left w:val="single" w:sz="4" w:space="0" w:color="auto"/>
              <w:bottom w:val="nil"/>
              <w:right w:val="single" w:sz="4" w:space="0" w:color="auto"/>
            </w:tcBorders>
          </w:tcPr>
          <w:p w14:paraId="3F75D03E" w14:textId="77777777" w:rsidR="000C1FF8" w:rsidRPr="00E94754" w:rsidRDefault="000C1FF8" w:rsidP="005D35F0">
            <w:pPr>
              <w:spacing w:before="60" w:after="60"/>
              <w:ind w:left="0"/>
              <w:jc w:val="center"/>
              <w:rPr>
                <w:sz w:val="16"/>
              </w:rPr>
            </w:pPr>
          </w:p>
        </w:tc>
        <w:tc>
          <w:tcPr>
            <w:tcW w:w="1843" w:type="dxa"/>
            <w:tcBorders>
              <w:left w:val="single" w:sz="4" w:space="0" w:color="auto"/>
              <w:bottom w:val="single" w:sz="4" w:space="0" w:color="auto"/>
              <w:right w:val="single" w:sz="4" w:space="0" w:color="auto"/>
            </w:tcBorders>
            <w:shd w:val="clear" w:color="auto" w:fill="993366"/>
          </w:tcPr>
          <w:p w14:paraId="3EE4AA78" w14:textId="6214A205" w:rsidR="000C1FF8" w:rsidRPr="00E4293F" w:rsidRDefault="000C1FF8" w:rsidP="005D35F0">
            <w:pPr>
              <w:spacing w:before="60" w:after="60"/>
              <w:ind w:left="0"/>
              <w:jc w:val="center"/>
              <w:rPr>
                <w:color w:val="FFFFFF" w:themeColor="background1"/>
                <w:sz w:val="16"/>
              </w:rPr>
            </w:pPr>
            <w:r w:rsidRPr="00E4293F">
              <w:rPr>
                <w:color w:val="FFFFFF" w:themeColor="background1"/>
                <w:sz w:val="16"/>
              </w:rPr>
              <w:t>Marzo/2024</w:t>
            </w:r>
          </w:p>
        </w:tc>
        <w:tc>
          <w:tcPr>
            <w:tcW w:w="284" w:type="dxa"/>
            <w:tcBorders>
              <w:top w:val="nil"/>
              <w:left w:val="single" w:sz="4" w:space="0" w:color="auto"/>
              <w:bottom w:val="nil"/>
              <w:right w:val="single" w:sz="4" w:space="0" w:color="auto"/>
            </w:tcBorders>
          </w:tcPr>
          <w:p w14:paraId="2056032D" w14:textId="77777777" w:rsidR="000C1FF8" w:rsidRPr="00E4293F" w:rsidRDefault="000C1FF8" w:rsidP="005D35F0">
            <w:pPr>
              <w:spacing w:before="60" w:after="60"/>
              <w:ind w:left="0"/>
              <w:jc w:val="center"/>
              <w:rPr>
                <w:color w:val="FFFFFF" w:themeColor="background1"/>
                <w:sz w:val="16"/>
              </w:rPr>
            </w:pPr>
          </w:p>
        </w:tc>
        <w:tc>
          <w:tcPr>
            <w:tcW w:w="1820" w:type="dxa"/>
            <w:tcBorders>
              <w:left w:val="single" w:sz="4" w:space="0" w:color="auto"/>
              <w:bottom w:val="single" w:sz="4" w:space="0" w:color="auto"/>
              <w:right w:val="single" w:sz="4" w:space="0" w:color="auto"/>
            </w:tcBorders>
            <w:shd w:val="clear" w:color="auto" w:fill="993366"/>
          </w:tcPr>
          <w:p w14:paraId="656C8560" w14:textId="0F660809" w:rsidR="000C1FF8" w:rsidRPr="00E4293F" w:rsidRDefault="000C1FF8" w:rsidP="005D35F0">
            <w:pPr>
              <w:spacing w:before="60" w:after="60"/>
              <w:ind w:left="0"/>
              <w:jc w:val="center"/>
              <w:rPr>
                <w:color w:val="FFFFFF" w:themeColor="background1"/>
                <w:sz w:val="16"/>
              </w:rPr>
            </w:pPr>
            <w:r w:rsidRPr="00E4293F">
              <w:rPr>
                <w:color w:val="FFFFFF" w:themeColor="background1"/>
                <w:sz w:val="16"/>
              </w:rPr>
              <w:t>Abril/2024</w:t>
            </w:r>
          </w:p>
        </w:tc>
        <w:tc>
          <w:tcPr>
            <w:tcW w:w="236" w:type="dxa"/>
            <w:tcBorders>
              <w:top w:val="nil"/>
              <w:left w:val="single" w:sz="4" w:space="0" w:color="auto"/>
              <w:bottom w:val="nil"/>
              <w:right w:val="single" w:sz="4" w:space="0" w:color="auto"/>
            </w:tcBorders>
          </w:tcPr>
          <w:p w14:paraId="367F714A" w14:textId="77777777" w:rsidR="000C1FF8" w:rsidRPr="00E4293F" w:rsidRDefault="000C1FF8" w:rsidP="005D35F0">
            <w:pPr>
              <w:spacing w:before="60" w:after="60"/>
              <w:ind w:left="0"/>
              <w:jc w:val="center"/>
              <w:rPr>
                <w:color w:val="FFFFFF" w:themeColor="background1"/>
                <w:sz w:val="16"/>
              </w:rPr>
            </w:pPr>
          </w:p>
        </w:tc>
        <w:tc>
          <w:tcPr>
            <w:tcW w:w="1887" w:type="dxa"/>
            <w:tcBorders>
              <w:left w:val="single" w:sz="4" w:space="0" w:color="auto"/>
              <w:bottom w:val="single" w:sz="4" w:space="0" w:color="auto"/>
            </w:tcBorders>
            <w:shd w:val="clear" w:color="auto" w:fill="993366"/>
          </w:tcPr>
          <w:p w14:paraId="0F458E2B" w14:textId="679D1A3B" w:rsidR="000C1FF8" w:rsidRPr="00E4293F" w:rsidRDefault="000C1FF8" w:rsidP="005D35F0">
            <w:pPr>
              <w:spacing w:before="60" w:after="60"/>
              <w:ind w:left="0"/>
              <w:jc w:val="center"/>
              <w:rPr>
                <w:color w:val="FFFFFF" w:themeColor="background1"/>
                <w:sz w:val="16"/>
              </w:rPr>
            </w:pPr>
            <w:r w:rsidRPr="00E4293F">
              <w:rPr>
                <w:color w:val="FFFFFF" w:themeColor="background1"/>
                <w:sz w:val="16"/>
              </w:rPr>
              <w:t>Mayo/2024</w:t>
            </w:r>
          </w:p>
        </w:tc>
      </w:tr>
      <w:tr w:rsidR="00E4293F" w:rsidRPr="00E94754" w14:paraId="1CA196E5" w14:textId="77777777" w:rsidTr="00E4293F">
        <w:tc>
          <w:tcPr>
            <w:tcW w:w="1923" w:type="dxa"/>
            <w:tcBorders>
              <w:bottom w:val="single" w:sz="4" w:space="0" w:color="auto"/>
              <w:right w:val="single" w:sz="4" w:space="0" w:color="auto"/>
            </w:tcBorders>
          </w:tcPr>
          <w:p w14:paraId="40BC2F2E" w14:textId="686DB338" w:rsidR="000C1FF8" w:rsidRPr="0022609D" w:rsidRDefault="000C1FF8" w:rsidP="000C1FF8">
            <w:pPr>
              <w:spacing w:before="120" w:after="120"/>
              <w:ind w:left="0"/>
              <w:jc w:val="center"/>
              <w:rPr>
                <w:b/>
                <w:bCs/>
                <w:sz w:val="20"/>
                <w:szCs w:val="28"/>
              </w:rPr>
            </w:pPr>
            <w:r w:rsidRPr="0022609D">
              <w:rPr>
                <w:b/>
                <w:bCs/>
                <w:sz w:val="20"/>
                <w:szCs w:val="28"/>
              </w:rPr>
              <w:t>$145,753.07</w:t>
            </w:r>
          </w:p>
        </w:tc>
        <w:tc>
          <w:tcPr>
            <w:tcW w:w="283" w:type="dxa"/>
            <w:tcBorders>
              <w:top w:val="nil"/>
              <w:left w:val="single" w:sz="4" w:space="0" w:color="auto"/>
              <w:bottom w:val="nil"/>
              <w:right w:val="single" w:sz="4" w:space="0" w:color="auto"/>
            </w:tcBorders>
          </w:tcPr>
          <w:p w14:paraId="396BA702" w14:textId="77777777" w:rsidR="000C1FF8" w:rsidRPr="0022609D" w:rsidRDefault="000C1FF8" w:rsidP="000C1FF8">
            <w:pPr>
              <w:spacing w:before="120" w:after="120"/>
              <w:ind w:left="0"/>
              <w:jc w:val="center"/>
              <w:rPr>
                <w:b/>
                <w:bCs/>
                <w:sz w:val="20"/>
                <w:szCs w:val="28"/>
              </w:rPr>
            </w:pPr>
          </w:p>
        </w:tc>
        <w:tc>
          <w:tcPr>
            <w:tcW w:w="1843" w:type="dxa"/>
            <w:tcBorders>
              <w:left w:val="single" w:sz="4" w:space="0" w:color="auto"/>
              <w:bottom w:val="single" w:sz="4" w:space="0" w:color="auto"/>
              <w:right w:val="single" w:sz="4" w:space="0" w:color="auto"/>
            </w:tcBorders>
          </w:tcPr>
          <w:p w14:paraId="0E6ACFE8" w14:textId="23085993" w:rsidR="000C1FF8" w:rsidRPr="0022609D" w:rsidRDefault="000C1FF8" w:rsidP="000C1FF8">
            <w:pPr>
              <w:spacing w:before="120" w:after="120"/>
              <w:ind w:left="0"/>
              <w:jc w:val="center"/>
              <w:rPr>
                <w:b/>
                <w:bCs/>
                <w:sz w:val="20"/>
                <w:szCs w:val="28"/>
              </w:rPr>
            </w:pPr>
            <w:r w:rsidRPr="0022609D">
              <w:rPr>
                <w:b/>
                <w:bCs/>
                <w:sz w:val="20"/>
                <w:szCs w:val="28"/>
              </w:rPr>
              <w:t>$145,753.07</w:t>
            </w:r>
          </w:p>
        </w:tc>
        <w:tc>
          <w:tcPr>
            <w:tcW w:w="284" w:type="dxa"/>
            <w:tcBorders>
              <w:top w:val="nil"/>
              <w:left w:val="single" w:sz="4" w:space="0" w:color="auto"/>
              <w:bottom w:val="nil"/>
              <w:right w:val="single" w:sz="4" w:space="0" w:color="auto"/>
            </w:tcBorders>
          </w:tcPr>
          <w:p w14:paraId="7714F48E" w14:textId="77777777" w:rsidR="000C1FF8" w:rsidRPr="0022609D" w:rsidRDefault="000C1FF8" w:rsidP="000C1FF8">
            <w:pPr>
              <w:spacing w:before="120" w:after="120"/>
              <w:ind w:left="0"/>
              <w:jc w:val="center"/>
              <w:rPr>
                <w:b/>
                <w:bCs/>
                <w:sz w:val="20"/>
                <w:szCs w:val="28"/>
              </w:rPr>
            </w:pPr>
          </w:p>
        </w:tc>
        <w:tc>
          <w:tcPr>
            <w:tcW w:w="1820" w:type="dxa"/>
            <w:tcBorders>
              <w:left w:val="single" w:sz="4" w:space="0" w:color="auto"/>
              <w:bottom w:val="single" w:sz="4" w:space="0" w:color="auto"/>
              <w:right w:val="single" w:sz="4" w:space="0" w:color="auto"/>
            </w:tcBorders>
          </w:tcPr>
          <w:p w14:paraId="32B6A2BE" w14:textId="31FE2D27" w:rsidR="000C1FF8" w:rsidRPr="0022609D" w:rsidRDefault="000C1FF8" w:rsidP="000C1FF8">
            <w:pPr>
              <w:spacing w:before="120" w:after="120"/>
              <w:ind w:left="0"/>
              <w:jc w:val="center"/>
              <w:rPr>
                <w:b/>
                <w:bCs/>
                <w:sz w:val="20"/>
                <w:szCs w:val="28"/>
              </w:rPr>
            </w:pPr>
            <w:r w:rsidRPr="0022609D">
              <w:rPr>
                <w:b/>
                <w:bCs/>
                <w:sz w:val="20"/>
                <w:szCs w:val="28"/>
              </w:rPr>
              <w:t>$145,753.07</w:t>
            </w:r>
          </w:p>
        </w:tc>
        <w:tc>
          <w:tcPr>
            <w:tcW w:w="236" w:type="dxa"/>
            <w:tcBorders>
              <w:top w:val="nil"/>
              <w:left w:val="single" w:sz="4" w:space="0" w:color="auto"/>
              <w:bottom w:val="nil"/>
              <w:right w:val="single" w:sz="4" w:space="0" w:color="auto"/>
            </w:tcBorders>
          </w:tcPr>
          <w:p w14:paraId="31676354" w14:textId="77777777" w:rsidR="000C1FF8" w:rsidRPr="0022609D" w:rsidRDefault="000C1FF8" w:rsidP="000C1FF8">
            <w:pPr>
              <w:spacing w:before="120" w:after="120"/>
              <w:ind w:left="0"/>
              <w:jc w:val="center"/>
              <w:rPr>
                <w:b/>
                <w:bCs/>
                <w:sz w:val="20"/>
                <w:szCs w:val="28"/>
              </w:rPr>
            </w:pPr>
          </w:p>
        </w:tc>
        <w:tc>
          <w:tcPr>
            <w:tcW w:w="1887" w:type="dxa"/>
            <w:tcBorders>
              <w:left w:val="single" w:sz="4" w:space="0" w:color="auto"/>
              <w:bottom w:val="single" w:sz="4" w:space="0" w:color="auto"/>
            </w:tcBorders>
          </w:tcPr>
          <w:p w14:paraId="238E13FD" w14:textId="2E1A4AEC" w:rsidR="000C1FF8" w:rsidRPr="0022609D" w:rsidRDefault="000C1FF8" w:rsidP="000C1FF8">
            <w:pPr>
              <w:spacing w:before="120" w:after="120"/>
              <w:ind w:left="0"/>
              <w:jc w:val="center"/>
              <w:rPr>
                <w:b/>
                <w:bCs/>
                <w:sz w:val="20"/>
                <w:szCs w:val="28"/>
              </w:rPr>
            </w:pPr>
            <w:r w:rsidRPr="0022609D">
              <w:rPr>
                <w:b/>
                <w:bCs/>
                <w:sz w:val="20"/>
                <w:szCs w:val="28"/>
              </w:rPr>
              <w:t>$145,753.07</w:t>
            </w:r>
          </w:p>
        </w:tc>
      </w:tr>
      <w:tr w:rsidR="000C1FF8" w:rsidRPr="00E94754" w14:paraId="51E98708" w14:textId="77777777" w:rsidTr="008E01F7">
        <w:tc>
          <w:tcPr>
            <w:tcW w:w="1923" w:type="dxa"/>
            <w:tcBorders>
              <w:top w:val="single" w:sz="4" w:space="0" w:color="auto"/>
              <w:left w:val="nil"/>
              <w:bottom w:val="single" w:sz="4" w:space="0" w:color="auto"/>
              <w:right w:val="nil"/>
            </w:tcBorders>
          </w:tcPr>
          <w:p w14:paraId="3CC358F1" w14:textId="77777777" w:rsidR="000C1FF8" w:rsidRPr="0022609D" w:rsidRDefault="000C1FF8" w:rsidP="0022609D">
            <w:pPr>
              <w:spacing w:before="120" w:after="120"/>
              <w:ind w:left="0"/>
              <w:jc w:val="center"/>
              <w:rPr>
                <w:b/>
                <w:bCs/>
                <w:sz w:val="20"/>
                <w:szCs w:val="28"/>
              </w:rPr>
            </w:pPr>
          </w:p>
        </w:tc>
        <w:tc>
          <w:tcPr>
            <w:tcW w:w="283" w:type="dxa"/>
            <w:tcBorders>
              <w:top w:val="nil"/>
              <w:left w:val="nil"/>
              <w:bottom w:val="nil"/>
              <w:right w:val="nil"/>
            </w:tcBorders>
          </w:tcPr>
          <w:p w14:paraId="2D37DEE8" w14:textId="77777777" w:rsidR="000C1FF8" w:rsidRPr="0022609D" w:rsidRDefault="000C1FF8" w:rsidP="0022609D">
            <w:pPr>
              <w:spacing w:before="120" w:after="120"/>
              <w:ind w:left="0"/>
              <w:jc w:val="center"/>
              <w:rPr>
                <w:b/>
                <w:bCs/>
                <w:sz w:val="20"/>
                <w:szCs w:val="28"/>
              </w:rPr>
            </w:pPr>
          </w:p>
        </w:tc>
        <w:tc>
          <w:tcPr>
            <w:tcW w:w="1843" w:type="dxa"/>
            <w:tcBorders>
              <w:top w:val="single" w:sz="4" w:space="0" w:color="auto"/>
              <w:left w:val="nil"/>
              <w:bottom w:val="single" w:sz="4" w:space="0" w:color="auto"/>
              <w:right w:val="nil"/>
            </w:tcBorders>
          </w:tcPr>
          <w:p w14:paraId="536F3D73" w14:textId="77777777" w:rsidR="000C1FF8" w:rsidRPr="0022609D" w:rsidRDefault="000C1FF8" w:rsidP="0022609D">
            <w:pPr>
              <w:spacing w:before="120" w:after="120"/>
              <w:ind w:left="0"/>
              <w:jc w:val="center"/>
              <w:rPr>
                <w:b/>
                <w:bCs/>
                <w:sz w:val="20"/>
                <w:szCs w:val="28"/>
              </w:rPr>
            </w:pPr>
          </w:p>
        </w:tc>
        <w:tc>
          <w:tcPr>
            <w:tcW w:w="284" w:type="dxa"/>
            <w:tcBorders>
              <w:top w:val="nil"/>
              <w:left w:val="nil"/>
              <w:bottom w:val="nil"/>
              <w:right w:val="nil"/>
            </w:tcBorders>
          </w:tcPr>
          <w:p w14:paraId="6D955671" w14:textId="77777777" w:rsidR="000C1FF8" w:rsidRPr="0022609D" w:rsidRDefault="000C1FF8" w:rsidP="0022609D">
            <w:pPr>
              <w:spacing w:before="120" w:after="120"/>
              <w:ind w:left="0"/>
              <w:jc w:val="center"/>
              <w:rPr>
                <w:b/>
                <w:bCs/>
                <w:sz w:val="20"/>
                <w:szCs w:val="28"/>
              </w:rPr>
            </w:pPr>
          </w:p>
        </w:tc>
        <w:tc>
          <w:tcPr>
            <w:tcW w:w="1820" w:type="dxa"/>
            <w:tcBorders>
              <w:top w:val="single" w:sz="4" w:space="0" w:color="auto"/>
              <w:left w:val="nil"/>
              <w:bottom w:val="single" w:sz="4" w:space="0" w:color="auto"/>
              <w:right w:val="nil"/>
            </w:tcBorders>
          </w:tcPr>
          <w:p w14:paraId="15221BF3" w14:textId="77777777" w:rsidR="000C1FF8" w:rsidRPr="0022609D" w:rsidRDefault="000C1FF8" w:rsidP="0022609D">
            <w:pPr>
              <w:spacing w:before="120" w:after="120"/>
              <w:ind w:left="0"/>
              <w:jc w:val="center"/>
              <w:rPr>
                <w:b/>
                <w:bCs/>
                <w:sz w:val="20"/>
                <w:szCs w:val="28"/>
              </w:rPr>
            </w:pPr>
          </w:p>
        </w:tc>
        <w:tc>
          <w:tcPr>
            <w:tcW w:w="236" w:type="dxa"/>
            <w:tcBorders>
              <w:top w:val="nil"/>
              <w:left w:val="nil"/>
              <w:bottom w:val="nil"/>
              <w:right w:val="nil"/>
            </w:tcBorders>
          </w:tcPr>
          <w:p w14:paraId="5896E629" w14:textId="77777777" w:rsidR="000C1FF8" w:rsidRPr="0022609D" w:rsidRDefault="000C1FF8" w:rsidP="0022609D">
            <w:pPr>
              <w:spacing w:before="120" w:after="120"/>
              <w:ind w:left="0"/>
              <w:jc w:val="center"/>
              <w:rPr>
                <w:b/>
                <w:bCs/>
                <w:sz w:val="20"/>
                <w:szCs w:val="28"/>
              </w:rPr>
            </w:pPr>
          </w:p>
        </w:tc>
        <w:tc>
          <w:tcPr>
            <w:tcW w:w="1887" w:type="dxa"/>
            <w:tcBorders>
              <w:top w:val="single" w:sz="4" w:space="0" w:color="auto"/>
              <w:left w:val="nil"/>
              <w:bottom w:val="single" w:sz="4" w:space="0" w:color="auto"/>
              <w:right w:val="nil"/>
            </w:tcBorders>
          </w:tcPr>
          <w:p w14:paraId="3008852B" w14:textId="77777777" w:rsidR="000C1FF8" w:rsidRPr="0022609D" w:rsidRDefault="000C1FF8" w:rsidP="0022609D">
            <w:pPr>
              <w:spacing w:before="120" w:after="120"/>
              <w:ind w:left="0"/>
              <w:jc w:val="center"/>
              <w:rPr>
                <w:b/>
                <w:bCs/>
                <w:sz w:val="20"/>
                <w:szCs w:val="28"/>
              </w:rPr>
            </w:pPr>
          </w:p>
        </w:tc>
      </w:tr>
      <w:tr w:rsidR="00E4293F" w:rsidRPr="00E94754" w14:paraId="732E90F5" w14:textId="77777777" w:rsidTr="008E01F7">
        <w:tc>
          <w:tcPr>
            <w:tcW w:w="1923" w:type="dxa"/>
            <w:tcBorders>
              <w:top w:val="single" w:sz="4" w:space="0" w:color="auto"/>
              <w:left w:val="single" w:sz="4" w:space="0" w:color="auto"/>
              <w:bottom w:val="single" w:sz="4" w:space="0" w:color="auto"/>
              <w:right w:val="single" w:sz="4" w:space="0" w:color="auto"/>
            </w:tcBorders>
            <w:shd w:val="clear" w:color="auto" w:fill="993366"/>
          </w:tcPr>
          <w:p w14:paraId="6F0582F9" w14:textId="30C0672F" w:rsidR="000C1FF8" w:rsidRPr="00E4293F" w:rsidRDefault="000C1FF8" w:rsidP="005D35F0">
            <w:pPr>
              <w:spacing w:before="60" w:after="60"/>
              <w:ind w:left="0"/>
              <w:jc w:val="center"/>
              <w:rPr>
                <w:b/>
                <w:bCs/>
                <w:color w:val="FFFFFF" w:themeColor="background1"/>
                <w:sz w:val="20"/>
                <w:szCs w:val="28"/>
              </w:rPr>
            </w:pPr>
            <w:r w:rsidRPr="00E4293F">
              <w:rPr>
                <w:color w:val="FFFFFF" w:themeColor="background1"/>
                <w:sz w:val="16"/>
              </w:rPr>
              <w:t>Junio/2024</w:t>
            </w:r>
          </w:p>
        </w:tc>
        <w:tc>
          <w:tcPr>
            <w:tcW w:w="283" w:type="dxa"/>
            <w:tcBorders>
              <w:top w:val="nil"/>
              <w:left w:val="single" w:sz="4" w:space="0" w:color="auto"/>
              <w:bottom w:val="nil"/>
              <w:right w:val="single" w:sz="4" w:space="0" w:color="auto"/>
            </w:tcBorders>
          </w:tcPr>
          <w:p w14:paraId="417E809F" w14:textId="77777777" w:rsidR="000C1FF8" w:rsidRPr="00E4293F" w:rsidRDefault="000C1FF8" w:rsidP="005D35F0">
            <w:pPr>
              <w:spacing w:before="60" w:after="60"/>
              <w:ind w:left="0"/>
              <w:jc w:val="center"/>
              <w:rPr>
                <w:b/>
                <w:bCs/>
                <w:color w:val="FFFFFF" w:themeColor="background1"/>
                <w:sz w:val="20"/>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993366"/>
          </w:tcPr>
          <w:p w14:paraId="2D191879" w14:textId="67231AB7" w:rsidR="000C1FF8" w:rsidRPr="00E4293F" w:rsidRDefault="000C1FF8" w:rsidP="005D35F0">
            <w:pPr>
              <w:spacing w:before="60" w:after="60"/>
              <w:ind w:left="0"/>
              <w:jc w:val="center"/>
              <w:rPr>
                <w:b/>
                <w:bCs/>
                <w:color w:val="FFFFFF" w:themeColor="background1"/>
                <w:sz w:val="20"/>
                <w:szCs w:val="28"/>
              </w:rPr>
            </w:pPr>
            <w:r w:rsidRPr="00E4293F">
              <w:rPr>
                <w:color w:val="FFFFFF" w:themeColor="background1"/>
                <w:sz w:val="16"/>
              </w:rPr>
              <w:t>Julio/2024</w:t>
            </w:r>
          </w:p>
        </w:tc>
        <w:tc>
          <w:tcPr>
            <w:tcW w:w="284" w:type="dxa"/>
            <w:tcBorders>
              <w:top w:val="nil"/>
              <w:left w:val="single" w:sz="4" w:space="0" w:color="auto"/>
              <w:bottom w:val="nil"/>
              <w:right w:val="single" w:sz="4" w:space="0" w:color="auto"/>
            </w:tcBorders>
          </w:tcPr>
          <w:p w14:paraId="36CCA317" w14:textId="77777777" w:rsidR="000C1FF8" w:rsidRPr="00E4293F" w:rsidRDefault="000C1FF8" w:rsidP="005D35F0">
            <w:pPr>
              <w:spacing w:before="60" w:after="60"/>
              <w:ind w:left="0"/>
              <w:jc w:val="center"/>
              <w:rPr>
                <w:b/>
                <w:bCs/>
                <w:color w:val="FFFFFF" w:themeColor="background1"/>
                <w:sz w:val="20"/>
                <w:szCs w:val="28"/>
              </w:rPr>
            </w:pPr>
          </w:p>
        </w:tc>
        <w:tc>
          <w:tcPr>
            <w:tcW w:w="1820" w:type="dxa"/>
            <w:tcBorders>
              <w:top w:val="single" w:sz="4" w:space="0" w:color="auto"/>
              <w:left w:val="single" w:sz="4" w:space="0" w:color="auto"/>
              <w:bottom w:val="single" w:sz="4" w:space="0" w:color="auto"/>
              <w:right w:val="single" w:sz="4" w:space="0" w:color="auto"/>
            </w:tcBorders>
            <w:shd w:val="clear" w:color="auto" w:fill="993366"/>
          </w:tcPr>
          <w:p w14:paraId="6399679E" w14:textId="6915B38D" w:rsidR="000C1FF8" w:rsidRPr="00E4293F" w:rsidRDefault="000C1FF8" w:rsidP="005D35F0">
            <w:pPr>
              <w:spacing w:before="60" w:after="60"/>
              <w:ind w:left="0"/>
              <w:jc w:val="center"/>
              <w:rPr>
                <w:b/>
                <w:bCs/>
                <w:color w:val="FFFFFF" w:themeColor="background1"/>
                <w:sz w:val="20"/>
                <w:szCs w:val="28"/>
              </w:rPr>
            </w:pPr>
            <w:r w:rsidRPr="00E4293F">
              <w:rPr>
                <w:color w:val="FFFFFF" w:themeColor="background1"/>
                <w:sz w:val="16"/>
              </w:rPr>
              <w:t>Agosto/2024</w:t>
            </w:r>
          </w:p>
        </w:tc>
        <w:tc>
          <w:tcPr>
            <w:tcW w:w="236" w:type="dxa"/>
            <w:tcBorders>
              <w:top w:val="nil"/>
              <w:left w:val="single" w:sz="4" w:space="0" w:color="auto"/>
              <w:bottom w:val="nil"/>
              <w:right w:val="single" w:sz="4" w:space="0" w:color="auto"/>
            </w:tcBorders>
          </w:tcPr>
          <w:p w14:paraId="0F29166E" w14:textId="77777777" w:rsidR="000C1FF8" w:rsidRPr="00E4293F" w:rsidRDefault="000C1FF8" w:rsidP="005D35F0">
            <w:pPr>
              <w:spacing w:before="60" w:after="60"/>
              <w:ind w:left="0"/>
              <w:jc w:val="center"/>
              <w:rPr>
                <w:b/>
                <w:bCs/>
                <w:color w:val="FFFFFF" w:themeColor="background1"/>
                <w:sz w:val="20"/>
                <w:szCs w:val="28"/>
              </w:rPr>
            </w:pPr>
          </w:p>
        </w:tc>
        <w:tc>
          <w:tcPr>
            <w:tcW w:w="1887" w:type="dxa"/>
            <w:tcBorders>
              <w:top w:val="single" w:sz="4" w:space="0" w:color="auto"/>
              <w:left w:val="single" w:sz="4" w:space="0" w:color="auto"/>
              <w:bottom w:val="single" w:sz="4" w:space="0" w:color="auto"/>
              <w:right w:val="single" w:sz="4" w:space="0" w:color="auto"/>
            </w:tcBorders>
            <w:shd w:val="clear" w:color="auto" w:fill="993366"/>
          </w:tcPr>
          <w:p w14:paraId="364E415E" w14:textId="638CDF72" w:rsidR="000C1FF8" w:rsidRPr="00E4293F" w:rsidRDefault="000C1FF8" w:rsidP="005D35F0">
            <w:pPr>
              <w:spacing w:before="60" w:after="60"/>
              <w:ind w:left="0"/>
              <w:jc w:val="center"/>
              <w:rPr>
                <w:b/>
                <w:bCs/>
                <w:color w:val="FFFFFF" w:themeColor="background1"/>
                <w:sz w:val="20"/>
                <w:szCs w:val="28"/>
              </w:rPr>
            </w:pPr>
            <w:r w:rsidRPr="00E4293F">
              <w:rPr>
                <w:color w:val="FFFFFF" w:themeColor="background1"/>
                <w:sz w:val="16"/>
              </w:rPr>
              <w:t>Septiembre/2024</w:t>
            </w:r>
          </w:p>
        </w:tc>
      </w:tr>
      <w:tr w:rsidR="000C1FF8" w:rsidRPr="00E94754" w14:paraId="3024F05B" w14:textId="77777777" w:rsidTr="008E01F7">
        <w:tc>
          <w:tcPr>
            <w:tcW w:w="1923" w:type="dxa"/>
            <w:tcBorders>
              <w:top w:val="single" w:sz="4" w:space="0" w:color="auto"/>
              <w:right w:val="single" w:sz="4" w:space="0" w:color="auto"/>
            </w:tcBorders>
          </w:tcPr>
          <w:p w14:paraId="528C3AFA" w14:textId="6CE3183C" w:rsidR="000C1FF8" w:rsidRPr="0022609D" w:rsidRDefault="000C1FF8" w:rsidP="000C1FF8">
            <w:pPr>
              <w:spacing w:before="120" w:after="120"/>
              <w:ind w:left="0"/>
              <w:jc w:val="center"/>
              <w:rPr>
                <w:b/>
                <w:bCs/>
                <w:sz w:val="20"/>
                <w:szCs w:val="28"/>
              </w:rPr>
            </w:pPr>
            <w:r w:rsidRPr="0022609D">
              <w:rPr>
                <w:b/>
                <w:bCs/>
                <w:sz w:val="20"/>
                <w:szCs w:val="28"/>
              </w:rPr>
              <w:t>$145,753.07</w:t>
            </w:r>
          </w:p>
        </w:tc>
        <w:tc>
          <w:tcPr>
            <w:tcW w:w="283" w:type="dxa"/>
            <w:tcBorders>
              <w:top w:val="nil"/>
              <w:left w:val="single" w:sz="4" w:space="0" w:color="auto"/>
              <w:bottom w:val="nil"/>
              <w:right w:val="single" w:sz="4" w:space="0" w:color="auto"/>
            </w:tcBorders>
          </w:tcPr>
          <w:p w14:paraId="68BF6655" w14:textId="77777777" w:rsidR="000C1FF8" w:rsidRPr="0022609D" w:rsidRDefault="000C1FF8" w:rsidP="000C1FF8">
            <w:pPr>
              <w:spacing w:before="120" w:after="120"/>
              <w:ind w:left="0"/>
              <w:jc w:val="center"/>
              <w:rPr>
                <w:b/>
                <w:bCs/>
                <w:sz w:val="20"/>
                <w:szCs w:val="28"/>
              </w:rPr>
            </w:pPr>
          </w:p>
        </w:tc>
        <w:tc>
          <w:tcPr>
            <w:tcW w:w="1843" w:type="dxa"/>
            <w:tcBorders>
              <w:top w:val="single" w:sz="4" w:space="0" w:color="auto"/>
              <w:left w:val="single" w:sz="4" w:space="0" w:color="auto"/>
              <w:right w:val="single" w:sz="4" w:space="0" w:color="auto"/>
            </w:tcBorders>
          </w:tcPr>
          <w:p w14:paraId="11C5A71E" w14:textId="5F25A6DD" w:rsidR="000C1FF8" w:rsidRPr="0022609D" w:rsidRDefault="000C1FF8" w:rsidP="000C1FF8">
            <w:pPr>
              <w:spacing w:before="120" w:after="120"/>
              <w:ind w:left="0"/>
              <w:jc w:val="center"/>
              <w:rPr>
                <w:b/>
                <w:bCs/>
                <w:sz w:val="20"/>
                <w:szCs w:val="28"/>
              </w:rPr>
            </w:pPr>
            <w:r w:rsidRPr="0022609D">
              <w:rPr>
                <w:b/>
                <w:bCs/>
                <w:sz w:val="20"/>
                <w:szCs w:val="28"/>
              </w:rPr>
              <w:t>$145,753.07</w:t>
            </w:r>
          </w:p>
        </w:tc>
        <w:tc>
          <w:tcPr>
            <w:tcW w:w="284" w:type="dxa"/>
            <w:tcBorders>
              <w:top w:val="nil"/>
              <w:left w:val="single" w:sz="4" w:space="0" w:color="auto"/>
              <w:bottom w:val="nil"/>
              <w:right w:val="single" w:sz="4" w:space="0" w:color="auto"/>
            </w:tcBorders>
          </w:tcPr>
          <w:p w14:paraId="66A8F460" w14:textId="77777777" w:rsidR="000C1FF8" w:rsidRPr="0022609D" w:rsidRDefault="000C1FF8" w:rsidP="000C1FF8">
            <w:pPr>
              <w:spacing w:before="120" w:after="120"/>
              <w:ind w:left="0"/>
              <w:jc w:val="center"/>
              <w:rPr>
                <w:b/>
                <w:bCs/>
                <w:sz w:val="20"/>
                <w:szCs w:val="28"/>
              </w:rPr>
            </w:pPr>
          </w:p>
        </w:tc>
        <w:tc>
          <w:tcPr>
            <w:tcW w:w="1820" w:type="dxa"/>
            <w:tcBorders>
              <w:top w:val="single" w:sz="4" w:space="0" w:color="auto"/>
              <w:left w:val="single" w:sz="4" w:space="0" w:color="auto"/>
              <w:right w:val="single" w:sz="4" w:space="0" w:color="auto"/>
            </w:tcBorders>
          </w:tcPr>
          <w:p w14:paraId="7AB3F5D7" w14:textId="427F49DF" w:rsidR="000C1FF8" w:rsidRPr="0022609D" w:rsidRDefault="000C1FF8" w:rsidP="000C1FF8">
            <w:pPr>
              <w:spacing w:before="120" w:after="120"/>
              <w:ind w:left="0"/>
              <w:jc w:val="center"/>
              <w:rPr>
                <w:b/>
                <w:bCs/>
                <w:sz w:val="20"/>
                <w:szCs w:val="28"/>
              </w:rPr>
            </w:pPr>
            <w:r w:rsidRPr="0022609D">
              <w:rPr>
                <w:b/>
                <w:bCs/>
                <w:sz w:val="20"/>
                <w:szCs w:val="28"/>
              </w:rPr>
              <w:t>$145,753.07</w:t>
            </w:r>
          </w:p>
        </w:tc>
        <w:tc>
          <w:tcPr>
            <w:tcW w:w="236" w:type="dxa"/>
            <w:tcBorders>
              <w:top w:val="nil"/>
              <w:left w:val="single" w:sz="4" w:space="0" w:color="auto"/>
              <w:bottom w:val="nil"/>
              <w:right w:val="single" w:sz="4" w:space="0" w:color="auto"/>
            </w:tcBorders>
          </w:tcPr>
          <w:p w14:paraId="64EB39AE" w14:textId="77777777" w:rsidR="000C1FF8" w:rsidRPr="0022609D" w:rsidRDefault="000C1FF8" w:rsidP="000C1FF8">
            <w:pPr>
              <w:spacing w:before="120" w:after="120"/>
              <w:ind w:left="0"/>
              <w:jc w:val="center"/>
              <w:rPr>
                <w:b/>
                <w:bCs/>
                <w:sz w:val="20"/>
                <w:szCs w:val="28"/>
              </w:rPr>
            </w:pPr>
          </w:p>
        </w:tc>
        <w:tc>
          <w:tcPr>
            <w:tcW w:w="1887" w:type="dxa"/>
            <w:tcBorders>
              <w:top w:val="single" w:sz="4" w:space="0" w:color="auto"/>
              <w:left w:val="single" w:sz="4" w:space="0" w:color="auto"/>
            </w:tcBorders>
          </w:tcPr>
          <w:p w14:paraId="2F10BCBA" w14:textId="244A15AC" w:rsidR="000C1FF8" w:rsidRPr="0022609D" w:rsidRDefault="000C1FF8" w:rsidP="000C1FF8">
            <w:pPr>
              <w:spacing w:before="120" w:after="120"/>
              <w:ind w:left="0"/>
              <w:jc w:val="center"/>
              <w:rPr>
                <w:b/>
                <w:bCs/>
                <w:sz w:val="20"/>
                <w:szCs w:val="28"/>
              </w:rPr>
            </w:pPr>
            <w:r w:rsidRPr="000C1FF8">
              <w:rPr>
                <w:b/>
                <w:bCs/>
                <w:sz w:val="20"/>
                <w:szCs w:val="28"/>
              </w:rPr>
              <w:t>$61,411.59</w:t>
            </w:r>
          </w:p>
        </w:tc>
      </w:tr>
    </w:tbl>
    <w:p w14:paraId="1943FD28" w14:textId="70CBCC20" w:rsidR="00EE6051" w:rsidRDefault="000B0089" w:rsidP="001E61C9">
      <w:pPr>
        <w:spacing w:before="360"/>
      </w:pPr>
      <w:r w:rsidRPr="006F0B49">
        <w:t>Período de pago que inici</w:t>
      </w:r>
      <w:r w:rsidR="00B52CF3" w:rsidRPr="006F0B49">
        <w:t>ará</w:t>
      </w:r>
      <w:r w:rsidRPr="006F0B49">
        <w:t xml:space="preserve"> a partir del mes de febrero de 2024, en virtud de que el Partido Revolucionario Institucional tiene obligaciones pendientes de ejecución de conformidad con los acuerdos CE/</w:t>
      </w:r>
      <w:r w:rsidR="0051068E" w:rsidRPr="006F0B49">
        <w:t>2022</w:t>
      </w:r>
      <w:r w:rsidR="006F0B49" w:rsidRPr="006F0B49">
        <w:t>/010 y CE/2022/020.</w:t>
      </w:r>
    </w:p>
    <w:p w14:paraId="3BA839E6" w14:textId="0EF6052F" w:rsidR="00B52CF3" w:rsidRDefault="00B52CF3" w:rsidP="00B52CF3">
      <w:pPr>
        <w:pStyle w:val="Ttulo3"/>
        <w:numPr>
          <w:ilvl w:val="0"/>
          <w:numId w:val="5"/>
        </w:numPr>
      </w:pPr>
      <w:r>
        <w:t xml:space="preserve">Partido </w:t>
      </w:r>
      <w:r w:rsidR="00346A93">
        <w:t>Verde Ecologista de México</w:t>
      </w:r>
    </w:p>
    <w:p w14:paraId="3C0C4358" w14:textId="4E3389F2" w:rsidR="002B35C8" w:rsidRDefault="002B35C8" w:rsidP="009D1162">
      <w:pPr>
        <w:spacing w:before="240"/>
      </w:pPr>
      <w:r>
        <w:t>C</w:t>
      </w:r>
      <w:r w:rsidR="005B0B76">
        <w:t xml:space="preserve">onforme </w:t>
      </w:r>
      <w:r w:rsidR="000063C0">
        <w:t xml:space="preserve">a los </w:t>
      </w:r>
      <w:r w:rsidR="005B0B76">
        <w:t>acuerdo</w:t>
      </w:r>
      <w:r w:rsidR="000063C0">
        <w:t>s CE/2020/</w:t>
      </w:r>
      <w:r w:rsidR="003E0E15">
        <w:t>0</w:t>
      </w:r>
      <w:r w:rsidR="000063C0">
        <w:t>05, CE/2021/082, CE/2020/014 y CE/2022/</w:t>
      </w:r>
      <w:r w:rsidR="0051068E">
        <w:t>0</w:t>
      </w:r>
      <w:r w:rsidR="000063C0">
        <w:t>10</w:t>
      </w:r>
      <w:r>
        <w:t xml:space="preserve"> el Partido Verde Ecologista de México cuenta con obligaciones </w:t>
      </w:r>
      <w:r>
        <w:lastRenderedPageBreak/>
        <w:t xml:space="preserve">pendientes de ejecución cuyo cobro concluye en el mes de </w:t>
      </w:r>
      <w:r w:rsidR="009E5993">
        <w:t>marzo</w:t>
      </w:r>
      <w:r>
        <w:t xml:space="preserve"> de 2028, </w:t>
      </w:r>
      <w:r w:rsidR="009745F4">
        <w:t xml:space="preserve">por lo que, </w:t>
      </w:r>
      <w:r>
        <w:t>esta autoridad</w:t>
      </w:r>
      <w:r w:rsidR="002766EF">
        <w:t xml:space="preserve"> considera viable la aplicación del criterio de prelación que señala </w:t>
      </w:r>
      <w:r>
        <w:t>el artículo</w:t>
      </w:r>
      <w:r w:rsidR="002766EF" w:rsidRPr="002766EF">
        <w:t xml:space="preserve"> sexto, apartado B, numeral 1 de los Lineamientos</w:t>
      </w:r>
      <w:r w:rsidR="002766EF">
        <w:t xml:space="preserve">, sin que sea obstáculo que dicho numeral establezca un porcentaje mayor de retención al que prevé el artículo </w:t>
      </w:r>
      <w:r w:rsidR="002766EF" w:rsidRPr="00E72B3D">
        <w:t>23, inciso d), párrafo último de la Ley de Partidos</w:t>
      </w:r>
      <w:r w:rsidR="002766EF">
        <w:t>, pues conforme al principio de jerarquía normativa, es éste último el que debe imperar en la ejecución</w:t>
      </w:r>
      <w:r w:rsidR="00BE0665">
        <w:t xml:space="preserve"> y cobro</w:t>
      </w:r>
      <w:r w:rsidR="002766EF">
        <w:t xml:space="preserve"> de las sanciones</w:t>
      </w:r>
      <w:r w:rsidR="00B463D8">
        <w:t xml:space="preserve"> determinadas por el Consejo General del INE.</w:t>
      </w:r>
    </w:p>
    <w:p w14:paraId="6259BE69" w14:textId="730466D4" w:rsidR="00B463D8" w:rsidRDefault="003528CB" w:rsidP="009D1162">
      <w:pPr>
        <w:spacing w:before="240"/>
      </w:pPr>
      <w:r w:rsidRPr="006334BC">
        <w:t xml:space="preserve">Es por lo que, a partir de los criterios señalados, </w:t>
      </w:r>
      <w:r w:rsidR="0058358F" w:rsidRPr="006334BC">
        <w:t xml:space="preserve">al Partido Verde Ecologista de México se le retendrá la cantidad </w:t>
      </w:r>
      <w:r w:rsidR="0058358F" w:rsidRPr="006334BC">
        <w:rPr>
          <w:bCs/>
        </w:rPr>
        <w:t>de</w:t>
      </w:r>
      <w:r w:rsidR="0058358F" w:rsidRPr="006334BC">
        <w:rPr>
          <w:b/>
          <w:bCs/>
        </w:rPr>
        <w:t xml:space="preserve"> $3,475.20 (tres mil cuatrocientos setenta y cinco pesos 20/100 moneda nacional)</w:t>
      </w:r>
      <w:r w:rsidR="0058358F" w:rsidRPr="006334BC">
        <w:t xml:space="preserve"> </w:t>
      </w:r>
      <w:r w:rsidR="00CA2039" w:rsidRPr="006334BC">
        <w:t xml:space="preserve">en la ministración correspondiente al mes </w:t>
      </w:r>
      <w:r w:rsidR="00CA2039" w:rsidRPr="001B3361">
        <w:rPr>
          <w:b/>
          <w:bCs/>
        </w:rPr>
        <w:t xml:space="preserve">de </w:t>
      </w:r>
      <w:r w:rsidR="009745F4" w:rsidRPr="001B3361">
        <w:rPr>
          <w:b/>
          <w:bCs/>
        </w:rPr>
        <w:t xml:space="preserve">abril </w:t>
      </w:r>
      <w:r w:rsidR="00036479" w:rsidRPr="001B3361">
        <w:rPr>
          <w:b/>
          <w:bCs/>
        </w:rPr>
        <w:t>del año 2028</w:t>
      </w:r>
      <w:r w:rsidR="00036479" w:rsidRPr="006334BC">
        <w:t>, es decir, una vez cubiertas las sanciones establecidas con anterioridad en los acuerdos señalados.</w:t>
      </w:r>
    </w:p>
    <w:p w14:paraId="6BFC2113" w14:textId="2EA3C334" w:rsidR="00653327" w:rsidRDefault="00796F70" w:rsidP="009D1162">
      <w:pPr>
        <w:spacing w:before="240"/>
      </w:pPr>
      <w:r>
        <w:t>Finalmente, es de señalar que, l</w:t>
      </w:r>
      <w:r w:rsidR="00653327" w:rsidRPr="00653327">
        <w:t>a calendarización y las cantidades estipuladas, podrán variar en ejercicios posteriores de acuerdo con el financiamiento público que perc</w:t>
      </w:r>
      <w:r w:rsidR="00653327">
        <w:t>iban los partidos políticos seg</w:t>
      </w:r>
      <w:r w:rsidR="00653327" w:rsidRPr="00653327">
        <w:t>ún el ejercicio anual que corresponda.</w:t>
      </w:r>
    </w:p>
    <w:p w14:paraId="2C49DDEA" w14:textId="6405A425" w:rsidR="00D669D9" w:rsidRDefault="00D669D9" w:rsidP="00D669D9">
      <w:pPr>
        <w:pStyle w:val="Ttulo3"/>
      </w:pPr>
      <w:r>
        <w:t>Ejecución de las multas a cargo del Partido del Trabajo</w:t>
      </w:r>
    </w:p>
    <w:p w14:paraId="02AFA286" w14:textId="043ACBFE" w:rsidR="005272F6" w:rsidRDefault="00D669D9" w:rsidP="006C71B2">
      <w:r>
        <w:t>Ahora bien, considerando que este Consejo Estatal mediante acuerdo CE/2021/092 determinó la pérdida de acreditación ante este órgano electoral de</w:t>
      </w:r>
      <w:r w:rsidR="005272F6">
        <w:t xml:space="preserve">l Partido del Trabajo, </w:t>
      </w:r>
      <w:r>
        <w:t xml:space="preserve">y por ende, no </w:t>
      </w:r>
      <w:r w:rsidR="005272F6">
        <w:t xml:space="preserve">obtuvo </w:t>
      </w:r>
      <w:r>
        <w:t>financiamiento público local</w:t>
      </w:r>
      <w:r w:rsidR="00C36B1F">
        <w:t xml:space="preserve"> para el presente ejercicio</w:t>
      </w:r>
      <w:r>
        <w:t>, la ejecución de las sanciones señaladas en la resolución INE/CG1</w:t>
      </w:r>
      <w:r w:rsidR="005272F6">
        <w:t>10</w:t>
      </w:r>
      <w:r>
        <w:t>/202</w:t>
      </w:r>
      <w:r w:rsidR="005272F6">
        <w:t>2</w:t>
      </w:r>
      <w:r>
        <w:t xml:space="preserve"> queda</w:t>
      </w:r>
      <w:r w:rsidR="00C36B1F">
        <w:t>n</w:t>
      </w:r>
      <w:r>
        <w:t xml:space="preserve"> a cargo de la propia autoridad electoral nacional, ya que se considera como una sanción impuesta en el ámbito federal, de conformidad con el Apartado B, numeral 1, inciso c) del artículo sexto de los Lineamientos. </w:t>
      </w:r>
    </w:p>
    <w:p w14:paraId="4767B7A0" w14:textId="6E9ECAAC" w:rsidR="00425D47" w:rsidRDefault="00425D47" w:rsidP="001748A0">
      <w:pPr>
        <w:ind w:left="0"/>
      </w:pPr>
      <w:bookmarkStart w:id="2" w:name="_GoBack"/>
      <w:bookmarkEnd w:id="2"/>
      <w:r w:rsidRPr="00E1376D">
        <w:t>Sobre la base de las consideraciones señaladas, este Consejo Estatal emite el siguiente:</w:t>
      </w:r>
    </w:p>
    <w:p w14:paraId="70FC5B06" w14:textId="77777777" w:rsidR="00425D47" w:rsidRPr="002344FE" w:rsidRDefault="00425D47" w:rsidP="004E2378">
      <w:pPr>
        <w:pStyle w:val="Ttulo1"/>
      </w:pPr>
      <w:r w:rsidRPr="002344FE">
        <w:t>Acuerdo</w:t>
      </w:r>
    </w:p>
    <w:p w14:paraId="67785995" w14:textId="28FD4EF1" w:rsidR="00CA06BB" w:rsidRDefault="00CA06BB" w:rsidP="008C06B0">
      <w:pPr>
        <w:pStyle w:val="Puntos"/>
        <w:ind w:left="0"/>
        <w:rPr>
          <w:rFonts w:ascii="Arial" w:hAnsi="Arial" w:cs="Arial"/>
          <w:sz w:val="23"/>
          <w:szCs w:val="23"/>
        </w:rPr>
      </w:pPr>
      <w:r w:rsidRPr="00951F91">
        <w:rPr>
          <w:rFonts w:ascii="Arial" w:hAnsi="Arial" w:cs="Arial"/>
          <w:b/>
          <w:bCs/>
          <w:sz w:val="23"/>
          <w:szCs w:val="23"/>
        </w:rPr>
        <w:t xml:space="preserve">Primero. </w:t>
      </w:r>
      <w:r w:rsidRPr="00951F91">
        <w:rPr>
          <w:rFonts w:ascii="Arial" w:hAnsi="Arial" w:cs="Arial"/>
          <w:sz w:val="23"/>
          <w:szCs w:val="23"/>
        </w:rPr>
        <w:t>Por los motivos y consideraciones mencionados en el presente acuerdo, en cumplimiento a la</w:t>
      </w:r>
      <w:r w:rsidR="008C06B0">
        <w:rPr>
          <w:rFonts w:ascii="Arial" w:hAnsi="Arial" w:cs="Arial"/>
          <w:sz w:val="23"/>
          <w:szCs w:val="23"/>
        </w:rPr>
        <w:t xml:space="preserve">s resoluciones </w:t>
      </w:r>
      <w:r w:rsidR="008C06B0" w:rsidRPr="000D3552">
        <w:rPr>
          <w:rFonts w:ascii="Arial" w:hAnsi="Arial" w:cs="Arial"/>
          <w:b/>
          <w:bCs/>
          <w:sz w:val="23"/>
          <w:szCs w:val="23"/>
        </w:rPr>
        <w:t>INE/CG108/2022, INE/CG109/2022, INE/CG110/2022, INE/CG111/2022 e INE/CG112/2022</w:t>
      </w:r>
      <w:r w:rsidR="008C06B0">
        <w:rPr>
          <w:rFonts w:ascii="Arial" w:hAnsi="Arial" w:cs="Arial"/>
          <w:sz w:val="23"/>
          <w:szCs w:val="23"/>
        </w:rPr>
        <w:t xml:space="preserve"> </w:t>
      </w:r>
      <w:r w:rsidRPr="00951F91">
        <w:rPr>
          <w:rFonts w:ascii="Arial" w:hAnsi="Arial" w:cs="Arial"/>
          <w:sz w:val="23"/>
          <w:szCs w:val="23"/>
        </w:rPr>
        <w:t>aprobada</w:t>
      </w:r>
      <w:r w:rsidR="008C06B0">
        <w:rPr>
          <w:rFonts w:ascii="Arial" w:hAnsi="Arial" w:cs="Arial"/>
          <w:sz w:val="23"/>
          <w:szCs w:val="23"/>
        </w:rPr>
        <w:t>s</w:t>
      </w:r>
      <w:r w:rsidRPr="00951F91">
        <w:rPr>
          <w:rFonts w:ascii="Arial" w:hAnsi="Arial" w:cs="Arial"/>
          <w:sz w:val="23"/>
          <w:szCs w:val="23"/>
        </w:rPr>
        <w:t xml:space="preserve"> por el Consejo General del INE</w:t>
      </w:r>
      <w:r w:rsidR="008C06B0">
        <w:rPr>
          <w:rFonts w:ascii="Arial" w:hAnsi="Arial" w:cs="Arial"/>
          <w:sz w:val="23"/>
          <w:szCs w:val="23"/>
        </w:rPr>
        <w:t xml:space="preserve">, en virtud del </w:t>
      </w:r>
      <w:r w:rsidR="008C06B0" w:rsidRPr="008C06B0">
        <w:rPr>
          <w:rFonts w:ascii="Arial" w:hAnsi="Arial" w:cs="Arial"/>
          <w:sz w:val="23"/>
          <w:szCs w:val="23"/>
        </w:rPr>
        <w:t xml:space="preserve">dictamen consolidado INE/CG106/2022 relacionado con la revisión a los </w:t>
      </w:r>
      <w:r w:rsidR="008C06B0" w:rsidRPr="008C06B0">
        <w:rPr>
          <w:rFonts w:ascii="Arial" w:hAnsi="Arial" w:cs="Arial"/>
          <w:sz w:val="23"/>
          <w:szCs w:val="23"/>
        </w:rPr>
        <w:lastRenderedPageBreak/>
        <w:t>informes anuales de los ingresos y gastos que presentaron los partidos políticos nacionales y locales</w:t>
      </w:r>
      <w:r w:rsidR="000D3552">
        <w:rPr>
          <w:rFonts w:ascii="Arial" w:hAnsi="Arial" w:cs="Arial"/>
          <w:sz w:val="23"/>
          <w:szCs w:val="23"/>
        </w:rPr>
        <w:t xml:space="preserve"> </w:t>
      </w:r>
      <w:r w:rsidR="008C06B0" w:rsidRPr="008C06B0">
        <w:rPr>
          <w:rFonts w:ascii="Arial" w:hAnsi="Arial" w:cs="Arial"/>
          <w:sz w:val="23"/>
          <w:szCs w:val="23"/>
        </w:rPr>
        <w:t>correspondiente al ejercicio 2020</w:t>
      </w:r>
      <w:r w:rsidR="008C06B0">
        <w:rPr>
          <w:rFonts w:ascii="Arial" w:hAnsi="Arial" w:cs="Arial"/>
          <w:sz w:val="23"/>
          <w:szCs w:val="23"/>
        </w:rPr>
        <w:t xml:space="preserve">, </w:t>
      </w:r>
      <w:r w:rsidRPr="00951F91">
        <w:rPr>
          <w:rFonts w:ascii="Arial" w:hAnsi="Arial" w:cs="Arial"/>
          <w:sz w:val="23"/>
          <w:szCs w:val="23"/>
        </w:rPr>
        <w:t xml:space="preserve">se ordena la ejecución de las multas impuestas a los partidos políticos: </w:t>
      </w:r>
      <w:r w:rsidRPr="000D3552">
        <w:rPr>
          <w:rFonts w:ascii="Arial" w:hAnsi="Arial" w:cs="Arial"/>
          <w:b/>
          <w:bCs/>
          <w:sz w:val="23"/>
          <w:szCs w:val="23"/>
        </w:rPr>
        <w:t>Revolucionario Institucional, de la Revolución Democrática, Verde Ecologista de México y Morena</w:t>
      </w:r>
      <w:r w:rsidRPr="00951F91">
        <w:rPr>
          <w:rFonts w:ascii="Arial" w:hAnsi="Arial" w:cs="Arial"/>
          <w:sz w:val="23"/>
          <w:szCs w:val="23"/>
        </w:rPr>
        <w:t>, conforme a los montos que a continuación se detallan:</w:t>
      </w:r>
    </w:p>
    <w:tbl>
      <w:tblPr>
        <w:tblStyle w:val="Tablaconcuadrcula"/>
        <w:tblW w:w="0" w:type="auto"/>
        <w:tblLook w:val="04A0" w:firstRow="1" w:lastRow="0" w:firstColumn="1" w:lastColumn="0" w:noHBand="0" w:noVBand="1"/>
      </w:tblPr>
      <w:tblGrid>
        <w:gridCol w:w="4248"/>
        <w:gridCol w:w="2268"/>
        <w:gridCol w:w="2312"/>
      </w:tblGrid>
      <w:tr w:rsidR="00471F26" w14:paraId="18D11C52" w14:textId="77777777" w:rsidTr="000F410A">
        <w:tc>
          <w:tcPr>
            <w:tcW w:w="4248" w:type="dxa"/>
            <w:shd w:val="clear" w:color="auto" w:fill="993366"/>
            <w:vAlign w:val="center"/>
          </w:tcPr>
          <w:p w14:paraId="67059FB9" w14:textId="7DD7B898" w:rsidR="00471F26" w:rsidRPr="000F410A" w:rsidRDefault="00471F26" w:rsidP="00471F26">
            <w:pPr>
              <w:pStyle w:val="Puntos"/>
              <w:spacing w:before="120" w:after="120"/>
              <w:ind w:left="0"/>
              <w:jc w:val="center"/>
              <w:rPr>
                <w:rFonts w:ascii="Arial" w:hAnsi="Arial" w:cs="Arial"/>
                <w:b/>
                <w:bCs/>
                <w:color w:val="FFFFFF" w:themeColor="background1"/>
                <w:sz w:val="20"/>
                <w:szCs w:val="20"/>
              </w:rPr>
            </w:pPr>
            <w:r w:rsidRPr="000F410A">
              <w:rPr>
                <w:rFonts w:ascii="Arial" w:hAnsi="Arial" w:cs="Arial"/>
                <w:b/>
                <w:bCs/>
                <w:color w:val="FFFFFF" w:themeColor="background1"/>
                <w:sz w:val="20"/>
                <w:szCs w:val="20"/>
              </w:rPr>
              <w:t>Partido Político</w:t>
            </w:r>
          </w:p>
        </w:tc>
        <w:tc>
          <w:tcPr>
            <w:tcW w:w="2268" w:type="dxa"/>
            <w:shd w:val="clear" w:color="auto" w:fill="993366"/>
            <w:vAlign w:val="center"/>
          </w:tcPr>
          <w:p w14:paraId="5DCD651B" w14:textId="48864CCE" w:rsidR="00471F26" w:rsidRPr="000F410A" w:rsidRDefault="00471F26" w:rsidP="00471F26">
            <w:pPr>
              <w:pStyle w:val="Puntos"/>
              <w:spacing w:before="120" w:after="120"/>
              <w:ind w:left="0"/>
              <w:jc w:val="center"/>
              <w:rPr>
                <w:rFonts w:ascii="Arial" w:hAnsi="Arial" w:cs="Arial"/>
                <w:b/>
                <w:bCs/>
                <w:color w:val="FFFFFF" w:themeColor="background1"/>
                <w:sz w:val="20"/>
                <w:szCs w:val="20"/>
              </w:rPr>
            </w:pPr>
            <w:r w:rsidRPr="000F410A">
              <w:rPr>
                <w:rFonts w:ascii="Arial" w:hAnsi="Arial" w:cs="Arial"/>
                <w:b/>
                <w:bCs/>
                <w:color w:val="FFFFFF" w:themeColor="background1"/>
                <w:sz w:val="20"/>
                <w:szCs w:val="20"/>
              </w:rPr>
              <w:t>Resolución</w:t>
            </w:r>
          </w:p>
        </w:tc>
        <w:tc>
          <w:tcPr>
            <w:tcW w:w="2312" w:type="dxa"/>
            <w:shd w:val="clear" w:color="auto" w:fill="993366"/>
            <w:vAlign w:val="center"/>
          </w:tcPr>
          <w:p w14:paraId="2BACA20A" w14:textId="2B63F8C2" w:rsidR="00471F26" w:rsidRPr="000F410A" w:rsidRDefault="00E83E2D" w:rsidP="00471F26">
            <w:pPr>
              <w:pStyle w:val="Puntos"/>
              <w:spacing w:before="120" w:after="120"/>
              <w:ind w:left="0"/>
              <w:jc w:val="center"/>
              <w:rPr>
                <w:rFonts w:ascii="Arial" w:hAnsi="Arial" w:cs="Arial"/>
                <w:b/>
                <w:bCs/>
                <w:color w:val="FFFFFF" w:themeColor="background1"/>
                <w:sz w:val="20"/>
                <w:szCs w:val="20"/>
              </w:rPr>
            </w:pPr>
            <w:r>
              <w:rPr>
                <w:rFonts w:ascii="Arial" w:hAnsi="Arial" w:cs="Arial"/>
                <w:b/>
                <w:bCs/>
                <w:color w:val="FFFFFF" w:themeColor="background1"/>
                <w:sz w:val="20"/>
                <w:szCs w:val="20"/>
              </w:rPr>
              <w:t>Sanción</w:t>
            </w:r>
            <w:r w:rsidR="00471F26" w:rsidRPr="000F410A">
              <w:rPr>
                <w:rFonts w:ascii="Arial" w:hAnsi="Arial" w:cs="Arial"/>
                <w:b/>
                <w:bCs/>
                <w:color w:val="FFFFFF" w:themeColor="background1"/>
                <w:sz w:val="20"/>
                <w:szCs w:val="20"/>
              </w:rPr>
              <w:t xml:space="preserve"> total</w:t>
            </w:r>
          </w:p>
        </w:tc>
      </w:tr>
      <w:tr w:rsidR="00471F26" w14:paraId="78DC544B" w14:textId="77777777" w:rsidTr="00471F26">
        <w:tc>
          <w:tcPr>
            <w:tcW w:w="4248" w:type="dxa"/>
            <w:vAlign w:val="center"/>
          </w:tcPr>
          <w:p w14:paraId="12510E8B" w14:textId="730E5657" w:rsidR="00471F26" w:rsidRPr="00E161D9" w:rsidRDefault="00471F26" w:rsidP="00471F26">
            <w:pPr>
              <w:pStyle w:val="Puntos"/>
              <w:spacing w:before="120" w:after="120"/>
              <w:ind w:left="0"/>
              <w:rPr>
                <w:rFonts w:ascii="Arial" w:hAnsi="Arial" w:cs="Arial"/>
                <w:b/>
                <w:bCs/>
                <w:sz w:val="20"/>
                <w:szCs w:val="20"/>
              </w:rPr>
            </w:pPr>
            <w:r w:rsidRPr="00E161D9">
              <w:rPr>
                <w:rFonts w:ascii="Arial" w:hAnsi="Arial" w:cs="Arial"/>
                <w:b/>
                <w:bCs/>
                <w:sz w:val="20"/>
                <w:szCs w:val="20"/>
              </w:rPr>
              <w:t>Partido Revolucionario Institucional</w:t>
            </w:r>
          </w:p>
        </w:tc>
        <w:tc>
          <w:tcPr>
            <w:tcW w:w="2268" w:type="dxa"/>
            <w:vAlign w:val="center"/>
          </w:tcPr>
          <w:p w14:paraId="4AA795CE" w14:textId="0A5CA070" w:rsidR="00471F26" w:rsidRPr="00E161D9" w:rsidRDefault="00471F26" w:rsidP="00AB7AD0">
            <w:pPr>
              <w:pStyle w:val="Puntos"/>
              <w:spacing w:before="120" w:after="120"/>
              <w:ind w:left="0"/>
              <w:jc w:val="center"/>
              <w:rPr>
                <w:rFonts w:ascii="Arial" w:hAnsi="Arial" w:cs="Arial"/>
                <w:b/>
                <w:bCs/>
                <w:sz w:val="20"/>
                <w:szCs w:val="20"/>
              </w:rPr>
            </w:pPr>
            <w:r w:rsidRPr="00E161D9">
              <w:rPr>
                <w:rFonts w:ascii="Arial" w:hAnsi="Arial" w:cs="Arial"/>
                <w:b/>
                <w:bCs/>
                <w:sz w:val="20"/>
                <w:szCs w:val="20"/>
              </w:rPr>
              <w:t>INE/CG108/2022</w:t>
            </w:r>
          </w:p>
        </w:tc>
        <w:tc>
          <w:tcPr>
            <w:tcW w:w="2312" w:type="dxa"/>
            <w:vAlign w:val="center"/>
          </w:tcPr>
          <w:p w14:paraId="1A2AD93A" w14:textId="46BF904E" w:rsidR="00471F26" w:rsidRPr="00E161D9" w:rsidRDefault="00471F26" w:rsidP="00471F26">
            <w:pPr>
              <w:pStyle w:val="Puntos"/>
              <w:spacing w:before="120" w:after="120"/>
              <w:ind w:left="0"/>
              <w:jc w:val="right"/>
              <w:rPr>
                <w:rFonts w:ascii="Arial" w:hAnsi="Arial" w:cs="Arial"/>
                <w:b/>
                <w:bCs/>
                <w:sz w:val="20"/>
                <w:szCs w:val="20"/>
              </w:rPr>
            </w:pPr>
            <w:r w:rsidRPr="00E161D9">
              <w:rPr>
                <w:rFonts w:ascii="Arial" w:hAnsi="Arial" w:cs="Arial"/>
                <w:b/>
                <w:bCs/>
                <w:sz w:val="20"/>
                <w:szCs w:val="20"/>
              </w:rPr>
              <w:t>$1’081,683.08</w:t>
            </w:r>
          </w:p>
        </w:tc>
      </w:tr>
      <w:tr w:rsidR="00471F26" w14:paraId="52A7CFD3" w14:textId="77777777" w:rsidTr="00471F26">
        <w:tc>
          <w:tcPr>
            <w:tcW w:w="4248" w:type="dxa"/>
            <w:vAlign w:val="center"/>
          </w:tcPr>
          <w:p w14:paraId="4CE7B142" w14:textId="44B7C79E" w:rsidR="00471F26" w:rsidRPr="00E161D9" w:rsidRDefault="00471F26" w:rsidP="00471F26">
            <w:pPr>
              <w:pStyle w:val="Puntos"/>
              <w:spacing w:before="120" w:after="120"/>
              <w:ind w:left="0"/>
              <w:rPr>
                <w:rFonts w:ascii="Arial" w:hAnsi="Arial" w:cs="Arial"/>
                <w:b/>
                <w:bCs/>
                <w:sz w:val="20"/>
                <w:szCs w:val="20"/>
              </w:rPr>
            </w:pPr>
            <w:r w:rsidRPr="00E161D9">
              <w:rPr>
                <w:rFonts w:ascii="Arial" w:hAnsi="Arial" w:cs="Arial"/>
                <w:b/>
                <w:bCs/>
                <w:sz w:val="20"/>
                <w:szCs w:val="20"/>
              </w:rPr>
              <w:t>Partido de la Revolución Democrática</w:t>
            </w:r>
          </w:p>
        </w:tc>
        <w:tc>
          <w:tcPr>
            <w:tcW w:w="2268" w:type="dxa"/>
            <w:vAlign w:val="center"/>
          </w:tcPr>
          <w:p w14:paraId="6F882244" w14:textId="3A073A89" w:rsidR="00471F26" w:rsidRPr="00E161D9" w:rsidRDefault="00471F26" w:rsidP="000068DE">
            <w:pPr>
              <w:pStyle w:val="Puntos"/>
              <w:spacing w:before="120" w:after="120"/>
              <w:ind w:left="0"/>
              <w:jc w:val="center"/>
              <w:rPr>
                <w:rFonts w:ascii="Arial" w:hAnsi="Arial" w:cs="Arial"/>
                <w:b/>
                <w:bCs/>
                <w:sz w:val="20"/>
                <w:szCs w:val="20"/>
              </w:rPr>
            </w:pPr>
            <w:r w:rsidRPr="00E161D9">
              <w:rPr>
                <w:rFonts w:ascii="Arial" w:hAnsi="Arial" w:cs="Arial"/>
                <w:b/>
                <w:bCs/>
                <w:sz w:val="20"/>
                <w:szCs w:val="20"/>
              </w:rPr>
              <w:t>INE/CG109/2022</w:t>
            </w:r>
          </w:p>
        </w:tc>
        <w:tc>
          <w:tcPr>
            <w:tcW w:w="2312" w:type="dxa"/>
            <w:vAlign w:val="center"/>
          </w:tcPr>
          <w:p w14:paraId="54977D1E" w14:textId="2C9E0DC8" w:rsidR="00471F26" w:rsidRPr="00E161D9" w:rsidRDefault="00471F26" w:rsidP="00471F26">
            <w:pPr>
              <w:pStyle w:val="Puntos"/>
              <w:spacing w:before="120" w:after="120"/>
              <w:ind w:left="0"/>
              <w:jc w:val="right"/>
              <w:rPr>
                <w:rFonts w:ascii="Arial" w:hAnsi="Arial" w:cs="Arial"/>
                <w:b/>
                <w:bCs/>
                <w:sz w:val="20"/>
                <w:szCs w:val="20"/>
              </w:rPr>
            </w:pPr>
            <w:r w:rsidRPr="00E161D9">
              <w:rPr>
                <w:rFonts w:ascii="Arial" w:hAnsi="Arial" w:cs="Arial"/>
                <w:b/>
                <w:bCs/>
                <w:sz w:val="20"/>
                <w:szCs w:val="20"/>
              </w:rPr>
              <w:t>$151,168.80</w:t>
            </w:r>
          </w:p>
        </w:tc>
      </w:tr>
      <w:tr w:rsidR="00471F26" w14:paraId="07F85E2B" w14:textId="77777777" w:rsidTr="00471F26">
        <w:tc>
          <w:tcPr>
            <w:tcW w:w="4248" w:type="dxa"/>
            <w:vAlign w:val="center"/>
          </w:tcPr>
          <w:p w14:paraId="467321B9" w14:textId="7BAE258F" w:rsidR="00471F26" w:rsidRPr="00E161D9" w:rsidRDefault="00471F26" w:rsidP="00471F26">
            <w:pPr>
              <w:pStyle w:val="Puntos"/>
              <w:spacing w:before="120" w:after="120"/>
              <w:ind w:left="0"/>
              <w:rPr>
                <w:rFonts w:ascii="Arial" w:hAnsi="Arial" w:cs="Arial"/>
                <w:b/>
                <w:bCs/>
                <w:sz w:val="20"/>
                <w:szCs w:val="20"/>
              </w:rPr>
            </w:pPr>
            <w:r w:rsidRPr="00E161D9">
              <w:rPr>
                <w:rFonts w:ascii="Arial" w:hAnsi="Arial" w:cs="Arial"/>
                <w:b/>
                <w:bCs/>
                <w:sz w:val="20"/>
                <w:szCs w:val="20"/>
              </w:rPr>
              <w:t>Partido Verde Ecologista de México</w:t>
            </w:r>
          </w:p>
        </w:tc>
        <w:tc>
          <w:tcPr>
            <w:tcW w:w="2268" w:type="dxa"/>
            <w:vAlign w:val="center"/>
          </w:tcPr>
          <w:p w14:paraId="49E1A1F4" w14:textId="5F2EEA0D" w:rsidR="00471F26" w:rsidRPr="00E161D9" w:rsidRDefault="00471F26" w:rsidP="000068DE">
            <w:pPr>
              <w:pStyle w:val="Puntos"/>
              <w:spacing w:before="120" w:after="120"/>
              <w:ind w:left="0"/>
              <w:jc w:val="center"/>
              <w:rPr>
                <w:rFonts w:ascii="Arial" w:hAnsi="Arial" w:cs="Arial"/>
                <w:b/>
                <w:bCs/>
                <w:sz w:val="20"/>
                <w:szCs w:val="20"/>
              </w:rPr>
            </w:pPr>
            <w:r w:rsidRPr="00E161D9">
              <w:rPr>
                <w:rFonts w:ascii="Arial" w:hAnsi="Arial" w:cs="Arial"/>
                <w:b/>
                <w:bCs/>
                <w:sz w:val="20"/>
                <w:szCs w:val="20"/>
              </w:rPr>
              <w:t>INE/CG111/2022</w:t>
            </w:r>
          </w:p>
        </w:tc>
        <w:tc>
          <w:tcPr>
            <w:tcW w:w="2312" w:type="dxa"/>
            <w:vAlign w:val="center"/>
          </w:tcPr>
          <w:p w14:paraId="700EEF1F" w14:textId="669BBDB4" w:rsidR="00471F26" w:rsidRPr="00E161D9" w:rsidRDefault="00471F26" w:rsidP="00471F26">
            <w:pPr>
              <w:pStyle w:val="Puntos"/>
              <w:spacing w:before="120" w:after="120"/>
              <w:ind w:left="0"/>
              <w:jc w:val="right"/>
              <w:rPr>
                <w:rFonts w:ascii="Arial" w:hAnsi="Arial" w:cs="Arial"/>
                <w:b/>
                <w:bCs/>
                <w:sz w:val="20"/>
                <w:szCs w:val="20"/>
              </w:rPr>
            </w:pPr>
            <w:r w:rsidRPr="00E161D9">
              <w:rPr>
                <w:rFonts w:ascii="Arial" w:hAnsi="Arial" w:cs="Arial"/>
                <w:b/>
                <w:bCs/>
                <w:sz w:val="20"/>
                <w:szCs w:val="20"/>
              </w:rPr>
              <w:t>$3,475.20</w:t>
            </w:r>
          </w:p>
        </w:tc>
      </w:tr>
      <w:tr w:rsidR="00471F26" w14:paraId="6CB61757" w14:textId="77777777" w:rsidTr="00471F26">
        <w:tc>
          <w:tcPr>
            <w:tcW w:w="4248" w:type="dxa"/>
            <w:vAlign w:val="center"/>
          </w:tcPr>
          <w:p w14:paraId="66BF65FA" w14:textId="69683FE2" w:rsidR="00471F26" w:rsidRPr="00E161D9" w:rsidRDefault="00471F26" w:rsidP="00471F26">
            <w:pPr>
              <w:pStyle w:val="Puntos"/>
              <w:spacing w:before="120" w:after="120"/>
              <w:ind w:left="0"/>
              <w:rPr>
                <w:rFonts w:ascii="Arial" w:hAnsi="Arial" w:cs="Arial"/>
                <w:b/>
                <w:bCs/>
                <w:sz w:val="20"/>
                <w:szCs w:val="20"/>
              </w:rPr>
            </w:pPr>
            <w:r w:rsidRPr="00E161D9">
              <w:rPr>
                <w:rFonts w:ascii="Arial" w:hAnsi="Arial" w:cs="Arial"/>
                <w:b/>
                <w:bCs/>
                <w:sz w:val="20"/>
                <w:szCs w:val="20"/>
              </w:rPr>
              <w:t>Partido Morena</w:t>
            </w:r>
          </w:p>
        </w:tc>
        <w:tc>
          <w:tcPr>
            <w:tcW w:w="2268" w:type="dxa"/>
            <w:vAlign w:val="center"/>
          </w:tcPr>
          <w:p w14:paraId="57B8191C" w14:textId="02F77519" w:rsidR="00471F26" w:rsidRPr="00E161D9" w:rsidRDefault="00471F26" w:rsidP="000068DE">
            <w:pPr>
              <w:pStyle w:val="Puntos"/>
              <w:spacing w:before="120" w:after="120"/>
              <w:ind w:left="0"/>
              <w:jc w:val="center"/>
              <w:rPr>
                <w:rFonts w:ascii="Arial" w:hAnsi="Arial" w:cs="Arial"/>
                <w:b/>
                <w:bCs/>
                <w:sz w:val="20"/>
                <w:szCs w:val="20"/>
              </w:rPr>
            </w:pPr>
            <w:r w:rsidRPr="00E161D9">
              <w:rPr>
                <w:rFonts w:ascii="Arial" w:hAnsi="Arial" w:cs="Arial"/>
                <w:b/>
                <w:bCs/>
                <w:sz w:val="20"/>
                <w:szCs w:val="20"/>
              </w:rPr>
              <w:t>INE/CG113/2022</w:t>
            </w:r>
          </w:p>
        </w:tc>
        <w:tc>
          <w:tcPr>
            <w:tcW w:w="2312" w:type="dxa"/>
            <w:vAlign w:val="center"/>
          </w:tcPr>
          <w:p w14:paraId="4CA83996" w14:textId="16727886" w:rsidR="00471F26" w:rsidRPr="00E161D9" w:rsidRDefault="00471F26" w:rsidP="00471F26">
            <w:pPr>
              <w:pStyle w:val="Puntos"/>
              <w:spacing w:before="120" w:after="120"/>
              <w:ind w:left="0"/>
              <w:jc w:val="right"/>
              <w:rPr>
                <w:rFonts w:ascii="Arial" w:hAnsi="Arial" w:cs="Arial"/>
                <w:b/>
                <w:bCs/>
                <w:sz w:val="20"/>
                <w:szCs w:val="20"/>
              </w:rPr>
            </w:pPr>
            <w:r w:rsidRPr="00E161D9">
              <w:rPr>
                <w:rFonts w:ascii="Arial" w:hAnsi="Arial" w:cs="Arial"/>
                <w:b/>
                <w:bCs/>
                <w:sz w:val="20"/>
                <w:szCs w:val="20"/>
              </w:rPr>
              <w:t>$31,842.12</w:t>
            </w:r>
          </w:p>
        </w:tc>
      </w:tr>
    </w:tbl>
    <w:p w14:paraId="4EFA5C59" w14:textId="16D5BADA" w:rsidR="00CA06BB" w:rsidRPr="00951F91" w:rsidRDefault="00CA06BB" w:rsidP="006C33A5">
      <w:pPr>
        <w:pStyle w:val="Puntos"/>
        <w:spacing w:before="240"/>
        <w:ind w:left="0"/>
        <w:rPr>
          <w:rFonts w:ascii="Arial" w:hAnsi="Arial" w:cs="Arial"/>
          <w:sz w:val="23"/>
          <w:szCs w:val="23"/>
        </w:rPr>
      </w:pPr>
      <w:r w:rsidRPr="00951F91">
        <w:rPr>
          <w:rFonts w:ascii="Arial" w:hAnsi="Arial" w:cs="Arial"/>
          <w:sz w:val="23"/>
          <w:szCs w:val="23"/>
        </w:rPr>
        <w:t>Cantidades que serán deducidas del financiamiento público destinado para el sostenimiento de actividades ordinarias permanentes correspondiente a cada partido político, conforme a los términos y porcentajes establecidos en la</w:t>
      </w:r>
      <w:r w:rsidR="006E2227">
        <w:rPr>
          <w:rFonts w:ascii="Arial" w:hAnsi="Arial" w:cs="Arial"/>
          <w:sz w:val="23"/>
          <w:szCs w:val="23"/>
        </w:rPr>
        <w:t>s</w:t>
      </w:r>
      <w:r w:rsidRPr="00951F91">
        <w:rPr>
          <w:rFonts w:ascii="Arial" w:hAnsi="Arial" w:cs="Arial"/>
          <w:sz w:val="23"/>
          <w:szCs w:val="23"/>
        </w:rPr>
        <w:t xml:space="preserve"> </w:t>
      </w:r>
      <w:r w:rsidR="006E2227">
        <w:rPr>
          <w:rFonts w:ascii="Arial" w:hAnsi="Arial" w:cs="Arial"/>
          <w:sz w:val="23"/>
          <w:szCs w:val="23"/>
        </w:rPr>
        <w:t xml:space="preserve">resoluciones </w:t>
      </w:r>
      <w:r w:rsidRPr="00951F91">
        <w:rPr>
          <w:rFonts w:ascii="Arial" w:hAnsi="Arial" w:cs="Arial"/>
          <w:sz w:val="23"/>
          <w:szCs w:val="23"/>
        </w:rPr>
        <w:t>mencionada</w:t>
      </w:r>
      <w:r w:rsidR="006E2227">
        <w:rPr>
          <w:rFonts w:ascii="Arial" w:hAnsi="Arial" w:cs="Arial"/>
          <w:sz w:val="23"/>
          <w:szCs w:val="23"/>
        </w:rPr>
        <w:t>s</w:t>
      </w:r>
      <w:r w:rsidRPr="00951F91">
        <w:rPr>
          <w:rFonts w:ascii="Arial" w:hAnsi="Arial" w:cs="Arial"/>
          <w:sz w:val="23"/>
          <w:szCs w:val="23"/>
        </w:rPr>
        <w:t xml:space="preserve"> y de acuerdo con </w:t>
      </w:r>
      <w:r w:rsidR="009263E1">
        <w:rPr>
          <w:rFonts w:ascii="Arial" w:hAnsi="Arial" w:cs="Arial"/>
          <w:sz w:val="23"/>
          <w:szCs w:val="23"/>
        </w:rPr>
        <w:t xml:space="preserve">los períodos </w:t>
      </w:r>
      <w:r w:rsidRPr="00951F91">
        <w:rPr>
          <w:rFonts w:ascii="Arial" w:hAnsi="Arial" w:cs="Arial"/>
          <w:sz w:val="23"/>
          <w:szCs w:val="23"/>
        </w:rPr>
        <w:t xml:space="preserve">y </w:t>
      </w:r>
      <w:r w:rsidR="009263E1">
        <w:rPr>
          <w:rFonts w:ascii="Arial" w:hAnsi="Arial" w:cs="Arial"/>
          <w:sz w:val="23"/>
          <w:szCs w:val="23"/>
        </w:rPr>
        <w:t xml:space="preserve">criterios señalados </w:t>
      </w:r>
      <w:r w:rsidRPr="00951F91">
        <w:rPr>
          <w:rFonts w:ascii="Arial" w:hAnsi="Arial" w:cs="Arial"/>
          <w:sz w:val="23"/>
          <w:szCs w:val="23"/>
        </w:rPr>
        <w:t>en el presente acuerdo.</w:t>
      </w:r>
    </w:p>
    <w:p w14:paraId="75B5AED3" w14:textId="7B4200D6" w:rsidR="00CA06BB" w:rsidRPr="00951F91" w:rsidRDefault="00CA06BB" w:rsidP="00951F91">
      <w:pPr>
        <w:pStyle w:val="Puntos"/>
        <w:ind w:left="0"/>
        <w:rPr>
          <w:rFonts w:ascii="Arial" w:hAnsi="Arial" w:cs="Arial"/>
          <w:sz w:val="23"/>
          <w:szCs w:val="23"/>
        </w:rPr>
      </w:pPr>
      <w:r w:rsidRPr="00951F91">
        <w:rPr>
          <w:rFonts w:ascii="Arial" w:hAnsi="Arial" w:cs="Arial"/>
          <w:b/>
          <w:bCs/>
          <w:sz w:val="23"/>
          <w:szCs w:val="23"/>
        </w:rPr>
        <w:t xml:space="preserve">Segundo. </w:t>
      </w:r>
      <w:r w:rsidRPr="00951F91">
        <w:rPr>
          <w:rFonts w:ascii="Arial" w:hAnsi="Arial" w:cs="Arial"/>
          <w:sz w:val="23"/>
          <w:szCs w:val="23"/>
        </w:rPr>
        <w:t xml:space="preserve">Se instruye a la Dirección Ejecutiva de Organización Electoral y Educación Cívica, para que en coordinación con la Dirección Ejecutiva de Administración de este Instituto Electoral, se retengan los montos establecidos en el presente acuerdo de las ministraciones que por concepto de financiamiento público local para actividades ordinarias permanentes corresponde a los Partidos Políticos: </w:t>
      </w:r>
      <w:r w:rsidRPr="00632E40">
        <w:rPr>
          <w:rFonts w:ascii="Arial" w:hAnsi="Arial" w:cs="Arial"/>
          <w:b/>
          <w:bCs/>
          <w:sz w:val="23"/>
          <w:szCs w:val="23"/>
        </w:rPr>
        <w:t>Revolucionario Institucional, de la Revolución Democrática, Verde Ecologista de México y Morena</w:t>
      </w:r>
      <w:r w:rsidRPr="00951F91">
        <w:rPr>
          <w:rFonts w:ascii="Arial" w:hAnsi="Arial" w:cs="Arial"/>
          <w:sz w:val="23"/>
          <w:szCs w:val="23"/>
        </w:rPr>
        <w:t>, de conformidad con el presente acuerdo.</w:t>
      </w:r>
    </w:p>
    <w:p w14:paraId="5600D574" w14:textId="207A3E1F" w:rsidR="00CA06BB" w:rsidRPr="00951F91" w:rsidRDefault="00CA06BB" w:rsidP="00AE643F">
      <w:pPr>
        <w:pStyle w:val="Puntos"/>
        <w:ind w:left="0"/>
        <w:rPr>
          <w:rFonts w:ascii="Arial" w:hAnsi="Arial" w:cs="Arial"/>
          <w:sz w:val="23"/>
          <w:szCs w:val="23"/>
        </w:rPr>
      </w:pPr>
      <w:r w:rsidRPr="00951F91">
        <w:rPr>
          <w:rFonts w:ascii="Arial" w:hAnsi="Arial" w:cs="Arial"/>
          <w:b/>
          <w:bCs/>
          <w:sz w:val="23"/>
          <w:szCs w:val="23"/>
        </w:rPr>
        <w:t xml:space="preserve">Tercero. </w:t>
      </w:r>
      <w:r w:rsidRPr="00951F91">
        <w:rPr>
          <w:rFonts w:ascii="Arial" w:hAnsi="Arial" w:cs="Arial"/>
          <w:sz w:val="23"/>
          <w:szCs w:val="23"/>
        </w:rPr>
        <w:t xml:space="preserve">Se instruye al Titular del Órgano de Fiscalización de este Instituto Electoral y a la Dirección Ejecutiva de Administración, para que, en caso de que existan multas impuestas por este organismo electoral pendientes de ejecución, </w:t>
      </w:r>
      <w:r w:rsidR="001E3D26">
        <w:rPr>
          <w:rFonts w:ascii="Arial" w:hAnsi="Arial" w:cs="Arial"/>
          <w:sz w:val="23"/>
          <w:szCs w:val="23"/>
        </w:rPr>
        <w:t xml:space="preserve">y en su </w:t>
      </w:r>
      <w:r w:rsidR="00A6609C">
        <w:rPr>
          <w:rFonts w:ascii="Arial" w:hAnsi="Arial" w:cs="Arial"/>
          <w:sz w:val="23"/>
          <w:szCs w:val="23"/>
        </w:rPr>
        <w:t>oportunidad</w:t>
      </w:r>
      <w:r w:rsidR="001E3D26">
        <w:rPr>
          <w:rFonts w:ascii="Arial" w:hAnsi="Arial" w:cs="Arial"/>
          <w:sz w:val="23"/>
          <w:szCs w:val="23"/>
        </w:rPr>
        <w:t xml:space="preserve">, conforme a la determinación del financiamiento público local del ejercicio </w:t>
      </w:r>
      <w:r w:rsidR="00F727FE">
        <w:rPr>
          <w:rFonts w:ascii="Arial" w:hAnsi="Arial" w:cs="Arial"/>
          <w:sz w:val="23"/>
          <w:szCs w:val="23"/>
        </w:rPr>
        <w:t>que corresponda</w:t>
      </w:r>
      <w:r w:rsidR="001E3D26">
        <w:rPr>
          <w:rFonts w:ascii="Arial" w:hAnsi="Arial" w:cs="Arial"/>
          <w:sz w:val="23"/>
          <w:szCs w:val="23"/>
        </w:rPr>
        <w:t xml:space="preserve">, </w:t>
      </w:r>
      <w:r w:rsidR="00AE643F" w:rsidRPr="00951F91">
        <w:rPr>
          <w:rFonts w:ascii="Arial" w:hAnsi="Arial" w:cs="Arial"/>
          <w:sz w:val="23"/>
          <w:szCs w:val="23"/>
        </w:rPr>
        <w:t xml:space="preserve">realicen los ajustes necesarios </w:t>
      </w:r>
      <w:r w:rsidR="008E5972">
        <w:rPr>
          <w:rFonts w:ascii="Arial" w:hAnsi="Arial" w:cs="Arial"/>
          <w:sz w:val="23"/>
          <w:szCs w:val="23"/>
        </w:rPr>
        <w:t>conforme</w:t>
      </w:r>
      <w:r w:rsidR="00AE643F" w:rsidRPr="00951F91">
        <w:rPr>
          <w:rFonts w:ascii="Arial" w:hAnsi="Arial" w:cs="Arial"/>
          <w:sz w:val="23"/>
          <w:szCs w:val="23"/>
        </w:rPr>
        <w:t xml:space="preserve"> </w:t>
      </w:r>
      <w:r w:rsidR="008E5972">
        <w:rPr>
          <w:rFonts w:ascii="Arial" w:hAnsi="Arial" w:cs="Arial"/>
          <w:sz w:val="23"/>
          <w:szCs w:val="23"/>
        </w:rPr>
        <w:t>a</w:t>
      </w:r>
      <w:r w:rsidR="00AE643F" w:rsidRPr="00951F91">
        <w:rPr>
          <w:rFonts w:ascii="Arial" w:hAnsi="Arial" w:cs="Arial"/>
          <w:sz w:val="23"/>
          <w:szCs w:val="23"/>
        </w:rPr>
        <w:t>l orden en que quedaron firmes</w:t>
      </w:r>
      <w:r w:rsidR="00AE643F">
        <w:rPr>
          <w:rFonts w:ascii="Arial" w:hAnsi="Arial" w:cs="Arial"/>
          <w:sz w:val="23"/>
          <w:szCs w:val="23"/>
        </w:rPr>
        <w:t xml:space="preserve"> y </w:t>
      </w:r>
      <w:r w:rsidR="001E3D26">
        <w:rPr>
          <w:rFonts w:ascii="Arial" w:hAnsi="Arial" w:cs="Arial"/>
          <w:sz w:val="23"/>
          <w:szCs w:val="23"/>
        </w:rPr>
        <w:t xml:space="preserve">los montos establecidos en el </w:t>
      </w:r>
      <w:r w:rsidRPr="00951F91">
        <w:rPr>
          <w:rFonts w:ascii="Arial" w:hAnsi="Arial" w:cs="Arial"/>
          <w:sz w:val="23"/>
          <w:szCs w:val="23"/>
        </w:rPr>
        <w:t>presente acuerdo.</w:t>
      </w:r>
    </w:p>
    <w:p w14:paraId="7909A645" w14:textId="6506F955" w:rsidR="00CA06BB" w:rsidRPr="00951F91" w:rsidRDefault="00CA06BB" w:rsidP="00951F91">
      <w:pPr>
        <w:pStyle w:val="Puntos"/>
        <w:ind w:left="0"/>
        <w:rPr>
          <w:rFonts w:ascii="Arial" w:hAnsi="Arial" w:cs="Arial"/>
          <w:sz w:val="23"/>
          <w:szCs w:val="23"/>
        </w:rPr>
      </w:pPr>
      <w:r w:rsidRPr="00951F91">
        <w:rPr>
          <w:rFonts w:ascii="Arial" w:hAnsi="Arial" w:cs="Arial"/>
          <w:b/>
          <w:bCs/>
          <w:sz w:val="23"/>
          <w:szCs w:val="23"/>
        </w:rPr>
        <w:t xml:space="preserve">Cuarto. </w:t>
      </w:r>
      <w:r w:rsidRPr="00951F91">
        <w:rPr>
          <w:rFonts w:ascii="Arial" w:hAnsi="Arial" w:cs="Arial"/>
          <w:sz w:val="23"/>
          <w:szCs w:val="23"/>
        </w:rPr>
        <w:t xml:space="preserve">Los montos que se retengan a los partidos Revolucionario Institucional, de la Revolución Democrática, Verde Ecologista de México y Morena, serán puestos a disposición de la Secretaría de Planeación y Finanzas del Gobierno del Estado, para </w:t>
      </w:r>
      <w:r w:rsidRPr="00951F91">
        <w:rPr>
          <w:rFonts w:ascii="Arial" w:hAnsi="Arial" w:cs="Arial"/>
          <w:sz w:val="23"/>
          <w:szCs w:val="23"/>
        </w:rPr>
        <w:lastRenderedPageBreak/>
        <w:t>que ésta a su vez, los entregue al Consejo de Ciencia y Tecnología del Estado de Tabasco, en términos de los artículos 458, numeral 8 de la Ley General y 349, numerales 1 y 2 de la Ley Electoral.</w:t>
      </w:r>
    </w:p>
    <w:p w14:paraId="67A6678A" w14:textId="69202004" w:rsidR="00CA06BB" w:rsidRPr="00951F91" w:rsidRDefault="0073007F" w:rsidP="00951F91">
      <w:pPr>
        <w:pStyle w:val="Puntos"/>
        <w:ind w:left="0"/>
        <w:rPr>
          <w:rFonts w:ascii="Arial" w:hAnsi="Arial" w:cs="Arial"/>
          <w:sz w:val="23"/>
          <w:szCs w:val="23"/>
        </w:rPr>
      </w:pPr>
      <w:r>
        <w:rPr>
          <w:rFonts w:ascii="Arial" w:hAnsi="Arial" w:cs="Arial"/>
          <w:b/>
          <w:bCs/>
          <w:sz w:val="23"/>
          <w:szCs w:val="23"/>
        </w:rPr>
        <w:t>Quinto</w:t>
      </w:r>
      <w:r w:rsidR="00CA06BB" w:rsidRPr="00951F91">
        <w:rPr>
          <w:rFonts w:ascii="Arial" w:hAnsi="Arial" w:cs="Arial"/>
          <w:b/>
          <w:bCs/>
          <w:sz w:val="23"/>
          <w:szCs w:val="23"/>
        </w:rPr>
        <w:t xml:space="preserve">. </w:t>
      </w:r>
      <w:r w:rsidR="00CA06BB" w:rsidRPr="00951F91">
        <w:rPr>
          <w:rFonts w:ascii="Arial" w:hAnsi="Arial" w:cs="Arial"/>
          <w:sz w:val="23"/>
          <w:szCs w:val="23"/>
        </w:rPr>
        <w:t>Asimismo, se instruye a la Secretaría Ejecutiva para que, a través de la Coordinación de Vinculación con el INE notifique el presente acuerdo al citado organismo nacional, por conducto de su Unidad Técnica de Vinculación con los Organismos Públicos Locales, para los efectos correspondientes.</w:t>
      </w:r>
    </w:p>
    <w:p w14:paraId="2181DF7B" w14:textId="6CFB1293" w:rsidR="00CA06BB" w:rsidRPr="00951F91" w:rsidRDefault="00DF5511" w:rsidP="00951F91">
      <w:pPr>
        <w:pStyle w:val="Puntos"/>
        <w:ind w:left="0"/>
        <w:rPr>
          <w:rFonts w:ascii="Arial" w:hAnsi="Arial" w:cs="Arial"/>
          <w:sz w:val="23"/>
          <w:szCs w:val="23"/>
        </w:rPr>
      </w:pPr>
      <w:r>
        <w:rPr>
          <w:rFonts w:ascii="Arial" w:hAnsi="Arial" w:cs="Arial"/>
          <w:b/>
          <w:bCs/>
          <w:sz w:val="23"/>
          <w:szCs w:val="23"/>
        </w:rPr>
        <w:t>Sexto</w:t>
      </w:r>
      <w:r w:rsidR="00CA06BB" w:rsidRPr="00951F91">
        <w:rPr>
          <w:rFonts w:ascii="Arial" w:hAnsi="Arial" w:cs="Arial"/>
          <w:b/>
          <w:bCs/>
          <w:sz w:val="23"/>
          <w:szCs w:val="23"/>
        </w:rPr>
        <w:t xml:space="preserve">. </w:t>
      </w:r>
      <w:r w:rsidR="00CA06BB" w:rsidRPr="00951F91">
        <w:rPr>
          <w:rFonts w:ascii="Arial" w:hAnsi="Arial" w:cs="Arial"/>
          <w:sz w:val="23"/>
          <w:szCs w:val="23"/>
        </w:rPr>
        <w:t>Publíquese en el Periódico Oficial del Estado y en la página de internet del Instituto, de conformidad con lo dispuesto en el artículo 114 de la Ley Electoral y de Partidos Políticos del Estado de Tabasco.</w:t>
      </w:r>
    </w:p>
    <w:p w14:paraId="1B1CF684" w14:textId="1BAE857E" w:rsidR="00D46403" w:rsidRPr="00D46403" w:rsidRDefault="00D46403" w:rsidP="00D46403">
      <w:pPr>
        <w:pStyle w:val="Puntos"/>
        <w:spacing w:line="295" w:lineRule="auto"/>
        <w:ind w:left="0"/>
        <w:rPr>
          <w:rFonts w:ascii="Arial" w:hAnsi="Arial" w:cs="Arial"/>
          <w:sz w:val="23"/>
          <w:szCs w:val="23"/>
        </w:rPr>
      </w:pPr>
      <w:r w:rsidRPr="00D46403">
        <w:rPr>
          <w:rFonts w:ascii="Arial" w:hAnsi="Arial" w:cs="Arial"/>
          <w:sz w:val="23"/>
          <w:szCs w:val="23"/>
        </w:rPr>
        <w:t xml:space="preserve">El presente acuerdo fue </w:t>
      </w:r>
      <w:r w:rsidR="009142A0">
        <w:rPr>
          <w:rFonts w:ascii="Arial" w:hAnsi="Arial" w:cs="Arial"/>
          <w:sz w:val="23"/>
          <w:szCs w:val="23"/>
        </w:rPr>
        <w:t>aprobado</w:t>
      </w:r>
      <w:r w:rsidRPr="00D46403">
        <w:rPr>
          <w:rFonts w:ascii="Arial" w:hAnsi="Arial" w:cs="Arial"/>
          <w:sz w:val="23"/>
          <w:szCs w:val="23"/>
        </w:rPr>
        <w:t xml:space="preserve"> en sesión ordinaria efectuada el </w:t>
      </w:r>
      <w:r w:rsidR="00EA40DD">
        <w:rPr>
          <w:rFonts w:ascii="Arial" w:hAnsi="Arial" w:cs="Arial"/>
          <w:sz w:val="23"/>
          <w:szCs w:val="23"/>
        </w:rPr>
        <w:t xml:space="preserve">31 </w:t>
      </w:r>
      <w:r w:rsidRPr="00D46403">
        <w:rPr>
          <w:rFonts w:ascii="Arial" w:hAnsi="Arial" w:cs="Arial"/>
          <w:sz w:val="23"/>
          <w:szCs w:val="23"/>
        </w:rPr>
        <w:t xml:space="preserve">de </w:t>
      </w:r>
      <w:r w:rsidR="00EA40DD">
        <w:rPr>
          <w:rFonts w:ascii="Arial" w:hAnsi="Arial" w:cs="Arial"/>
          <w:sz w:val="23"/>
          <w:szCs w:val="23"/>
        </w:rPr>
        <w:t xml:space="preserve">marzo </w:t>
      </w:r>
      <w:r w:rsidRPr="00D46403">
        <w:rPr>
          <w:rFonts w:ascii="Arial" w:hAnsi="Arial" w:cs="Arial"/>
          <w:sz w:val="23"/>
          <w:szCs w:val="23"/>
        </w:rPr>
        <w:t>del año dos mil</w:t>
      </w:r>
      <w:r w:rsidR="002E1379">
        <w:rPr>
          <w:rFonts w:ascii="Arial" w:hAnsi="Arial" w:cs="Arial"/>
          <w:sz w:val="23"/>
          <w:szCs w:val="23"/>
        </w:rPr>
        <w:t xml:space="preserve"> veintitrés</w:t>
      </w:r>
      <w:r w:rsidRPr="00D46403">
        <w:rPr>
          <w:rFonts w:ascii="Arial" w:hAnsi="Arial" w:cs="Arial"/>
          <w:sz w:val="23"/>
          <w:szCs w:val="23"/>
        </w:rPr>
        <w:t xml:space="preserve">, por votación </w:t>
      </w:r>
      <w:r w:rsidR="00EA40DD">
        <w:rPr>
          <w:rFonts w:ascii="Arial" w:hAnsi="Arial" w:cs="Arial"/>
          <w:sz w:val="23"/>
          <w:szCs w:val="23"/>
        </w:rPr>
        <w:t xml:space="preserve">unánime </w:t>
      </w:r>
      <w:r w:rsidRPr="00D46403">
        <w:rPr>
          <w:rFonts w:ascii="Arial" w:hAnsi="Arial" w:cs="Arial"/>
          <w:sz w:val="23"/>
          <w:szCs w:val="23"/>
        </w:rPr>
        <w:t>de las y los Consejeros Electorales del Consejo Estatal del Instituto Electoral y de Participación Ciudadana de Tabasco: Mtra. Rosselvy del Carmen Domínguez Arévalo, Licda. María Elvia Magaña Sandoval, Mtro. Juan Correa López, M.D. Víctor Humberto Mejía Naranjo, Lic. Hernán González Sala, Lic. Vladimir Hernández Venegas y la Consejera Presidenta, Mtra. Elizabeth Nava Gutiérrez.</w:t>
      </w:r>
    </w:p>
    <w:p w14:paraId="4129DBFA" w14:textId="77777777" w:rsidR="00D46403" w:rsidRPr="00D46403" w:rsidRDefault="00D46403" w:rsidP="00D46403">
      <w:pPr>
        <w:pStyle w:val="Puntos"/>
        <w:ind w:left="0"/>
        <w:rPr>
          <w:rFonts w:ascii="Arial" w:hAnsi="Arial" w:cs="Arial"/>
          <w:sz w:val="23"/>
          <w:szCs w:val="23"/>
        </w:rPr>
      </w:pPr>
    </w:p>
    <w:p w14:paraId="7DE8DE3B" w14:textId="77777777" w:rsidR="00D46403" w:rsidRPr="00D46403" w:rsidRDefault="00D46403" w:rsidP="00D46403">
      <w:pPr>
        <w:pStyle w:val="Puntos"/>
        <w:rPr>
          <w:rFonts w:ascii="Arial" w:hAnsi="Arial" w:cs="Arial"/>
          <w:sz w:val="23"/>
          <w:szCs w:val="23"/>
        </w:rPr>
      </w:pPr>
    </w:p>
    <w:p w14:paraId="69A28A85" w14:textId="77777777" w:rsidR="00D46403" w:rsidRPr="00D46403" w:rsidRDefault="00D46403" w:rsidP="00D46403">
      <w:pPr>
        <w:pStyle w:val="Puntos"/>
        <w:rPr>
          <w:rFonts w:ascii="Arial" w:hAnsi="Arial" w:cs="Arial"/>
          <w:sz w:val="23"/>
          <w:szCs w:val="23"/>
        </w:rPr>
      </w:pPr>
    </w:p>
    <w:p w14:paraId="1BA911B8" w14:textId="77777777" w:rsidR="00D46403" w:rsidRPr="00D46403" w:rsidRDefault="00D46403" w:rsidP="00D46403">
      <w:pPr>
        <w:ind w:left="0"/>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D46403" w:rsidRPr="00D46403" w14:paraId="7F26B7DA" w14:textId="77777777" w:rsidTr="002502F1">
        <w:tc>
          <w:tcPr>
            <w:tcW w:w="4395" w:type="dxa"/>
          </w:tcPr>
          <w:p w14:paraId="40198DEB" w14:textId="77777777" w:rsidR="00D46403" w:rsidRPr="00D46403" w:rsidRDefault="00D46403" w:rsidP="002502F1">
            <w:pPr>
              <w:widowControl w:val="0"/>
              <w:spacing w:after="0" w:line="288" w:lineRule="auto"/>
              <w:ind w:left="0"/>
              <w:jc w:val="center"/>
              <w:rPr>
                <w:b/>
                <w:spacing w:val="-10"/>
              </w:rPr>
            </w:pPr>
            <w:r w:rsidRPr="00D46403">
              <w:rPr>
                <w:b/>
                <w:spacing w:val="-10"/>
              </w:rPr>
              <w:t>MTRA. ELIZABETH NAVA GUTIÉRREZ</w:t>
            </w:r>
          </w:p>
          <w:p w14:paraId="2F66548D" w14:textId="77777777" w:rsidR="00D46403" w:rsidRPr="00D46403" w:rsidRDefault="00D46403" w:rsidP="002502F1">
            <w:pPr>
              <w:widowControl w:val="0"/>
              <w:spacing w:after="0" w:line="288" w:lineRule="auto"/>
              <w:ind w:left="0"/>
              <w:jc w:val="center"/>
              <w:rPr>
                <w:b/>
              </w:rPr>
            </w:pPr>
            <w:r w:rsidRPr="00D46403">
              <w:rPr>
                <w:b/>
                <w:spacing w:val="-10"/>
              </w:rPr>
              <w:t>CONSEJERA PRESIDENTA</w:t>
            </w:r>
          </w:p>
        </w:tc>
        <w:tc>
          <w:tcPr>
            <w:tcW w:w="278" w:type="dxa"/>
          </w:tcPr>
          <w:p w14:paraId="03C67972" w14:textId="77777777" w:rsidR="00D46403" w:rsidRPr="00D46403" w:rsidRDefault="00D46403" w:rsidP="002502F1">
            <w:pPr>
              <w:widowControl w:val="0"/>
              <w:spacing w:after="0" w:line="288" w:lineRule="auto"/>
              <w:rPr>
                <w:b/>
              </w:rPr>
            </w:pPr>
          </w:p>
        </w:tc>
        <w:tc>
          <w:tcPr>
            <w:tcW w:w="4400" w:type="dxa"/>
          </w:tcPr>
          <w:p w14:paraId="702DC42E" w14:textId="77777777" w:rsidR="00D46403" w:rsidRPr="00D46403" w:rsidRDefault="00D46403" w:rsidP="002502F1">
            <w:pPr>
              <w:widowControl w:val="0"/>
              <w:spacing w:after="0" w:line="288" w:lineRule="auto"/>
              <w:ind w:left="0"/>
              <w:jc w:val="center"/>
              <w:rPr>
                <w:b/>
                <w:spacing w:val="-10"/>
              </w:rPr>
            </w:pPr>
            <w:r w:rsidRPr="00D46403">
              <w:rPr>
                <w:b/>
                <w:spacing w:val="-10"/>
              </w:rPr>
              <w:t>LIC. JORGE ALBERTO ZAVALA FRÍAS</w:t>
            </w:r>
          </w:p>
          <w:p w14:paraId="26CC1AA3" w14:textId="77777777" w:rsidR="00D46403" w:rsidRPr="00D46403" w:rsidRDefault="00D46403" w:rsidP="002502F1">
            <w:pPr>
              <w:widowControl w:val="0"/>
              <w:spacing w:after="0" w:line="288" w:lineRule="auto"/>
              <w:ind w:left="0"/>
              <w:jc w:val="center"/>
              <w:rPr>
                <w:b/>
              </w:rPr>
            </w:pPr>
            <w:r w:rsidRPr="00D46403">
              <w:rPr>
                <w:b/>
                <w:spacing w:val="-10"/>
              </w:rPr>
              <w:t>SECRETARIO DEL CONSEJO</w:t>
            </w:r>
          </w:p>
        </w:tc>
      </w:tr>
    </w:tbl>
    <w:p w14:paraId="69340BDC" w14:textId="60FA5C69" w:rsidR="00CA06BB" w:rsidRPr="00951F91" w:rsidRDefault="00CA06BB" w:rsidP="00951F91">
      <w:pPr>
        <w:pStyle w:val="Puntos"/>
        <w:ind w:left="0"/>
        <w:rPr>
          <w:rFonts w:ascii="Arial" w:hAnsi="Arial" w:cs="Arial"/>
          <w:sz w:val="23"/>
          <w:szCs w:val="23"/>
        </w:rPr>
      </w:pPr>
    </w:p>
    <w:sectPr w:rsidR="00CA06BB" w:rsidRPr="00951F91" w:rsidSect="006633D9">
      <w:headerReference w:type="default" r:id="rId8"/>
      <w:footerReference w:type="default" r:id="rId9"/>
      <w:headerReference w:type="first" r:id="rId10"/>
      <w:pgSz w:w="12240" w:h="15840" w:code="1"/>
      <w:pgMar w:top="2694" w:right="1701"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A7394" w14:textId="77777777" w:rsidR="00790D8E" w:rsidRDefault="00790D8E" w:rsidP="00C17A56">
      <w:r>
        <w:separator/>
      </w:r>
    </w:p>
  </w:endnote>
  <w:endnote w:type="continuationSeparator" w:id="0">
    <w:p w14:paraId="35044CB7" w14:textId="77777777" w:rsidR="00790D8E" w:rsidRDefault="00790D8E" w:rsidP="00C1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ouis George Cafe">
    <w:altName w:val="Malgun Gothic Semilight"/>
    <w:panose1 w:val="00000000000000000000"/>
    <w:charset w:val="81"/>
    <w:family w:val="auto"/>
    <w:pitch w:val="variable"/>
    <w:sig w:usb0="01002A87" w:usb1="090F0000" w:usb2="00000010" w:usb3="00000000" w:csb0="003F00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Louis George Cafe"/>
        <w:lang w:val="es-ES"/>
      </w:rPr>
      <w:id w:val="-1113984889"/>
      <w:docPartObj>
        <w:docPartGallery w:val="Page Numbers (Bottom of Page)"/>
        <w:docPartUnique/>
      </w:docPartObj>
    </w:sdtPr>
    <w:sdtEndPr>
      <w:rPr>
        <w:b/>
        <w:bCs/>
        <w:color w:val="993366"/>
      </w:rPr>
    </w:sdtEndPr>
    <w:sdtContent>
      <w:p w14:paraId="04434A9F" w14:textId="50F3346D" w:rsidR="00074656" w:rsidRPr="00244596" w:rsidRDefault="00074656" w:rsidP="00244596">
        <w:pPr>
          <w:pStyle w:val="Piedepgina"/>
          <w:jc w:val="right"/>
          <w:rPr>
            <w:rFonts w:cs="Louis George Cafe"/>
            <w:b/>
            <w:bCs/>
            <w:color w:val="993366"/>
          </w:rPr>
        </w:pPr>
        <w:r w:rsidRPr="00244596">
          <w:rPr>
            <w:b/>
            <w:bCs/>
            <w:color w:val="993366"/>
            <w:lang w:val="es-ES"/>
          </w:rPr>
          <w:t xml:space="preserve">Página  </w:t>
        </w:r>
        <w:r w:rsidRPr="00244596">
          <w:rPr>
            <w:b/>
            <w:bCs/>
            <w:color w:val="993366"/>
          </w:rPr>
          <w:fldChar w:fldCharType="begin"/>
        </w:r>
        <w:r w:rsidRPr="00244596">
          <w:rPr>
            <w:b/>
            <w:bCs/>
            <w:color w:val="993366"/>
          </w:rPr>
          <w:instrText>PAGE   \* MERGEFORMAT</w:instrText>
        </w:r>
        <w:r w:rsidRPr="00244596">
          <w:rPr>
            <w:b/>
            <w:bCs/>
            <w:color w:val="993366"/>
          </w:rPr>
          <w:fldChar w:fldCharType="separate"/>
        </w:r>
        <w:r w:rsidR="00D466A6">
          <w:rPr>
            <w:b/>
            <w:bCs/>
            <w:noProof/>
            <w:color w:val="993366"/>
          </w:rPr>
          <w:t>5</w:t>
        </w:r>
        <w:r w:rsidRPr="00244596">
          <w:rPr>
            <w:b/>
            <w:bCs/>
            <w:color w:val="993366"/>
          </w:rPr>
          <w:fldChar w:fldCharType="end"/>
        </w:r>
        <w:r w:rsidRPr="00244596">
          <w:rPr>
            <w:b/>
            <w:bCs/>
            <w:color w:val="993366"/>
            <w:lang w:val="es-ES"/>
          </w:rPr>
          <w:t xml:space="preserve"> | </w:t>
        </w:r>
        <w:r w:rsidRPr="00244596">
          <w:rPr>
            <w:b/>
            <w:bCs/>
            <w:color w:val="993366"/>
            <w:lang w:val="es-ES"/>
          </w:rPr>
          <w:fldChar w:fldCharType="begin"/>
        </w:r>
        <w:r w:rsidRPr="00244596">
          <w:rPr>
            <w:b/>
            <w:bCs/>
            <w:color w:val="993366"/>
            <w:lang w:val="es-ES"/>
          </w:rPr>
          <w:instrText xml:space="preserve"> NUMPAGES   \* MERGEFORMAT </w:instrText>
        </w:r>
        <w:r w:rsidRPr="00244596">
          <w:rPr>
            <w:b/>
            <w:bCs/>
            <w:color w:val="993366"/>
            <w:lang w:val="es-ES"/>
          </w:rPr>
          <w:fldChar w:fldCharType="separate"/>
        </w:r>
        <w:r w:rsidR="00D466A6">
          <w:rPr>
            <w:b/>
            <w:bCs/>
            <w:noProof/>
            <w:color w:val="993366"/>
            <w:lang w:val="es-ES"/>
          </w:rPr>
          <w:t>19</w:t>
        </w:r>
        <w:r w:rsidRPr="00244596">
          <w:rPr>
            <w:b/>
            <w:bCs/>
            <w:color w:val="993366"/>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EE93E" w14:textId="77777777" w:rsidR="00790D8E" w:rsidRDefault="00790D8E" w:rsidP="00C17A56">
      <w:r>
        <w:separator/>
      </w:r>
    </w:p>
  </w:footnote>
  <w:footnote w:type="continuationSeparator" w:id="0">
    <w:p w14:paraId="475FC455" w14:textId="77777777" w:rsidR="00790D8E" w:rsidRDefault="00790D8E" w:rsidP="00C17A56">
      <w:r>
        <w:continuationSeparator/>
      </w:r>
    </w:p>
  </w:footnote>
  <w:footnote w:id="1">
    <w:p w14:paraId="6EE4C631" w14:textId="1F58C3F9" w:rsidR="00EA3C96" w:rsidRPr="004A3BE9" w:rsidRDefault="00EA3C96" w:rsidP="0010743F">
      <w:pPr>
        <w:pStyle w:val="Textonotapie"/>
        <w:ind w:left="0"/>
        <w:rPr>
          <w:sz w:val="16"/>
        </w:rPr>
      </w:pPr>
      <w:r w:rsidRPr="004A3BE9">
        <w:rPr>
          <w:rStyle w:val="Refdenotaalpie"/>
          <w:sz w:val="16"/>
        </w:rPr>
        <w:footnoteRef/>
      </w:r>
      <w:r w:rsidRPr="004A3BE9">
        <w:rPr>
          <w:sz w:val="16"/>
        </w:rPr>
        <w:t xml:space="preserve"> Las abreviaturas: OPLE, DEPPP y SI, corresponden a organismo público local electoral, Dirección Ejecutiva de Prerrogativas a Partidos Políticos y Sistema </w:t>
      </w:r>
      <w:r w:rsidR="0010743F" w:rsidRPr="004A3BE9">
        <w:rPr>
          <w:sz w:val="16"/>
        </w:rPr>
        <w:t>Informático de Sanciones, de conformidad con el artículo tercero de los Lineamientos.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E2546E" w:rsidRPr="00063338" w14:paraId="4104921D" w14:textId="77777777" w:rsidTr="003B7F46">
      <w:tc>
        <w:tcPr>
          <w:tcW w:w="1418" w:type="dxa"/>
        </w:tcPr>
        <w:p w14:paraId="1FD52728" w14:textId="4646B388" w:rsidR="00E2546E" w:rsidRPr="00063338" w:rsidRDefault="00E2546E" w:rsidP="00E2546E">
          <w:pPr>
            <w:pStyle w:val="Encabezado"/>
            <w:ind w:left="-170"/>
            <w:jc w:val="left"/>
          </w:pPr>
          <w:r>
            <w:rPr>
              <w:b/>
              <w:noProof/>
              <w:sz w:val="32"/>
              <w:lang w:eastAsia="es-MX"/>
            </w:rPr>
            <w:drawing>
              <wp:inline distT="0" distB="0" distL="0" distR="0" wp14:anchorId="6766424B" wp14:editId="5B7FC40E">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4F4BDF08" w14:textId="77777777" w:rsidR="00E2546E" w:rsidRPr="00E1376D" w:rsidRDefault="00E2546E" w:rsidP="00E2546E">
          <w:pPr>
            <w:pStyle w:val="Encabezado"/>
            <w:spacing w:before="720"/>
            <w:ind w:left="0"/>
            <w:jc w:val="center"/>
            <w:rPr>
              <w:b/>
              <w:bCs/>
              <w:sz w:val="25"/>
              <w:szCs w:val="25"/>
            </w:rPr>
          </w:pPr>
          <w:r w:rsidRPr="00E1376D">
            <w:rPr>
              <w:b/>
              <w:bCs/>
              <w:sz w:val="25"/>
              <w:szCs w:val="25"/>
            </w:rPr>
            <w:t>INSTITUTO ELECTORAL Y DE PARTICIPACIÓN CIUDADANA DE TABASCO</w:t>
          </w:r>
        </w:p>
        <w:p w14:paraId="2CB803E8" w14:textId="77777777" w:rsidR="00E2546E" w:rsidRPr="00063338" w:rsidRDefault="00E2546E" w:rsidP="00E2546E">
          <w:pPr>
            <w:pStyle w:val="Encabezado"/>
            <w:ind w:left="0"/>
            <w:jc w:val="center"/>
          </w:pPr>
          <w:r w:rsidRPr="00E1376D">
            <w:rPr>
              <w:sz w:val="26"/>
              <w:szCs w:val="26"/>
            </w:rPr>
            <w:t>CONSEJO ESTATAL</w:t>
          </w:r>
        </w:p>
      </w:tc>
      <w:tc>
        <w:tcPr>
          <w:tcW w:w="1701" w:type="dxa"/>
        </w:tcPr>
        <w:p w14:paraId="2A7AB87E" w14:textId="77777777" w:rsidR="00E2546E" w:rsidRPr="00063338" w:rsidRDefault="00E2546E" w:rsidP="00E2546E">
          <w:pPr>
            <w:pStyle w:val="Encabezado"/>
            <w:spacing w:before="480"/>
            <w:ind w:left="0"/>
          </w:pPr>
          <w:r w:rsidRPr="00063338">
            <w:rPr>
              <w:noProof/>
              <w:lang w:eastAsia="es-MX"/>
            </w:rPr>
            <w:drawing>
              <wp:inline distT="0" distB="0" distL="0" distR="0" wp14:anchorId="7307819C" wp14:editId="0204297F">
                <wp:extent cx="921600" cy="756000"/>
                <wp:effectExtent l="0" t="0" r="0" b="6350"/>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10CBB99" w14:textId="6A11EF59" w:rsidR="00C55F0E" w:rsidRPr="00E2546E" w:rsidRDefault="00C55F0E" w:rsidP="00C55F0E">
    <w:pPr>
      <w:jc w:val="right"/>
      <w:rPr>
        <w:b/>
        <w:bCs/>
        <w:sz w:val="28"/>
        <w:szCs w:val="28"/>
      </w:rPr>
    </w:pPr>
    <w:r>
      <w:tab/>
    </w:r>
    <w:r>
      <w:tab/>
    </w:r>
    <w:r w:rsidRPr="00E2546E">
      <w:rPr>
        <w:b/>
        <w:bCs/>
        <w:sz w:val="28"/>
        <w:szCs w:val="28"/>
      </w:rPr>
      <w:t>CE/2023/</w:t>
    </w:r>
    <w:r w:rsidR="009142A0">
      <w:rPr>
        <w:b/>
        <w:bCs/>
        <w:sz w:val="28"/>
        <w:szCs w:val="28"/>
      </w:rPr>
      <w:t>007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E2546E" w:rsidRPr="00063338" w14:paraId="0697A2DC" w14:textId="77777777" w:rsidTr="003B7F46">
      <w:tc>
        <w:tcPr>
          <w:tcW w:w="1418" w:type="dxa"/>
        </w:tcPr>
        <w:p w14:paraId="01645E55" w14:textId="1E3A53CB" w:rsidR="00E2546E" w:rsidRPr="00063338" w:rsidRDefault="00E2546E" w:rsidP="00E2546E">
          <w:pPr>
            <w:pStyle w:val="Encabezado"/>
            <w:ind w:left="-170"/>
            <w:jc w:val="left"/>
          </w:pPr>
          <w:r>
            <w:rPr>
              <w:b/>
              <w:noProof/>
              <w:sz w:val="32"/>
              <w:lang w:eastAsia="es-MX"/>
            </w:rPr>
            <w:drawing>
              <wp:inline distT="0" distB="0" distL="0" distR="0" wp14:anchorId="024F7F8F" wp14:editId="3CC5EBB7">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02839443" w14:textId="77777777" w:rsidR="00E2546E" w:rsidRPr="00E1376D" w:rsidRDefault="00E2546E" w:rsidP="00E2546E">
          <w:pPr>
            <w:pStyle w:val="Encabezado"/>
            <w:spacing w:before="720"/>
            <w:ind w:left="0"/>
            <w:jc w:val="center"/>
            <w:rPr>
              <w:b/>
              <w:bCs/>
              <w:sz w:val="25"/>
              <w:szCs w:val="25"/>
            </w:rPr>
          </w:pPr>
          <w:r w:rsidRPr="00E1376D">
            <w:rPr>
              <w:b/>
              <w:bCs/>
              <w:sz w:val="25"/>
              <w:szCs w:val="25"/>
            </w:rPr>
            <w:t>INSTITUTO ELECTORAL Y DE PARTICIPACIÓN CIUDADANA DE TABASCO</w:t>
          </w:r>
        </w:p>
        <w:p w14:paraId="0CDB765B" w14:textId="77777777" w:rsidR="00E2546E" w:rsidRPr="00063338" w:rsidRDefault="00E2546E" w:rsidP="00E2546E">
          <w:pPr>
            <w:pStyle w:val="Encabezado"/>
            <w:ind w:left="0"/>
            <w:jc w:val="center"/>
          </w:pPr>
          <w:r w:rsidRPr="00E1376D">
            <w:rPr>
              <w:sz w:val="26"/>
              <w:szCs w:val="26"/>
            </w:rPr>
            <w:t>CONSEJO ESTATAL</w:t>
          </w:r>
        </w:p>
      </w:tc>
      <w:tc>
        <w:tcPr>
          <w:tcW w:w="1701" w:type="dxa"/>
        </w:tcPr>
        <w:p w14:paraId="5A583FE2" w14:textId="77777777" w:rsidR="00E2546E" w:rsidRPr="00063338" w:rsidRDefault="00E2546E" w:rsidP="00E2546E">
          <w:pPr>
            <w:pStyle w:val="Encabezado"/>
            <w:spacing w:before="480"/>
            <w:ind w:left="0"/>
          </w:pPr>
          <w:r w:rsidRPr="00063338">
            <w:rPr>
              <w:noProof/>
              <w:lang w:eastAsia="es-MX"/>
            </w:rPr>
            <w:drawing>
              <wp:inline distT="0" distB="0" distL="0" distR="0" wp14:anchorId="4766547E" wp14:editId="3BC42DC8">
                <wp:extent cx="921600" cy="756000"/>
                <wp:effectExtent l="0" t="0" r="0" b="6350"/>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54FAE14F" w14:textId="4171C330" w:rsidR="00074656" w:rsidRDefault="00074656" w:rsidP="00C17A5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3F44"/>
    <w:multiLevelType w:val="multilevel"/>
    <w:tmpl w:val="AC8ABE4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82D5B58"/>
    <w:multiLevelType w:val="hybridMultilevel"/>
    <w:tmpl w:val="3F8EBF5A"/>
    <w:lvl w:ilvl="0" w:tplc="A686FAA6">
      <w:start w:val="1"/>
      <w:numFmt w:val="lowerLetter"/>
      <w:lvlText w:val="%1)"/>
      <w:lvlJc w:val="left"/>
      <w:pPr>
        <w:ind w:left="984" w:hanging="360"/>
      </w:pPr>
      <w:rPr>
        <w:rFonts w:hint="default"/>
      </w:rPr>
    </w:lvl>
    <w:lvl w:ilvl="1" w:tplc="080A0019" w:tentative="1">
      <w:start w:val="1"/>
      <w:numFmt w:val="lowerLetter"/>
      <w:lvlText w:val="%2."/>
      <w:lvlJc w:val="left"/>
      <w:pPr>
        <w:ind w:left="1704" w:hanging="360"/>
      </w:pPr>
    </w:lvl>
    <w:lvl w:ilvl="2" w:tplc="080A001B" w:tentative="1">
      <w:start w:val="1"/>
      <w:numFmt w:val="lowerRoman"/>
      <w:lvlText w:val="%3."/>
      <w:lvlJc w:val="right"/>
      <w:pPr>
        <w:ind w:left="2424" w:hanging="180"/>
      </w:pPr>
    </w:lvl>
    <w:lvl w:ilvl="3" w:tplc="080A000F" w:tentative="1">
      <w:start w:val="1"/>
      <w:numFmt w:val="decimal"/>
      <w:lvlText w:val="%4."/>
      <w:lvlJc w:val="left"/>
      <w:pPr>
        <w:ind w:left="3144" w:hanging="360"/>
      </w:pPr>
    </w:lvl>
    <w:lvl w:ilvl="4" w:tplc="080A0019" w:tentative="1">
      <w:start w:val="1"/>
      <w:numFmt w:val="lowerLetter"/>
      <w:lvlText w:val="%5."/>
      <w:lvlJc w:val="left"/>
      <w:pPr>
        <w:ind w:left="3864" w:hanging="360"/>
      </w:pPr>
    </w:lvl>
    <w:lvl w:ilvl="5" w:tplc="080A001B" w:tentative="1">
      <w:start w:val="1"/>
      <w:numFmt w:val="lowerRoman"/>
      <w:lvlText w:val="%6."/>
      <w:lvlJc w:val="right"/>
      <w:pPr>
        <w:ind w:left="4584" w:hanging="180"/>
      </w:pPr>
    </w:lvl>
    <w:lvl w:ilvl="6" w:tplc="080A000F" w:tentative="1">
      <w:start w:val="1"/>
      <w:numFmt w:val="decimal"/>
      <w:lvlText w:val="%7."/>
      <w:lvlJc w:val="left"/>
      <w:pPr>
        <w:ind w:left="5304" w:hanging="360"/>
      </w:pPr>
    </w:lvl>
    <w:lvl w:ilvl="7" w:tplc="080A0019" w:tentative="1">
      <w:start w:val="1"/>
      <w:numFmt w:val="lowerLetter"/>
      <w:lvlText w:val="%8."/>
      <w:lvlJc w:val="left"/>
      <w:pPr>
        <w:ind w:left="6024" w:hanging="360"/>
      </w:pPr>
    </w:lvl>
    <w:lvl w:ilvl="8" w:tplc="080A001B" w:tentative="1">
      <w:start w:val="1"/>
      <w:numFmt w:val="lowerRoman"/>
      <w:lvlText w:val="%9."/>
      <w:lvlJc w:val="right"/>
      <w:pPr>
        <w:ind w:left="6744" w:hanging="180"/>
      </w:pPr>
    </w:lvl>
  </w:abstractNum>
  <w:abstractNum w:abstractNumId="2" w15:restartNumberingAfterBreak="0">
    <w:nsid w:val="0AAB6EB5"/>
    <w:multiLevelType w:val="multilevel"/>
    <w:tmpl w:val="A9A009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961B6E"/>
    <w:multiLevelType w:val="hybridMultilevel"/>
    <w:tmpl w:val="BA54DD4E"/>
    <w:lvl w:ilvl="0" w:tplc="932C7888">
      <w:start w:val="1"/>
      <w:numFmt w:val="lowerLetter"/>
      <w:pStyle w:val="Ttulo3"/>
      <w:lvlText w:val="%1)"/>
      <w:lvlJc w:val="left"/>
      <w:pPr>
        <w:ind w:left="984" w:hanging="360"/>
      </w:pPr>
      <w:rPr>
        <w:rFonts w:hint="default"/>
      </w:rPr>
    </w:lvl>
    <w:lvl w:ilvl="1" w:tplc="080A0019" w:tentative="1">
      <w:start w:val="1"/>
      <w:numFmt w:val="lowerLetter"/>
      <w:lvlText w:val="%2."/>
      <w:lvlJc w:val="left"/>
      <w:pPr>
        <w:ind w:left="1704" w:hanging="360"/>
      </w:pPr>
    </w:lvl>
    <w:lvl w:ilvl="2" w:tplc="080A001B" w:tentative="1">
      <w:start w:val="1"/>
      <w:numFmt w:val="lowerRoman"/>
      <w:lvlText w:val="%3."/>
      <w:lvlJc w:val="right"/>
      <w:pPr>
        <w:ind w:left="2424" w:hanging="180"/>
      </w:pPr>
    </w:lvl>
    <w:lvl w:ilvl="3" w:tplc="080A000F" w:tentative="1">
      <w:start w:val="1"/>
      <w:numFmt w:val="decimal"/>
      <w:lvlText w:val="%4."/>
      <w:lvlJc w:val="left"/>
      <w:pPr>
        <w:ind w:left="3144" w:hanging="360"/>
      </w:pPr>
    </w:lvl>
    <w:lvl w:ilvl="4" w:tplc="080A0019" w:tentative="1">
      <w:start w:val="1"/>
      <w:numFmt w:val="lowerLetter"/>
      <w:lvlText w:val="%5."/>
      <w:lvlJc w:val="left"/>
      <w:pPr>
        <w:ind w:left="3864" w:hanging="360"/>
      </w:pPr>
    </w:lvl>
    <w:lvl w:ilvl="5" w:tplc="080A001B" w:tentative="1">
      <w:start w:val="1"/>
      <w:numFmt w:val="lowerRoman"/>
      <w:lvlText w:val="%6."/>
      <w:lvlJc w:val="right"/>
      <w:pPr>
        <w:ind w:left="4584" w:hanging="180"/>
      </w:pPr>
    </w:lvl>
    <w:lvl w:ilvl="6" w:tplc="080A000F" w:tentative="1">
      <w:start w:val="1"/>
      <w:numFmt w:val="decimal"/>
      <w:lvlText w:val="%7."/>
      <w:lvlJc w:val="left"/>
      <w:pPr>
        <w:ind w:left="5304" w:hanging="360"/>
      </w:pPr>
    </w:lvl>
    <w:lvl w:ilvl="7" w:tplc="080A0019" w:tentative="1">
      <w:start w:val="1"/>
      <w:numFmt w:val="lowerLetter"/>
      <w:lvlText w:val="%8."/>
      <w:lvlJc w:val="left"/>
      <w:pPr>
        <w:ind w:left="6024" w:hanging="360"/>
      </w:pPr>
    </w:lvl>
    <w:lvl w:ilvl="8" w:tplc="080A001B" w:tentative="1">
      <w:start w:val="1"/>
      <w:numFmt w:val="lowerRoman"/>
      <w:lvlText w:val="%9."/>
      <w:lvlJc w:val="right"/>
      <w:pPr>
        <w:ind w:left="6744" w:hanging="180"/>
      </w:pPr>
    </w:lvl>
  </w:abstractNum>
  <w:num w:numId="1">
    <w:abstractNumId w:val="0"/>
  </w:num>
  <w:num w:numId="2">
    <w:abstractNumId w:val="2"/>
  </w:num>
  <w:num w:numId="3">
    <w:abstractNumId w:val="3"/>
  </w:num>
  <w:num w:numId="4">
    <w:abstractNumId w:val="1"/>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17"/>
    <w:rsid w:val="0000029B"/>
    <w:rsid w:val="0000163E"/>
    <w:rsid w:val="00001C8B"/>
    <w:rsid w:val="0000498D"/>
    <w:rsid w:val="000059AB"/>
    <w:rsid w:val="000063C0"/>
    <w:rsid w:val="000068DE"/>
    <w:rsid w:val="000117ED"/>
    <w:rsid w:val="00021D56"/>
    <w:rsid w:val="0002434C"/>
    <w:rsid w:val="00036479"/>
    <w:rsid w:val="00042271"/>
    <w:rsid w:val="00044E53"/>
    <w:rsid w:val="00050C01"/>
    <w:rsid w:val="00061B36"/>
    <w:rsid w:val="00065FC9"/>
    <w:rsid w:val="00071AAD"/>
    <w:rsid w:val="00074656"/>
    <w:rsid w:val="00077F5E"/>
    <w:rsid w:val="000827D8"/>
    <w:rsid w:val="0008611A"/>
    <w:rsid w:val="00092A3F"/>
    <w:rsid w:val="000B0089"/>
    <w:rsid w:val="000B3E65"/>
    <w:rsid w:val="000C042B"/>
    <w:rsid w:val="000C1FF8"/>
    <w:rsid w:val="000D0C0E"/>
    <w:rsid w:val="000D1643"/>
    <w:rsid w:val="000D3552"/>
    <w:rsid w:val="000E6E98"/>
    <w:rsid w:val="000F410A"/>
    <w:rsid w:val="00101A9E"/>
    <w:rsid w:val="00102018"/>
    <w:rsid w:val="0010743F"/>
    <w:rsid w:val="00113246"/>
    <w:rsid w:val="001134AC"/>
    <w:rsid w:val="00121F53"/>
    <w:rsid w:val="00124492"/>
    <w:rsid w:val="001334B0"/>
    <w:rsid w:val="00135647"/>
    <w:rsid w:val="00136A74"/>
    <w:rsid w:val="00140800"/>
    <w:rsid w:val="001748A0"/>
    <w:rsid w:val="001956EC"/>
    <w:rsid w:val="00195A22"/>
    <w:rsid w:val="001B3361"/>
    <w:rsid w:val="001B6C0D"/>
    <w:rsid w:val="001B7C01"/>
    <w:rsid w:val="001C03D1"/>
    <w:rsid w:val="001C55EA"/>
    <w:rsid w:val="001C5A16"/>
    <w:rsid w:val="001D08BE"/>
    <w:rsid w:val="001D76B5"/>
    <w:rsid w:val="001E1F08"/>
    <w:rsid w:val="001E3D26"/>
    <w:rsid w:val="001E61C9"/>
    <w:rsid w:val="001F28F7"/>
    <w:rsid w:val="002056E1"/>
    <w:rsid w:val="0021039B"/>
    <w:rsid w:val="00221857"/>
    <w:rsid w:val="00226072"/>
    <w:rsid w:val="0022609D"/>
    <w:rsid w:val="00241AD6"/>
    <w:rsid w:val="00242B89"/>
    <w:rsid w:val="00243F45"/>
    <w:rsid w:val="00244596"/>
    <w:rsid w:val="0025759B"/>
    <w:rsid w:val="00261930"/>
    <w:rsid w:val="002766EF"/>
    <w:rsid w:val="00283F07"/>
    <w:rsid w:val="002846ED"/>
    <w:rsid w:val="00292F96"/>
    <w:rsid w:val="00293356"/>
    <w:rsid w:val="00294397"/>
    <w:rsid w:val="002943A7"/>
    <w:rsid w:val="002A5C5F"/>
    <w:rsid w:val="002A60A6"/>
    <w:rsid w:val="002A6BC6"/>
    <w:rsid w:val="002B0423"/>
    <w:rsid w:val="002B35C8"/>
    <w:rsid w:val="002C6766"/>
    <w:rsid w:val="002D371B"/>
    <w:rsid w:val="002D3D4B"/>
    <w:rsid w:val="002E1379"/>
    <w:rsid w:val="002E46E7"/>
    <w:rsid w:val="002F270A"/>
    <w:rsid w:val="002F719F"/>
    <w:rsid w:val="00301F08"/>
    <w:rsid w:val="00303110"/>
    <w:rsid w:val="00312798"/>
    <w:rsid w:val="00313164"/>
    <w:rsid w:val="003145E8"/>
    <w:rsid w:val="00314A17"/>
    <w:rsid w:val="00316777"/>
    <w:rsid w:val="00337EBA"/>
    <w:rsid w:val="00343449"/>
    <w:rsid w:val="00346A93"/>
    <w:rsid w:val="003528CB"/>
    <w:rsid w:val="003540B7"/>
    <w:rsid w:val="00361683"/>
    <w:rsid w:val="0036353B"/>
    <w:rsid w:val="00366EDD"/>
    <w:rsid w:val="00367625"/>
    <w:rsid w:val="003723D8"/>
    <w:rsid w:val="00376537"/>
    <w:rsid w:val="00376C91"/>
    <w:rsid w:val="0037707B"/>
    <w:rsid w:val="00381F38"/>
    <w:rsid w:val="00382D5D"/>
    <w:rsid w:val="003912C1"/>
    <w:rsid w:val="003A128F"/>
    <w:rsid w:val="003A181F"/>
    <w:rsid w:val="003B2B3B"/>
    <w:rsid w:val="003B3365"/>
    <w:rsid w:val="003B6110"/>
    <w:rsid w:val="003B6331"/>
    <w:rsid w:val="003D5C56"/>
    <w:rsid w:val="003E0E15"/>
    <w:rsid w:val="003E18E9"/>
    <w:rsid w:val="003E1A1E"/>
    <w:rsid w:val="003E6C0F"/>
    <w:rsid w:val="004040A4"/>
    <w:rsid w:val="00406ED4"/>
    <w:rsid w:val="00413D49"/>
    <w:rsid w:val="00417949"/>
    <w:rsid w:val="00417A82"/>
    <w:rsid w:val="004210D1"/>
    <w:rsid w:val="004244F2"/>
    <w:rsid w:val="004248A5"/>
    <w:rsid w:val="00425D47"/>
    <w:rsid w:val="0043172F"/>
    <w:rsid w:val="004344F4"/>
    <w:rsid w:val="00440ABC"/>
    <w:rsid w:val="00441A1E"/>
    <w:rsid w:val="00441ED3"/>
    <w:rsid w:val="00444246"/>
    <w:rsid w:val="00446051"/>
    <w:rsid w:val="00447621"/>
    <w:rsid w:val="00455F3A"/>
    <w:rsid w:val="00471F26"/>
    <w:rsid w:val="0047382C"/>
    <w:rsid w:val="00483FE9"/>
    <w:rsid w:val="0049031F"/>
    <w:rsid w:val="00491A31"/>
    <w:rsid w:val="004968F0"/>
    <w:rsid w:val="004A3BE9"/>
    <w:rsid w:val="004B0184"/>
    <w:rsid w:val="004B38DD"/>
    <w:rsid w:val="004C0545"/>
    <w:rsid w:val="004D7053"/>
    <w:rsid w:val="004E2378"/>
    <w:rsid w:val="004E2F27"/>
    <w:rsid w:val="0051068E"/>
    <w:rsid w:val="00516F36"/>
    <w:rsid w:val="00517E82"/>
    <w:rsid w:val="00522277"/>
    <w:rsid w:val="00522CD4"/>
    <w:rsid w:val="00525496"/>
    <w:rsid w:val="005272F6"/>
    <w:rsid w:val="00531662"/>
    <w:rsid w:val="00542129"/>
    <w:rsid w:val="0054708D"/>
    <w:rsid w:val="00554D32"/>
    <w:rsid w:val="005637CC"/>
    <w:rsid w:val="005644CB"/>
    <w:rsid w:val="00564895"/>
    <w:rsid w:val="005732C7"/>
    <w:rsid w:val="00574349"/>
    <w:rsid w:val="0058358F"/>
    <w:rsid w:val="0058745C"/>
    <w:rsid w:val="00592156"/>
    <w:rsid w:val="005952F1"/>
    <w:rsid w:val="005B0B76"/>
    <w:rsid w:val="005B28D3"/>
    <w:rsid w:val="005B7F37"/>
    <w:rsid w:val="005C745E"/>
    <w:rsid w:val="005D35F0"/>
    <w:rsid w:val="005D49B9"/>
    <w:rsid w:val="005E38BB"/>
    <w:rsid w:val="005E78B3"/>
    <w:rsid w:val="005F1582"/>
    <w:rsid w:val="005F1FA8"/>
    <w:rsid w:val="005F43D2"/>
    <w:rsid w:val="005F4FD7"/>
    <w:rsid w:val="00602A1A"/>
    <w:rsid w:val="006076C1"/>
    <w:rsid w:val="006235A1"/>
    <w:rsid w:val="00632E40"/>
    <w:rsid w:val="006334BC"/>
    <w:rsid w:val="00640762"/>
    <w:rsid w:val="00651E5A"/>
    <w:rsid w:val="00653327"/>
    <w:rsid w:val="006633D9"/>
    <w:rsid w:val="00663CA3"/>
    <w:rsid w:val="00665290"/>
    <w:rsid w:val="00665B6E"/>
    <w:rsid w:val="00674004"/>
    <w:rsid w:val="006760A9"/>
    <w:rsid w:val="00677B4A"/>
    <w:rsid w:val="00682110"/>
    <w:rsid w:val="0069384A"/>
    <w:rsid w:val="00694B72"/>
    <w:rsid w:val="00694F5E"/>
    <w:rsid w:val="006960EF"/>
    <w:rsid w:val="006A42AD"/>
    <w:rsid w:val="006C1625"/>
    <w:rsid w:val="006C33A5"/>
    <w:rsid w:val="006C3F49"/>
    <w:rsid w:val="006C71B2"/>
    <w:rsid w:val="006D5A77"/>
    <w:rsid w:val="006E2227"/>
    <w:rsid w:val="006E3023"/>
    <w:rsid w:val="006F0B49"/>
    <w:rsid w:val="00700CA8"/>
    <w:rsid w:val="00700D24"/>
    <w:rsid w:val="00702439"/>
    <w:rsid w:val="00722887"/>
    <w:rsid w:val="00725D35"/>
    <w:rsid w:val="00727F15"/>
    <w:rsid w:val="0073007F"/>
    <w:rsid w:val="00735A6F"/>
    <w:rsid w:val="00743152"/>
    <w:rsid w:val="0075079C"/>
    <w:rsid w:val="00751CB7"/>
    <w:rsid w:val="007670A8"/>
    <w:rsid w:val="00767CC2"/>
    <w:rsid w:val="0077022D"/>
    <w:rsid w:val="00772B79"/>
    <w:rsid w:val="00775329"/>
    <w:rsid w:val="00780B7B"/>
    <w:rsid w:val="00781578"/>
    <w:rsid w:val="0078424B"/>
    <w:rsid w:val="00785FFB"/>
    <w:rsid w:val="00786AAC"/>
    <w:rsid w:val="007904EC"/>
    <w:rsid w:val="00790D8E"/>
    <w:rsid w:val="00796F70"/>
    <w:rsid w:val="007979D3"/>
    <w:rsid w:val="007B2BD3"/>
    <w:rsid w:val="007B6825"/>
    <w:rsid w:val="007B6831"/>
    <w:rsid w:val="007B70BE"/>
    <w:rsid w:val="007C0CBC"/>
    <w:rsid w:val="007C535E"/>
    <w:rsid w:val="007C7D51"/>
    <w:rsid w:val="007D46E9"/>
    <w:rsid w:val="007D634C"/>
    <w:rsid w:val="007D73AC"/>
    <w:rsid w:val="007E3DFD"/>
    <w:rsid w:val="007E5496"/>
    <w:rsid w:val="007E68F9"/>
    <w:rsid w:val="007F64D2"/>
    <w:rsid w:val="00807ED6"/>
    <w:rsid w:val="008130BB"/>
    <w:rsid w:val="00815389"/>
    <w:rsid w:val="0081739C"/>
    <w:rsid w:val="008309BE"/>
    <w:rsid w:val="00830A44"/>
    <w:rsid w:val="00831398"/>
    <w:rsid w:val="00834C10"/>
    <w:rsid w:val="00834EEA"/>
    <w:rsid w:val="00842A69"/>
    <w:rsid w:val="00844F77"/>
    <w:rsid w:val="008458BE"/>
    <w:rsid w:val="00852E7B"/>
    <w:rsid w:val="0086781E"/>
    <w:rsid w:val="00870751"/>
    <w:rsid w:val="008724FF"/>
    <w:rsid w:val="00873A6C"/>
    <w:rsid w:val="008831B9"/>
    <w:rsid w:val="0088381F"/>
    <w:rsid w:val="008841E0"/>
    <w:rsid w:val="00896D41"/>
    <w:rsid w:val="008A4AD9"/>
    <w:rsid w:val="008A64A9"/>
    <w:rsid w:val="008C00D5"/>
    <w:rsid w:val="008C028A"/>
    <w:rsid w:val="008C06B0"/>
    <w:rsid w:val="008C1252"/>
    <w:rsid w:val="008C481B"/>
    <w:rsid w:val="008C63CA"/>
    <w:rsid w:val="008D2516"/>
    <w:rsid w:val="008E01F7"/>
    <w:rsid w:val="008E047F"/>
    <w:rsid w:val="008E094A"/>
    <w:rsid w:val="008E44F1"/>
    <w:rsid w:val="008E5972"/>
    <w:rsid w:val="00902D4F"/>
    <w:rsid w:val="009030E1"/>
    <w:rsid w:val="009041E5"/>
    <w:rsid w:val="00907666"/>
    <w:rsid w:val="009107E2"/>
    <w:rsid w:val="00911AF0"/>
    <w:rsid w:val="009142A0"/>
    <w:rsid w:val="009151BB"/>
    <w:rsid w:val="00922821"/>
    <w:rsid w:val="009263E1"/>
    <w:rsid w:val="0093500A"/>
    <w:rsid w:val="009355DB"/>
    <w:rsid w:val="00937044"/>
    <w:rsid w:val="00940CDE"/>
    <w:rsid w:val="00950F31"/>
    <w:rsid w:val="00951F91"/>
    <w:rsid w:val="009609ED"/>
    <w:rsid w:val="00962FF7"/>
    <w:rsid w:val="009640B5"/>
    <w:rsid w:val="009662F4"/>
    <w:rsid w:val="009662FB"/>
    <w:rsid w:val="00967ECE"/>
    <w:rsid w:val="009745F4"/>
    <w:rsid w:val="00975198"/>
    <w:rsid w:val="00992547"/>
    <w:rsid w:val="00993D5C"/>
    <w:rsid w:val="009C65FD"/>
    <w:rsid w:val="009D1162"/>
    <w:rsid w:val="009D385C"/>
    <w:rsid w:val="009D3A4A"/>
    <w:rsid w:val="009E2026"/>
    <w:rsid w:val="009E5993"/>
    <w:rsid w:val="009E73E8"/>
    <w:rsid w:val="009F0617"/>
    <w:rsid w:val="009F243C"/>
    <w:rsid w:val="00A04692"/>
    <w:rsid w:val="00A14708"/>
    <w:rsid w:val="00A46A70"/>
    <w:rsid w:val="00A515F6"/>
    <w:rsid w:val="00A56521"/>
    <w:rsid w:val="00A6609C"/>
    <w:rsid w:val="00A67FEB"/>
    <w:rsid w:val="00A70224"/>
    <w:rsid w:val="00A85D0C"/>
    <w:rsid w:val="00A86CD0"/>
    <w:rsid w:val="00AA1263"/>
    <w:rsid w:val="00AB2FB3"/>
    <w:rsid w:val="00AB333A"/>
    <w:rsid w:val="00AB7AD0"/>
    <w:rsid w:val="00AC14E1"/>
    <w:rsid w:val="00AC5256"/>
    <w:rsid w:val="00AC632A"/>
    <w:rsid w:val="00AD1FE2"/>
    <w:rsid w:val="00AE0CAD"/>
    <w:rsid w:val="00AE21C1"/>
    <w:rsid w:val="00AE4B56"/>
    <w:rsid w:val="00AE643F"/>
    <w:rsid w:val="00AF1A0C"/>
    <w:rsid w:val="00AF1B6E"/>
    <w:rsid w:val="00AF2364"/>
    <w:rsid w:val="00B046FB"/>
    <w:rsid w:val="00B12327"/>
    <w:rsid w:val="00B23B8B"/>
    <w:rsid w:val="00B27245"/>
    <w:rsid w:val="00B33CF8"/>
    <w:rsid w:val="00B36375"/>
    <w:rsid w:val="00B424D2"/>
    <w:rsid w:val="00B463D8"/>
    <w:rsid w:val="00B52112"/>
    <w:rsid w:val="00B52CF3"/>
    <w:rsid w:val="00B65359"/>
    <w:rsid w:val="00B658D6"/>
    <w:rsid w:val="00B72336"/>
    <w:rsid w:val="00B81BE3"/>
    <w:rsid w:val="00B83AF7"/>
    <w:rsid w:val="00B84075"/>
    <w:rsid w:val="00B860E4"/>
    <w:rsid w:val="00B92E1A"/>
    <w:rsid w:val="00B9737A"/>
    <w:rsid w:val="00BA0C7E"/>
    <w:rsid w:val="00BA396A"/>
    <w:rsid w:val="00BB1B93"/>
    <w:rsid w:val="00BB2953"/>
    <w:rsid w:val="00BC068E"/>
    <w:rsid w:val="00BC66C1"/>
    <w:rsid w:val="00BC6DB9"/>
    <w:rsid w:val="00BD0CDF"/>
    <w:rsid w:val="00BE0665"/>
    <w:rsid w:val="00BE12D2"/>
    <w:rsid w:val="00BE6E66"/>
    <w:rsid w:val="00BF0750"/>
    <w:rsid w:val="00BF4106"/>
    <w:rsid w:val="00BF7C38"/>
    <w:rsid w:val="00C03B0E"/>
    <w:rsid w:val="00C05562"/>
    <w:rsid w:val="00C05BB4"/>
    <w:rsid w:val="00C13D2A"/>
    <w:rsid w:val="00C167E3"/>
    <w:rsid w:val="00C1735E"/>
    <w:rsid w:val="00C177E7"/>
    <w:rsid w:val="00C17A56"/>
    <w:rsid w:val="00C276D9"/>
    <w:rsid w:val="00C36B1F"/>
    <w:rsid w:val="00C44F96"/>
    <w:rsid w:val="00C4630A"/>
    <w:rsid w:val="00C527EF"/>
    <w:rsid w:val="00C537E3"/>
    <w:rsid w:val="00C548F2"/>
    <w:rsid w:val="00C55F0E"/>
    <w:rsid w:val="00C6513E"/>
    <w:rsid w:val="00C67EDD"/>
    <w:rsid w:val="00C70E99"/>
    <w:rsid w:val="00C80407"/>
    <w:rsid w:val="00C83708"/>
    <w:rsid w:val="00C83D05"/>
    <w:rsid w:val="00C9494E"/>
    <w:rsid w:val="00CA06BB"/>
    <w:rsid w:val="00CA2039"/>
    <w:rsid w:val="00CA2EFE"/>
    <w:rsid w:val="00CB2424"/>
    <w:rsid w:val="00CC4092"/>
    <w:rsid w:val="00CD384C"/>
    <w:rsid w:val="00CF1F0E"/>
    <w:rsid w:val="00CF63A8"/>
    <w:rsid w:val="00D13D33"/>
    <w:rsid w:val="00D261B0"/>
    <w:rsid w:val="00D3076D"/>
    <w:rsid w:val="00D3160E"/>
    <w:rsid w:val="00D46403"/>
    <w:rsid w:val="00D466A6"/>
    <w:rsid w:val="00D47C9E"/>
    <w:rsid w:val="00D55905"/>
    <w:rsid w:val="00D669D9"/>
    <w:rsid w:val="00D6712F"/>
    <w:rsid w:val="00D75E02"/>
    <w:rsid w:val="00D830C3"/>
    <w:rsid w:val="00DA3FF7"/>
    <w:rsid w:val="00DB0F44"/>
    <w:rsid w:val="00DB54EB"/>
    <w:rsid w:val="00DC3776"/>
    <w:rsid w:val="00DD2543"/>
    <w:rsid w:val="00DD35BA"/>
    <w:rsid w:val="00DD3F9A"/>
    <w:rsid w:val="00DF5511"/>
    <w:rsid w:val="00E03988"/>
    <w:rsid w:val="00E161D9"/>
    <w:rsid w:val="00E22BD6"/>
    <w:rsid w:val="00E23BC2"/>
    <w:rsid w:val="00E2546E"/>
    <w:rsid w:val="00E27BC4"/>
    <w:rsid w:val="00E306E3"/>
    <w:rsid w:val="00E31C95"/>
    <w:rsid w:val="00E32C5E"/>
    <w:rsid w:val="00E4293F"/>
    <w:rsid w:val="00E50C45"/>
    <w:rsid w:val="00E511D0"/>
    <w:rsid w:val="00E52EB9"/>
    <w:rsid w:val="00E56ED8"/>
    <w:rsid w:val="00E61ECF"/>
    <w:rsid w:val="00E61F77"/>
    <w:rsid w:val="00E6366C"/>
    <w:rsid w:val="00E63A9D"/>
    <w:rsid w:val="00E6499C"/>
    <w:rsid w:val="00E7079C"/>
    <w:rsid w:val="00E72B3D"/>
    <w:rsid w:val="00E83DFD"/>
    <w:rsid w:val="00E83E2D"/>
    <w:rsid w:val="00E9248F"/>
    <w:rsid w:val="00E93BC6"/>
    <w:rsid w:val="00E94754"/>
    <w:rsid w:val="00E95253"/>
    <w:rsid w:val="00E97840"/>
    <w:rsid w:val="00E97F9F"/>
    <w:rsid w:val="00EA3C96"/>
    <w:rsid w:val="00EA40DD"/>
    <w:rsid w:val="00EB5557"/>
    <w:rsid w:val="00EC7D3C"/>
    <w:rsid w:val="00EE3F4F"/>
    <w:rsid w:val="00EE6051"/>
    <w:rsid w:val="00EF2B00"/>
    <w:rsid w:val="00EF3741"/>
    <w:rsid w:val="00EF6852"/>
    <w:rsid w:val="00F011C1"/>
    <w:rsid w:val="00F06084"/>
    <w:rsid w:val="00F214D7"/>
    <w:rsid w:val="00F30CEF"/>
    <w:rsid w:val="00F36FC9"/>
    <w:rsid w:val="00F5080F"/>
    <w:rsid w:val="00F6037E"/>
    <w:rsid w:val="00F727FE"/>
    <w:rsid w:val="00F76629"/>
    <w:rsid w:val="00F77F57"/>
    <w:rsid w:val="00F84C2D"/>
    <w:rsid w:val="00F8623C"/>
    <w:rsid w:val="00F941F0"/>
    <w:rsid w:val="00F9692C"/>
    <w:rsid w:val="00FB5281"/>
    <w:rsid w:val="00FD2228"/>
    <w:rsid w:val="00FD2599"/>
    <w:rsid w:val="00FE032A"/>
    <w:rsid w:val="00FE2030"/>
    <w:rsid w:val="00FE2F87"/>
    <w:rsid w:val="00FF50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5A8C6"/>
  <w15:chartTrackingRefBased/>
  <w15:docId w15:val="{A675F8B2-98A7-4EF2-9F17-1CB1941F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A56"/>
    <w:pPr>
      <w:spacing w:after="240" w:line="276" w:lineRule="auto"/>
      <w:ind w:left="624"/>
      <w:jc w:val="both"/>
    </w:pPr>
    <w:rPr>
      <w:rFonts w:ascii="Arial" w:hAnsi="Arial" w:cs="Arial"/>
      <w:sz w:val="23"/>
      <w:szCs w:val="23"/>
    </w:rPr>
  </w:style>
  <w:style w:type="paragraph" w:styleId="Ttulo1">
    <w:name w:val="heading 1"/>
    <w:basedOn w:val="Normal"/>
    <w:next w:val="Normal"/>
    <w:link w:val="Ttulo1Car"/>
    <w:uiPriority w:val="9"/>
    <w:qFormat/>
    <w:rsid w:val="004E2378"/>
    <w:pPr>
      <w:numPr>
        <w:numId w:val="1"/>
      </w:numPr>
      <w:spacing w:before="360" w:after="360"/>
      <w:ind w:left="431" w:hanging="431"/>
      <w:jc w:val="center"/>
      <w:outlineLvl w:val="0"/>
    </w:pPr>
    <w:rPr>
      <w:rFonts w:ascii="Arial Negrita" w:hAnsi="Arial Negrita"/>
      <w:b/>
      <w:bCs/>
      <w:sz w:val="28"/>
      <w:szCs w:val="28"/>
    </w:rPr>
  </w:style>
  <w:style w:type="paragraph" w:styleId="Ttulo2">
    <w:name w:val="heading 2"/>
    <w:basedOn w:val="Normal"/>
    <w:next w:val="Normal"/>
    <w:link w:val="Ttulo2Car"/>
    <w:uiPriority w:val="9"/>
    <w:unhideWhenUsed/>
    <w:qFormat/>
    <w:rsid w:val="006960EF"/>
    <w:pPr>
      <w:numPr>
        <w:ilvl w:val="1"/>
        <w:numId w:val="1"/>
      </w:numPr>
      <w:spacing w:before="360" w:after="0"/>
      <w:ind w:left="624" w:hanging="624"/>
      <w:outlineLvl w:val="1"/>
    </w:pPr>
    <w:rPr>
      <w:b/>
      <w:bCs/>
      <w:sz w:val="24"/>
      <w:szCs w:val="24"/>
    </w:rPr>
  </w:style>
  <w:style w:type="paragraph" w:styleId="Ttulo3">
    <w:name w:val="heading 3"/>
    <w:basedOn w:val="Normal"/>
    <w:next w:val="Normal"/>
    <w:link w:val="Ttulo3Car"/>
    <w:uiPriority w:val="9"/>
    <w:unhideWhenUsed/>
    <w:qFormat/>
    <w:rsid w:val="002D3D4B"/>
    <w:pPr>
      <w:numPr>
        <w:numId w:val="3"/>
      </w:numPr>
      <w:spacing w:before="480"/>
      <w:ind w:left="981" w:hanging="357"/>
      <w:outlineLvl w:val="2"/>
    </w:pPr>
    <w:rPr>
      <w:b/>
    </w:rPr>
  </w:style>
  <w:style w:type="paragraph" w:styleId="Ttulo4">
    <w:name w:val="heading 4"/>
    <w:basedOn w:val="Normal"/>
    <w:next w:val="Normal"/>
    <w:link w:val="Ttulo4Car"/>
    <w:uiPriority w:val="9"/>
    <w:semiHidden/>
    <w:unhideWhenUsed/>
    <w:qFormat/>
    <w:rsid w:val="009F061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F061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9F061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9F061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9F061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F061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06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0617"/>
  </w:style>
  <w:style w:type="paragraph" w:styleId="Piedepgina">
    <w:name w:val="footer"/>
    <w:basedOn w:val="Normal"/>
    <w:link w:val="PiedepginaCar"/>
    <w:uiPriority w:val="99"/>
    <w:unhideWhenUsed/>
    <w:rsid w:val="009F06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0617"/>
  </w:style>
  <w:style w:type="table" w:styleId="Tablaconcuadrcula">
    <w:name w:val="Table Grid"/>
    <w:basedOn w:val="Tablanormal"/>
    <w:uiPriority w:val="59"/>
    <w:rsid w:val="009F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E2378"/>
    <w:rPr>
      <w:rFonts w:ascii="Arial Negrita" w:hAnsi="Arial Negrita" w:cs="Arial"/>
      <w:b/>
      <w:bCs/>
      <w:sz w:val="28"/>
      <w:szCs w:val="28"/>
    </w:rPr>
  </w:style>
  <w:style w:type="character" w:customStyle="1" w:styleId="Ttulo2Car">
    <w:name w:val="Título 2 Car"/>
    <w:basedOn w:val="Fuentedeprrafopredeter"/>
    <w:link w:val="Ttulo2"/>
    <w:uiPriority w:val="9"/>
    <w:rsid w:val="006960EF"/>
    <w:rPr>
      <w:rFonts w:ascii="Arial" w:hAnsi="Arial" w:cs="Arial"/>
      <w:b/>
      <w:bCs/>
      <w:sz w:val="24"/>
      <w:szCs w:val="24"/>
    </w:rPr>
  </w:style>
  <w:style w:type="character" w:customStyle="1" w:styleId="Ttulo3Car">
    <w:name w:val="Título 3 Car"/>
    <w:basedOn w:val="Fuentedeprrafopredeter"/>
    <w:link w:val="Ttulo3"/>
    <w:uiPriority w:val="9"/>
    <w:rsid w:val="002D3D4B"/>
    <w:rPr>
      <w:rFonts w:ascii="Arial" w:hAnsi="Arial" w:cs="Arial"/>
      <w:b/>
      <w:sz w:val="23"/>
      <w:szCs w:val="23"/>
    </w:rPr>
  </w:style>
  <w:style w:type="character" w:customStyle="1" w:styleId="Ttulo4Car">
    <w:name w:val="Título 4 Car"/>
    <w:basedOn w:val="Fuentedeprrafopredeter"/>
    <w:link w:val="Ttulo4"/>
    <w:uiPriority w:val="9"/>
    <w:semiHidden/>
    <w:rsid w:val="009F0617"/>
    <w:rPr>
      <w:rFonts w:asciiTheme="majorHAnsi" w:eastAsiaTheme="majorEastAsia" w:hAnsiTheme="majorHAnsi" w:cstheme="majorBidi"/>
      <w:i/>
      <w:iCs/>
      <w:color w:val="2F5496" w:themeColor="accent1" w:themeShade="BF"/>
      <w:sz w:val="23"/>
      <w:szCs w:val="23"/>
    </w:rPr>
  </w:style>
  <w:style w:type="character" w:customStyle="1" w:styleId="Ttulo5Car">
    <w:name w:val="Título 5 Car"/>
    <w:basedOn w:val="Fuentedeprrafopredeter"/>
    <w:link w:val="Ttulo5"/>
    <w:uiPriority w:val="9"/>
    <w:semiHidden/>
    <w:rsid w:val="009F0617"/>
    <w:rPr>
      <w:rFonts w:asciiTheme="majorHAnsi" w:eastAsiaTheme="majorEastAsia" w:hAnsiTheme="majorHAnsi" w:cstheme="majorBidi"/>
      <w:color w:val="2F5496" w:themeColor="accent1" w:themeShade="BF"/>
      <w:sz w:val="23"/>
      <w:szCs w:val="23"/>
    </w:rPr>
  </w:style>
  <w:style w:type="character" w:customStyle="1" w:styleId="Ttulo6Car">
    <w:name w:val="Título 6 Car"/>
    <w:basedOn w:val="Fuentedeprrafopredeter"/>
    <w:link w:val="Ttulo6"/>
    <w:uiPriority w:val="9"/>
    <w:semiHidden/>
    <w:rsid w:val="009F0617"/>
    <w:rPr>
      <w:rFonts w:asciiTheme="majorHAnsi" w:eastAsiaTheme="majorEastAsia" w:hAnsiTheme="majorHAnsi" w:cstheme="majorBidi"/>
      <w:color w:val="1F3763" w:themeColor="accent1" w:themeShade="7F"/>
      <w:sz w:val="23"/>
      <w:szCs w:val="23"/>
    </w:rPr>
  </w:style>
  <w:style w:type="character" w:customStyle="1" w:styleId="Ttulo7Car">
    <w:name w:val="Título 7 Car"/>
    <w:basedOn w:val="Fuentedeprrafopredeter"/>
    <w:link w:val="Ttulo7"/>
    <w:uiPriority w:val="9"/>
    <w:semiHidden/>
    <w:rsid w:val="009F0617"/>
    <w:rPr>
      <w:rFonts w:asciiTheme="majorHAnsi" w:eastAsiaTheme="majorEastAsia" w:hAnsiTheme="majorHAnsi" w:cstheme="majorBidi"/>
      <w:i/>
      <w:iCs/>
      <w:color w:val="1F3763" w:themeColor="accent1" w:themeShade="7F"/>
      <w:sz w:val="23"/>
      <w:szCs w:val="23"/>
    </w:rPr>
  </w:style>
  <w:style w:type="character" w:customStyle="1" w:styleId="Ttulo8Car">
    <w:name w:val="Título 8 Car"/>
    <w:basedOn w:val="Fuentedeprrafopredeter"/>
    <w:link w:val="Ttulo8"/>
    <w:uiPriority w:val="9"/>
    <w:semiHidden/>
    <w:rsid w:val="009F0617"/>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F0617"/>
    <w:rPr>
      <w:rFonts w:asciiTheme="majorHAnsi" w:eastAsiaTheme="majorEastAsia" w:hAnsiTheme="majorHAnsi" w:cstheme="majorBidi"/>
      <w:i/>
      <w:iCs/>
      <w:color w:val="272727" w:themeColor="text1" w:themeTint="D8"/>
      <w:sz w:val="21"/>
      <w:szCs w:val="21"/>
    </w:rPr>
  </w:style>
  <w:style w:type="paragraph" w:customStyle="1" w:styleId="Puntos">
    <w:name w:val="Puntos"/>
    <w:basedOn w:val="Normal"/>
    <w:link w:val="PuntosCar"/>
    <w:qFormat/>
    <w:rsid w:val="00425D47"/>
    <w:pPr>
      <w:ind w:left="510"/>
    </w:pPr>
    <w:rPr>
      <w:rFonts w:ascii="Calisto MT" w:hAnsi="Calisto MT" w:cstheme="minorBidi"/>
      <w:sz w:val="24"/>
      <w:szCs w:val="24"/>
    </w:rPr>
  </w:style>
  <w:style w:type="character" w:customStyle="1" w:styleId="PuntosCar">
    <w:name w:val="Puntos Car"/>
    <w:basedOn w:val="Fuentedeprrafopredeter"/>
    <w:link w:val="Puntos"/>
    <w:rsid w:val="00425D47"/>
    <w:rPr>
      <w:rFonts w:ascii="Calisto MT" w:hAnsi="Calisto MT"/>
      <w:sz w:val="24"/>
      <w:szCs w:val="24"/>
    </w:rPr>
  </w:style>
  <w:style w:type="paragraph" w:styleId="Cita">
    <w:name w:val="Quote"/>
    <w:basedOn w:val="Normal"/>
    <w:next w:val="Normal"/>
    <w:link w:val="CitaCar"/>
    <w:uiPriority w:val="29"/>
    <w:qFormat/>
    <w:rsid w:val="00785FFB"/>
    <w:pPr>
      <w:spacing w:line="288" w:lineRule="auto"/>
      <w:ind w:left="1191" w:right="567"/>
    </w:pPr>
    <w:rPr>
      <w:sz w:val="18"/>
      <w:szCs w:val="18"/>
    </w:rPr>
  </w:style>
  <w:style w:type="character" w:customStyle="1" w:styleId="CitaCar">
    <w:name w:val="Cita Car"/>
    <w:basedOn w:val="Fuentedeprrafopredeter"/>
    <w:link w:val="Cita"/>
    <w:uiPriority w:val="29"/>
    <w:rsid w:val="00785FFB"/>
    <w:rPr>
      <w:rFonts w:ascii="Arial" w:hAnsi="Arial" w:cs="Arial"/>
      <w:sz w:val="18"/>
      <w:szCs w:val="18"/>
    </w:rPr>
  </w:style>
  <w:style w:type="character" w:styleId="Refdecomentario">
    <w:name w:val="annotation reference"/>
    <w:basedOn w:val="Fuentedeprrafopredeter"/>
    <w:uiPriority w:val="99"/>
    <w:semiHidden/>
    <w:unhideWhenUsed/>
    <w:rsid w:val="00522CD4"/>
    <w:rPr>
      <w:sz w:val="16"/>
      <w:szCs w:val="16"/>
    </w:rPr>
  </w:style>
  <w:style w:type="paragraph" w:styleId="Textocomentario">
    <w:name w:val="annotation text"/>
    <w:basedOn w:val="Normal"/>
    <w:link w:val="TextocomentarioCar"/>
    <w:uiPriority w:val="99"/>
    <w:unhideWhenUsed/>
    <w:rsid w:val="00522CD4"/>
    <w:pPr>
      <w:spacing w:line="240" w:lineRule="auto"/>
    </w:pPr>
    <w:rPr>
      <w:sz w:val="20"/>
      <w:szCs w:val="20"/>
    </w:rPr>
  </w:style>
  <w:style w:type="character" w:customStyle="1" w:styleId="TextocomentarioCar">
    <w:name w:val="Texto comentario Car"/>
    <w:basedOn w:val="Fuentedeprrafopredeter"/>
    <w:link w:val="Textocomentario"/>
    <w:uiPriority w:val="99"/>
    <w:rsid w:val="00522CD4"/>
    <w:rPr>
      <w:rFonts w:ascii="Arial" w:hAnsi="Arial" w:cs="Arial"/>
      <w:sz w:val="20"/>
      <w:szCs w:val="20"/>
    </w:rPr>
  </w:style>
  <w:style w:type="paragraph" w:styleId="Textodeglobo">
    <w:name w:val="Balloon Text"/>
    <w:basedOn w:val="Normal"/>
    <w:link w:val="TextodegloboCar"/>
    <w:uiPriority w:val="99"/>
    <w:semiHidden/>
    <w:unhideWhenUsed/>
    <w:rsid w:val="00522C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2CD4"/>
    <w:rPr>
      <w:rFonts w:ascii="Segoe UI" w:hAnsi="Segoe UI" w:cs="Segoe UI"/>
      <w:sz w:val="18"/>
      <w:szCs w:val="18"/>
    </w:rPr>
  </w:style>
  <w:style w:type="paragraph" w:styleId="Ttulo">
    <w:name w:val="Title"/>
    <w:basedOn w:val="Normal"/>
    <w:next w:val="Normal"/>
    <w:link w:val="TtuloCar"/>
    <w:uiPriority w:val="10"/>
    <w:qFormat/>
    <w:rsid w:val="00FE032A"/>
    <w:pPr>
      <w:ind w:left="0"/>
    </w:pPr>
    <w:rPr>
      <w:b/>
      <w:bCs/>
    </w:rPr>
  </w:style>
  <w:style w:type="character" w:customStyle="1" w:styleId="TtuloCar">
    <w:name w:val="Título Car"/>
    <w:basedOn w:val="Fuentedeprrafopredeter"/>
    <w:link w:val="Ttulo"/>
    <w:uiPriority w:val="10"/>
    <w:rsid w:val="00FE032A"/>
    <w:rPr>
      <w:rFonts w:ascii="Arial" w:hAnsi="Arial" w:cs="Arial"/>
      <w:b/>
      <w:bCs/>
      <w:sz w:val="23"/>
      <w:szCs w:val="23"/>
    </w:rPr>
  </w:style>
  <w:style w:type="paragraph" w:styleId="Textonotapie">
    <w:name w:val="footnote text"/>
    <w:basedOn w:val="Normal"/>
    <w:link w:val="TextonotapieCar"/>
    <w:uiPriority w:val="99"/>
    <w:semiHidden/>
    <w:unhideWhenUsed/>
    <w:rsid w:val="00EA3C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3C96"/>
    <w:rPr>
      <w:rFonts w:ascii="Arial" w:hAnsi="Arial" w:cs="Arial"/>
      <w:sz w:val="20"/>
      <w:szCs w:val="20"/>
    </w:rPr>
  </w:style>
  <w:style w:type="character" w:styleId="Refdenotaalpie">
    <w:name w:val="footnote reference"/>
    <w:basedOn w:val="Fuentedeprrafopredeter"/>
    <w:uiPriority w:val="99"/>
    <w:semiHidden/>
    <w:unhideWhenUsed/>
    <w:rsid w:val="00EA3C96"/>
    <w:rPr>
      <w:vertAlign w:val="superscript"/>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830A44"/>
    <w:pPr>
      <w:spacing w:line="283" w:lineRule="auto"/>
      <w:ind w:left="720"/>
      <w:contextualSpacing/>
    </w:pPr>
    <w:rPr>
      <w:sz w:val="24"/>
      <w:szCs w:val="24"/>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830A4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2EF66-1672-4B70-ABB9-CE0D0C03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19</Pages>
  <Words>5454</Words>
  <Characters>29998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Lic_ Carlos E. León Mayo</cp:lastModifiedBy>
  <cp:revision>579</cp:revision>
  <cp:lastPrinted>2023-03-28T05:09:00Z</cp:lastPrinted>
  <dcterms:created xsi:type="dcterms:W3CDTF">2023-03-21T00:45:00Z</dcterms:created>
  <dcterms:modified xsi:type="dcterms:W3CDTF">2023-04-03T17:06:00Z</dcterms:modified>
</cp:coreProperties>
</file>