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BEDF6" w14:textId="76598930" w:rsidR="00D12F6B" w:rsidRPr="005D105E" w:rsidRDefault="00355243" w:rsidP="00D12F6B">
      <w:pPr>
        <w:rPr>
          <w:b/>
          <w:bCs/>
          <w:sz w:val="24"/>
          <w:szCs w:val="24"/>
        </w:rPr>
      </w:pPr>
      <w:r w:rsidRPr="005D105E">
        <w:rPr>
          <w:b/>
          <w:bCs/>
          <w:sz w:val="24"/>
          <w:szCs w:val="24"/>
        </w:rPr>
        <w:t>ACUERDO QUE EMITE EL CONSEJO ESTATAL DEL INSTITUTO ELECTORAL Y DE PARTICIPACIÓN CIUDADANA DE TABASCO, POR EL QUE DETERMINAN LOS LÍMITES AL FINANCIAMIENTO PRIVADO QUE PODRÁN RECIBIR LOS PARTIDOS POLÍTICOS DE SU MILITANCIA, SIMPATIZANTES Y CANDIDATURAS DURANTE EL EJERCICIO 2024</w:t>
      </w:r>
    </w:p>
    <w:p w14:paraId="10AFB8A7" w14:textId="77777777" w:rsidR="00892AE2" w:rsidRDefault="00892AE2" w:rsidP="00D12F6B"/>
    <w:p w14:paraId="77237639" w14:textId="77777777" w:rsidR="00353872" w:rsidRDefault="00353872" w:rsidP="00353872">
      <w:pPr>
        <w:widowControl w:val="0"/>
      </w:pPr>
      <w:r w:rsidRPr="00891696">
        <w:t>Para efectos del presente acuerdo se usarán las abreviaturas y definiciones siguientes:</w:t>
      </w:r>
    </w:p>
    <w:p w14:paraId="30DE8856" w14:textId="77777777" w:rsidR="00892AE2" w:rsidRPr="00891696" w:rsidRDefault="00892AE2" w:rsidP="00353872">
      <w:pPr>
        <w:widowControl w:val="0"/>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353872" w:rsidRPr="00891696" w14:paraId="513427D2" w14:textId="77777777" w:rsidTr="00CE22A6">
        <w:trPr>
          <w:trHeight w:val="624"/>
          <w:jc w:val="center"/>
        </w:trPr>
        <w:tc>
          <w:tcPr>
            <w:tcW w:w="2042" w:type="pct"/>
            <w:shd w:val="clear" w:color="auto" w:fill="auto"/>
            <w:vAlign w:val="center"/>
          </w:tcPr>
          <w:p w14:paraId="7E626F4D" w14:textId="77777777" w:rsidR="00353872" w:rsidRPr="00355243" w:rsidRDefault="00353872" w:rsidP="00CE22A6">
            <w:pPr>
              <w:widowControl w:val="0"/>
              <w:spacing w:before="60" w:after="60"/>
              <w:ind w:left="57"/>
              <w:jc w:val="right"/>
              <w:rPr>
                <w:b/>
                <w:sz w:val="20"/>
                <w:szCs w:val="20"/>
              </w:rPr>
            </w:pPr>
            <w:r w:rsidRPr="00355243">
              <w:rPr>
                <w:b/>
                <w:sz w:val="20"/>
                <w:szCs w:val="20"/>
              </w:rPr>
              <w:t>Consejo Estatal:</w:t>
            </w:r>
          </w:p>
        </w:tc>
        <w:tc>
          <w:tcPr>
            <w:tcW w:w="2958" w:type="pct"/>
            <w:shd w:val="clear" w:color="auto" w:fill="auto"/>
            <w:vAlign w:val="center"/>
          </w:tcPr>
          <w:p w14:paraId="2154E725" w14:textId="77777777" w:rsidR="00353872" w:rsidRPr="00355243" w:rsidRDefault="00353872" w:rsidP="00CE22A6">
            <w:pPr>
              <w:widowControl w:val="0"/>
              <w:spacing w:before="60" w:after="60"/>
              <w:ind w:left="57"/>
              <w:rPr>
                <w:sz w:val="20"/>
                <w:szCs w:val="20"/>
              </w:rPr>
            </w:pPr>
            <w:r w:rsidRPr="00355243">
              <w:rPr>
                <w:sz w:val="20"/>
                <w:szCs w:val="20"/>
              </w:rPr>
              <w:t>Consejo Estatal del Instituto Electoral y de Participación Ciudadana de Tabasco.</w:t>
            </w:r>
          </w:p>
        </w:tc>
      </w:tr>
      <w:tr w:rsidR="00353872" w:rsidRPr="00891696" w14:paraId="6149DF83" w14:textId="77777777" w:rsidTr="00CE22A6">
        <w:trPr>
          <w:trHeight w:val="624"/>
          <w:jc w:val="center"/>
        </w:trPr>
        <w:tc>
          <w:tcPr>
            <w:tcW w:w="2042" w:type="pct"/>
            <w:shd w:val="clear" w:color="auto" w:fill="auto"/>
            <w:vAlign w:val="center"/>
          </w:tcPr>
          <w:p w14:paraId="58E871AA" w14:textId="77777777" w:rsidR="00353872" w:rsidRPr="00355243" w:rsidRDefault="00353872" w:rsidP="00CE22A6">
            <w:pPr>
              <w:widowControl w:val="0"/>
              <w:spacing w:before="60" w:after="60"/>
              <w:ind w:left="57"/>
              <w:jc w:val="right"/>
              <w:rPr>
                <w:b/>
                <w:sz w:val="20"/>
                <w:szCs w:val="20"/>
              </w:rPr>
            </w:pPr>
            <w:r w:rsidRPr="00355243">
              <w:rPr>
                <w:b/>
                <w:sz w:val="20"/>
                <w:szCs w:val="20"/>
              </w:rPr>
              <w:t>Constitución Federal:</w:t>
            </w:r>
          </w:p>
        </w:tc>
        <w:tc>
          <w:tcPr>
            <w:tcW w:w="2958" w:type="pct"/>
            <w:shd w:val="clear" w:color="auto" w:fill="auto"/>
            <w:vAlign w:val="center"/>
          </w:tcPr>
          <w:p w14:paraId="685D6072" w14:textId="77777777" w:rsidR="00353872" w:rsidRPr="00355243" w:rsidRDefault="00353872" w:rsidP="00CE22A6">
            <w:pPr>
              <w:widowControl w:val="0"/>
              <w:spacing w:before="60" w:after="60"/>
              <w:ind w:left="57"/>
              <w:rPr>
                <w:sz w:val="20"/>
                <w:szCs w:val="20"/>
              </w:rPr>
            </w:pPr>
            <w:r w:rsidRPr="00355243">
              <w:rPr>
                <w:sz w:val="20"/>
                <w:szCs w:val="20"/>
              </w:rPr>
              <w:t>Constitución Política de los Estados Unidos Mexicanos.</w:t>
            </w:r>
          </w:p>
        </w:tc>
      </w:tr>
      <w:tr w:rsidR="00353872" w:rsidRPr="00891696" w14:paraId="10CC0BE0" w14:textId="77777777" w:rsidTr="00CE22A6">
        <w:trPr>
          <w:trHeight w:val="624"/>
          <w:jc w:val="center"/>
        </w:trPr>
        <w:tc>
          <w:tcPr>
            <w:tcW w:w="2042" w:type="pct"/>
            <w:shd w:val="clear" w:color="auto" w:fill="auto"/>
            <w:vAlign w:val="center"/>
          </w:tcPr>
          <w:p w14:paraId="6A108638" w14:textId="77777777" w:rsidR="00353872" w:rsidRPr="00355243" w:rsidRDefault="00353872" w:rsidP="00CE22A6">
            <w:pPr>
              <w:widowControl w:val="0"/>
              <w:spacing w:before="60" w:after="60"/>
              <w:ind w:left="57"/>
              <w:jc w:val="right"/>
              <w:rPr>
                <w:b/>
                <w:sz w:val="20"/>
                <w:szCs w:val="20"/>
              </w:rPr>
            </w:pPr>
            <w:r w:rsidRPr="00355243">
              <w:rPr>
                <w:b/>
                <w:sz w:val="20"/>
                <w:szCs w:val="20"/>
              </w:rPr>
              <w:t>Constitución Local:</w:t>
            </w:r>
          </w:p>
        </w:tc>
        <w:tc>
          <w:tcPr>
            <w:tcW w:w="2958" w:type="pct"/>
            <w:shd w:val="clear" w:color="auto" w:fill="auto"/>
            <w:vAlign w:val="center"/>
          </w:tcPr>
          <w:p w14:paraId="16FA0630" w14:textId="77777777" w:rsidR="00353872" w:rsidRPr="00355243" w:rsidRDefault="00353872" w:rsidP="00CE22A6">
            <w:pPr>
              <w:widowControl w:val="0"/>
              <w:spacing w:before="60" w:after="60"/>
              <w:ind w:left="57"/>
              <w:rPr>
                <w:sz w:val="20"/>
                <w:szCs w:val="20"/>
              </w:rPr>
            </w:pPr>
            <w:r w:rsidRPr="00355243">
              <w:rPr>
                <w:sz w:val="20"/>
                <w:szCs w:val="20"/>
              </w:rPr>
              <w:t>Constitución Política del Estado Libre y Soberano de Tabasco.</w:t>
            </w:r>
          </w:p>
        </w:tc>
      </w:tr>
      <w:tr w:rsidR="00353872" w:rsidRPr="00891696" w14:paraId="71C8F72F" w14:textId="77777777" w:rsidTr="00CE22A6">
        <w:trPr>
          <w:trHeight w:val="624"/>
          <w:jc w:val="center"/>
        </w:trPr>
        <w:tc>
          <w:tcPr>
            <w:tcW w:w="2042" w:type="pct"/>
            <w:shd w:val="clear" w:color="auto" w:fill="auto"/>
            <w:vAlign w:val="center"/>
          </w:tcPr>
          <w:p w14:paraId="7EF038D5" w14:textId="77777777" w:rsidR="00353872" w:rsidRPr="00355243" w:rsidRDefault="00353872" w:rsidP="00CE22A6">
            <w:pPr>
              <w:widowControl w:val="0"/>
              <w:spacing w:before="60" w:after="60"/>
              <w:ind w:left="57"/>
              <w:jc w:val="right"/>
              <w:rPr>
                <w:b/>
                <w:sz w:val="20"/>
                <w:szCs w:val="20"/>
              </w:rPr>
            </w:pPr>
            <w:r w:rsidRPr="00355243">
              <w:rPr>
                <w:b/>
                <w:sz w:val="20"/>
                <w:szCs w:val="20"/>
              </w:rPr>
              <w:t>INE:</w:t>
            </w:r>
          </w:p>
        </w:tc>
        <w:tc>
          <w:tcPr>
            <w:tcW w:w="2958" w:type="pct"/>
            <w:shd w:val="clear" w:color="auto" w:fill="auto"/>
            <w:vAlign w:val="center"/>
          </w:tcPr>
          <w:p w14:paraId="60C146E0" w14:textId="77777777" w:rsidR="00353872" w:rsidRPr="00355243" w:rsidRDefault="00353872" w:rsidP="00CE22A6">
            <w:pPr>
              <w:widowControl w:val="0"/>
              <w:spacing w:before="60" w:after="60"/>
              <w:ind w:left="57"/>
              <w:rPr>
                <w:sz w:val="20"/>
                <w:szCs w:val="20"/>
              </w:rPr>
            </w:pPr>
            <w:r w:rsidRPr="00355243">
              <w:rPr>
                <w:sz w:val="20"/>
                <w:szCs w:val="20"/>
              </w:rPr>
              <w:t>Instituto Nacional Electoral.</w:t>
            </w:r>
          </w:p>
        </w:tc>
      </w:tr>
      <w:tr w:rsidR="00353872" w:rsidRPr="00891696" w14:paraId="3C648286" w14:textId="77777777" w:rsidTr="00CE22A6">
        <w:trPr>
          <w:trHeight w:val="624"/>
          <w:jc w:val="center"/>
        </w:trPr>
        <w:tc>
          <w:tcPr>
            <w:tcW w:w="2042" w:type="pct"/>
            <w:shd w:val="clear" w:color="auto" w:fill="auto"/>
            <w:vAlign w:val="center"/>
          </w:tcPr>
          <w:p w14:paraId="45BFB0EC" w14:textId="77777777" w:rsidR="00353872" w:rsidRPr="00355243" w:rsidRDefault="00353872" w:rsidP="00CE22A6">
            <w:pPr>
              <w:widowControl w:val="0"/>
              <w:spacing w:before="60" w:after="60"/>
              <w:ind w:left="57"/>
              <w:jc w:val="right"/>
              <w:rPr>
                <w:b/>
                <w:sz w:val="20"/>
                <w:szCs w:val="20"/>
              </w:rPr>
            </w:pPr>
            <w:r w:rsidRPr="00355243">
              <w:rPr>
                <w:b/>
                <w:sz w:val="20"/>
                <w:szCs w:val="20"/>
              </w:rPr>
              <w:t>Instituto:</w:t>
            </w:r>
          </w:p>
        </w:tc>
        <w:tc>
          <w:tcPr>
            <w:tcW w:w="2958" w:type="pct"/>
            <w:shd w:val="clear" w:color="auto" w:fill="auto"/>
          </w:tcPr>
          <w:p w14:paraId="65F32878" w14:textId="77777777" w:rsidR="00353872" w:rsidRPr="00355243" w:rsidRDefault="00353872" w:rsidP="00CE22A6">
            <w:pPr>
              <w:widowControl w:val="0"/>
              <w:spacing w:before="60" w:after="60"/>
              <w:ind w:left="57"/>
              <w:rPr>
                <w:sz w:val="20"/>
                <w:szCs w:val="20"/>
              </w:rPr>
            </w:pPr>
            <w:r w:rsidRPr="00355243">
              <w:rPr>
                <w:sz w:val="20"/>
                <w:szCs w:val="20"/>
              </w:rPr>
              <w:t>Instituto Electoral y de Participación Ciudadana de Tabasco.</w:t>
            </w:r>
          </w:p>
        </w:tc>
      </w:tr>
      <w:tr w:rsidR="00353872" w:rsidRPr="00891696" w14:paraId="042DDB24" w14:textId="77777777" w:rsidTr="00CE22A6">
        <w:trPr>
          <w:trHeight w:val="624"/>
          <w:jc w:val="center"/>
        </w:trPr>
        <w:tc>
          <w:tcPr>
            <w:tcW w:w="2042" w:type="pct"/>
            <w:shd w:val="clear" w:color="auto" w:fill="auto"/>
            <w:vAlign w:val="center"/>
          </w:tcPr>
          <w:p w14:paraId="76F01CFA" w14:textId="77777777" w:rsidR="00353872" w:rsidRPr="00355243" w:rsidRDefault="00353872" w:rsidP="00CE22A6">
            <w:pPr>
              <w:widowControl w:val="0"/>
              <w:spacing w:before="60" w:after="60"/>
              <w:ind w:left="57"/>
              <w:jc w:val="right"/>
              <w:rPr>
                <w:b/>
                <w:sz w:val="20"/>
                <w:szCs w:val="20"/>
              </w:rPr>
            </w:pPr>
            <w:r w:rsidRPr="00355243">
              <w:rPr>
                <w:b/>
                <w:sz w:val="20"/>
                <w:szCs w:val="20"/>
              </w:rPr>
              <w:t>Ley Electoral:</w:t>
            </w:r>
          </w:p>
        </w:tc>
        <w:tc>
          <w:tcPr>
            <w:tcW w:w="2958" w:type="pct"/>
            <w:shd w:val="clear" w:color="auto" w:fill="auto"/>
            <w:vAlign w:val="center"/>
          </w:tcPr>
          <w:p w14:paraId="74949BE7" w14:textId="77777777" w:rsidR="00353872" w:rsidRPr="00355243" w:rsidRDefault="00353872" w:rsidP="00CE22A6">
            <w:pPr>
              <w:widowControl w:val="0"/>
              <w:spacing w:before="60" w:after="60"/>
              <w:ind w:left="57"/>
              <w:rPr>
                <w:sz w:val="20"/>
                <w:szCs w:val="20"/>
              </w:rPr>
            </w:pPr>
            <w:r w:rsidRPr="00355243">
              <w:rPr>
                <w:sz w:val="20"/>
                <w:szCs w:val="20"/>
              </w:rPr>
              <w:t>Ley Electoral y de Partidos Políticos del Estado de Tabasco.</w:t>
            </w:r>
          </w:p>
        </w:tc>
      </w:tr>
      <w:tr w:rsidR="00353872" w:rsidRPr="00891696" w14:paraId="359E1E97" w14:textId="77777777" w:rsidTr="00CE22A6">
        <w:trPr>
          <w:trHeight w:val="624"/>
          <w:jc w:val="center"/>
        </w:trPr>
        <w:tc>
          <w:tcPr>
            <w:tcW w:w="2042" w:type="pct"/>
            <w:shd w:val="clear" w:color="auto" w:fill="auto"/>
            <w:vAlign w:val="center"/>
          </w:tcPr>
          <w:p w14:paraId="6C228564" w14:textId="77777777" w:rsidR="00353872" w:rsidRPr="00355243" w:rsidRDefault="00353872" w:rsidP="00CE22A6">
            <w:pPr>
              <w:widowControl w:val="0"/>
              <w:spacing w:before="60" w:after="60"/>
              <w:ind w:left="57"/>
              <w:jc w:val="right"/>
              <w:rPr>
                <w:b/>
                <w:sz w:val="20"/>
                <w:szCs w:val="20"/>
              </w:rPr>
            </w:pPr>
            <w:r w:rsidRPr="00355243">
              <w:rPr>
                <w:b/>
                <w:sz w:val="20"/>
                <w:szCs w:val="20"/>
              </w:rPr>
              <w:t>Proceso Electoral:</w:t>
            </w:r>
          </w:p>
        </w:tc>
        <w:tc>
          <w:tcPr>
            <w:tcW w:w="2958" w:type="pct"/>
            <w:shd w:val="clear" w:color="auto" w:fill="auto"/>
            <w:vAlign w:val="center"/>
          </w:tcPr>
          <w:p w14:paraId="03643050" w14:textId="77777777" w:rsidR="00353872" w:rsidRPr="00355243" w:rsidRDefault="00353872" w:rsidP="00CE22A6">
            <w:pPr>
              <w:widowControl w:val="0"/>
              <w:spacing w:before="60" w:after="60"/>
              <w:ind w:left="57"/>
              <w:rPr>
                <w:sz w:val="20"/>
                <w:szCs w:val="20"/>
              </w:rPr>
            </w:pPr>
            <w:r w:rsidRPr="00355243">
              <w:rPr>
                <w:sz w:val="20"/>
                <w:szCs w:val="20"/>
              </w:rPr>
              <w:t>Proceso Electoral Local Ordinario 2023-2024.</w:t>
            </w:r>
          </w:p>
        </w:tc>
      </w:tr>
      <w:tr w:rsidR="00353872" w:rsidRPr="00891696" w14:paraId="1ED7A57D" w14:textId="77777777" w:rsidTr="00CE22A6">
        <w:trPr>
          <w:trHeight w:val="624"/>
          <w:jc w:val="center"/>
        </w:trPr>
        <w:tc>
          <w:tcPr>
            <w:tcW w:w="2042" w:type="pct"/>
            <w:shd w:val="clear" w:color="auto" w:fill="auto"/>
            <w:vAlign w:val="center"/>
          </w:tcPr>
          <w:p w14:paraId="1F6E85EC" w14:textId="77777777" w:rsidR="00353872" w:rsidRPr="00355243" w:rsidRDefault="00353872" w:rsidP="00CE22A6">
            <w:pPr>
              <w:widowControl w:val="0"/>
              <w:spacing w:before="60" w:after="60"/>
              <w:ind w:left="57"/>
              <w:jc w:val="right"/>
              <w:rPr>
                <w:b/>
                <w:sz w:val="20"/>
                <w:szCs w:val="20"/>
              </w:rPr>
            </w:pPr>
            <w:r w:rsidRPr="00355243">
              <w:rPr>
                <w:b/>
                <w:sz w:val="20"/>
                <w:szCs w:val="20"/>
              </w:rPr>
              <w:t>Secretaría Ejecutiva:</w:t>
            </w:r>
          </w:p>
        </w:tc>
        <w:tc>
          <w:tcPr>
            <w:tcW w:w="2958" w:type="pct"/>
            <w:shd w:val="clear" w:color="auto" w:fill="auto"/>
            <w:vAlign w:val="center"/>
          </w:tcPr>
          <w:p w14:paraId="6E1460EF" w14:textId="77777777" w:rsidR="00353872" w:rsidRPr="00355243" w:rsidRDefault="00353872" w:rsidP="00CE22A6">
            <w:pPr>
              <w:widowControl w:val="0"/>
              <w:spacing w:before="60" w:after="60"/>
              <w:ind w:left="57"/>
              <w:rPr>
                <w:sz w:val="20"/>
                <w:szCs w:val="20"/>
              </w:rPr>
            </w:pPr>
            <w:r w:rsidRPr="00355243">
              <w:rPr>
                <w:sz w:val="20"/>
                <w:szCs w:val="20"/>
              </w:rPr>
              <w:t>Secretaría Ejecutiva del Instituto Electoral y de Participación Ciudadana de Tabasco.</w:t>
            </w:r>
          </w:p>
        </w:tc>
      </w:tr>
      <w:tr w:rsidR="00D3593A" w:rsidRPr="00891696" w14:paraId="012E8896" w14:textId="77777777" w:rsidTr="00CE22A6">
        <w:trPr>
          <w:trHeight w:val="624"/>
          <w:jc w:val="center"/>
        </w:trPr>
        <w:tc>
          <w:tcPr>
            <w:tcW w:w="2042" w:type="pct"/>
            <w:shd w:val="clear" w:color="auto" w:fill="auto"/>
            <w:vAlign w:val="center"/>
          </w:tcPr>
          <w:p w14:paraId="24742978" w14:textId="34774169" w:rsidR="00D3593A" w:rsidRPr="00355243" w:rsidRDefault="00D3593A" w:rsidP="00CE22A6">
            <w:pPr>
              <w:widowControl w:val="0"/>
              <w:spacing w:before="60" w:after="60"/>
              <w:ind w:left="57"/>
              <w:jc w:val="right"/>
              <w:rPr>
                <w:b/>
                <w:sz w:val="20"/>
                <w:szCs w:val="20"/>
              </w:rPr>
            </w:pPr>
            <w:r w:rsidRPr="00355243">
              <w:rPr>
                <w:b/>
                <w:sz w:val="20"/>
                <w:szCs w:val="20"/>
              </w:rPr>
              <w:t>Ley de Partidos:</w:t>
            </w:r>
          </w:p>
        </w:tc>
        <w:tc>
          <w:tcPr>
            <w:tcW w:w="2958" w:type="pct"/>
            <w:shd w:val="clear" w:color="auto" w:fill="auto"/>
            <w:vAlign w:val="center"/>
          </w:tcPr>
          <w:p w14:paraId="1767B8F0" w14:textId="737F08DA" w:rsidR="00D3593A" w:rsidRPr="00355243" w:rsidRDefault="00D3593A" w:rsidP="00CE22A6">
            <w:pPr>
              <w:widowControl w:val="0"/>
              <w:spacing w:before="60" w:after="60"/>
              <w:ind w:left="57"/>
              <w:rPr>
                <w:sz w:val="20"/>
                <w:szCs w:val="20"/>
              </w:rPr>
            </w:pPr>
            <w:r w:rsidRPr="00355243">
              <w:rPr>
                <w:sz w:val="20"/>
                <w:szCs w:val="20"/>
              </w:rPr>
              <w:t>Ley General de Partidos Políticos.</w:t>
            </w:r>
          </w:p>
        </w:tc>
      </w:tr>
    </w:tbl>
    <w:p w14:paraId="66CAC0D5" w14:textId="77777777" w:rsidR="00D12F6B" w:rsidRPr="00355243" w:rsidRDefault="00D12F6B" w:rsidP="00DA7018">
      <w:pPr>
        <w:pStyle w:val="Ttulo1"/>
        <w:rPr>
          <w:sz w:val="24"/>
          <w:szCs w:val="24"/>
        </w:rPr>
      </w:pPr>
      <w:r w:rsidRPr="00355243">
        <w:rPr>
          <w:sz w:val="24"/>
          <w:szCs w:val="24"/>
        </w:rPr>
        <w:lastRenderedPageBreak/>
        <w:t>Antecedentes</w:t>
      </w:r>
    </w:p>
    <w:p w14:paraId="0B548705" w14:textId="77777777" w:rsidR="00D12F6B" w:rsidRPr="00355243" w:rsidRDefault="00D12F6B" w:rsidP="0067654C">
      <w:pPr>
        <w:pStyle w:val="Ttulo2"/>
        <w:rPr>
          <w:sz w:val="23"/>
          <w:szCs w:val="23"/>
        </w:rPr>
      </w:pPr>
      <w:r w:rsidRPr="00355243">
        <w:rPr>
          <w:sz w:val="23"/>
          <w:szCs w:val="23"/>
        </w:rPr>
        <w:t>Tope de gastos para la elección a la Gubernatura 2017 – 2018</w:t>
      </w:r>
    </w:p>
    <w:p w14:paraId="44CC83E9" w14:textId="77777777" w:rsidR="00D12F6B" w:rsidRPr="00355243" w:rsidRDefault="00D12F6B" w:rsidP="00B24895">
      <w:pPr>
        <w:spacing w:line="300" w:lineRule="auto"/>
      </w:pPr>
      <w:r w:rsidRPr="00355243">
        <w:t>El 30 de octubre de 2017, mediante acuerdo CE/2017/045, el Consejo Estatal determinó la cantidad de $20´488,184.16 (veinte millones cuatrocientos ochenta y ocho mil ciento ochenta y cuatro pesos 16/100 m. n.) como tope de gastos de campaña para la elección a la Gubernatura, con motivo del Proceso Electoral Local Ordinario 2017 – 2018.</w:t>
      </w:r>
    </w:p>
    <w:p w14:paraId="0402CA47" w14:textId="77777777" w:rsidR="00D12F6B" w:rsidRPr="00355243" w:rsidRDefault="00D12F6B" w:rsidP="0067654C">
      <w:pPr>
        <w:pStyle w:val="Ttulo2"/>
        <w:rPr>
          <w:sz w:val="23"/>
          <w:szCs w:val="23"/>
        </w:rPr>
      </w:pPr>
      <w:r w:rsidRPr="00355243">
        <w:rPr>
          <w:sz w:val="23"/>
          <w:szCs w:val="23"/>
        </w:rPr>
        <w:t>Distritación Electoral</w:t>
      </w:r>
    </w:p>
    <w:p w14:paraId="7A16AF9A" w14:textId="77777777" w:rsidR="00D12F6B" w:rsidRPr="00355243" w:rsidRDefault="00D12F6B" w:rsidP="00B24895">
      <w:pPr>
        <w:spacing w:line="300" w:lineRule="auto"/>
      </w:pPr>
      <w:r w:rsidRPr="00355243">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535B8E6C" w14:textId="77777777" w:rsidR="00D12F6B" w:rsidRPr="00355243" w:rsidRDefault="00D12F6B" w:rsidP="0067654C">
      <w:pPr>
        <w:pStyle w:val="Ttulo2"/>
        <w:rPr>
          <w:sz w:val="23"/>
          <w:szCs w:val="23"/>
        </w:rPr>
      </w:pPr>
      <w:r w:rsidRPr="00355243">
        <w:rPr>
          <w:sz w:val="23"/>
          <w:szCs w:val="23"/>
        </w:rPr>
        <w:t>Homologación de plazos y fechas en los procesos electorales locales concurrentes</w:t>
      </w:r>
    </w:p>
    <w:p w14:paraId="7A73993A" w14:textId="77777777" w:rsidR="00D12F6B" w:rsidRPr="00355243" w:rsidRDefault="00D12F6B" w:rsidP="00B24895">
      <w:pPr>
        <w:spacing w:line="300" w:lineRule="auto"/>
      </w:pPr>
      <w:r w:rsidRPr="00355243">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3FCA37A9" w14:textId="77777777" w:rsidR="00D12F6B" w:rsidRPr="00355243" w:rsidRDefault="00D12F6B" w:rsidP="0067654C">
      <w:pPr>
        <w:pStyle w:val="Ttulo2"/>
        <w:rPr>
          <w:sz w:val="23"/>
          <w:szCs w:val="23"/>
        </w:rPr>
      </w:pPr>
      <w:r w:rsidRPr="00355243">
        <w:rPr>
          <w:sz w:val="23"/>
          <w:szCs w:val="23"/>
        </w:rPr>
        <w:t xml:space="preserve">Plan integral y calendario de coordinación </w:t>
      </w:r>
    </w:p>
    <w:p w14:paraId="4BC63652" w14:textId="77777777" w:rsidR="00D12F6B" w:rsidRPr="00355243" w:rsidRDefault="00D12F6B" w:rsidP="00B24895">
      <w:pPr>
        <w:spacing w:line="300" w:lineRule="auto"/>
      </w:pPr>
      <w:r w:rsidRPr="00355243">
        <w:t xml:space="preserve">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w:t>
      </w:r>
      <w:r w:rsidRPr="00355243">
        <w:lastRenderedPageBreak/>
        <w:t>los organismos electorales para el desarrollo de sus respectivos procesos electorales.</w:t>
      </w:r>
    </w:p>
    <w:p w14:paraId="23E57F92" w14:textId="5F1FBE89" w:rsidR="00D12F6B" w:rsidRPr="00355243" w:rsidRDefault="00D12F6B" w:rsidP="0067654C">
      <w:pPr>
        <w:pStyle w:val="Ttulo2"/>
        <w:rPr>
          <w:sz w:val="23"/>
          <w:szCs w:val="23"/>
        </w:rPr>
      </w:pPr>
      <w:r w:rsidRPr="00355243">
        <w:rPr>
          <w:sz w:val="23"/>
          <w:szCs w:val="23"/>
        </w:rPr>
        <w:t>Determinación del financiamiento público</w:t>
      </w:r>
    </w:p>
    <w:p w14:paraId="5D3F541E" w14:textId="0F8B263F" w:rsidR="00D12F6B" w:rsidRPr="00355243" w:rsidRDefault="00D12F6B" w:rsidP="00B24895">
      <w:pPr>
        <w:spacing w:line="300" w:lineRule="auto"/>
      </w:pPr>
      <w:r w:rsidRPr="00355243">
        <w:t xml:space="preserve">El 29 de septiembre de 2023, mediante acuerdo CE/2023/020, el Consejo Estatal determinó los montos de financiamiento público para el sostenimiento de actividades ordinarias permanentes y específicas de los partidos políticos para el ejercicio 2024 y para gastos de campaña de los partidos políticos y candidaturas independientes para el Proceso Electoral Local Ordinario 2023 – 2024 </w:t>
      </w:r>
    </w:p>
    <w:p w14:paraId="5A0BCF7C" w14:textId="77777777" w:rsidR="00D12F6B" w:rsidRPr="00355243" w:rsidRDefault="00D12F6B" w:rsidP="0067654C">
      <w:pPr>
        <w:pStyle w:val="Ttulo2"/>
        <w:rPr>
          <w:sz w:val="23"/>
          <w:szCs w:val="23"/>
        </w:rPr>
      </w:pPr>
      <w:r w:rsidRPr="00355243">
        <w:rPr>
          <w:sz w:val="23"/>
          <w:szCs w:val="23"/>
        </w:rPr>
        <w:t>Calendario Electoral</w:t>
      </w:r>
    </w:p>
    <w:p w14:paraId="1223AACE" w14:textId="635FDA5F" w:rsidR="00D12F6B" w:rsidRPr="00355243" w:rsidRDefault="003565DC" w:rsidP="00B24895">
      <w:pPr>
        <w:spacing w:line="300" w:lineRule="auto"/>
      </w:pPr>
      <w:r w:rsidRPr="00355243">
        <w:t>En la fecha que antecede</w:t>
      </w:r>
      <w:r w:rsidR="00D12F6B" w:rsidRPr="00355243">
        <w:t xml:space="preserve">, el Consejo Estatal aprobó </w:t>
      </w:r>
      <w:r w:rsidRPr="00355243">
        <w:t>el acuerdo CE/2023/021 relativo a</w:t>
      </w:r>
      <w:r w:rsidR="00D12F6B" w:rsidRPr="00355243">
        <w:t>l calendario electoral para el Proceso Electoral.</w:t>
      </w:r>
    </w:p>
    <w:p w14:paraId="7D5C63BE" w14:textId="77777777" w:rsidR="00D12F6B" w:rsidRPr="00355243" w:rsidRDefault="00D12F6B" w:rsidP="0067654C">
      <w:pPr>
        <w:pStyle w:val="Ttulo2"/>
        <w:rPr>
          <w:sz w:val="23"/>
          <w:szCs w:val="23"/>
        </w:rPr>
      </w:pPr>
      <w:r w:rsidRPr="00355243">
        <w:rPr>
          <w:sz w:val="23"/>
          <w:szCs w:val="23"/>
        </w:rPr>
        <w:t>Inicio del Proceso Electoral</w:t>
      </w:r>
    </w:p>
    <w:p w14:paraId="5C6B7818" w14:textId="77777777" w:rsidR="00D12F6B" w:rsidRPr="00355243" w:rsidRDefault="00D12F6B" w:rsidP="00B24895">
      <w:pPr>
        <w:spacing w:line="300" w:lineRule="auto"/>
      </w:pPr>
      <w:r w:rsidRPr="00355243">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21EB052A" w14:textId="77777777" w:rsidR="00D12F6B" w:rsidRPr="00355243" w:rsidRDefault="00D12F6B" w:rsidP="0067654C">
      <w:pPr>
        <w:pStyle w:val="Ttulo2"/>
        <w:rPr>
          <w:sz w:val="23"/>
          <w:szCs w:val="23"/>
        </w:rPr>
      </w:pPr>
      <w:r w:rsidRPr="00355243">
        <w:rPr>
          <w:sz w:val="23"/>
          <w:szCs w:val="23"/>
        </w:rPr>
        <w:t>Jornada electoral</w:t>
      </w:r>
    </w:p>
    <w:p w14:paraId="5031EAEF" w14:textId="77777777" w:rsidR="00D12F6B" w:rsidRPr="00355243" w:rsidRDefault="00D12F6B" w:rsidP="00B24895">
      <w:pPr>
        <w:spacing w:line="300" w:lineRule="auto"/>
      </w:pPr>
      <w:r w:rsidRPr="00355243">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1E94CAE9" w14:textId="77777777" w:rsidR="00D12F6B" w:rsidRPr="00355243" w:rsidRDefault="00D12F6B" w:rsidP="00DA7018">
      <w:pPr>
        <w:pStyle w:val="Ttulo1"/>
        <w:rPr>
          <w:sz w:val="24"/>
          <w:szCs w:val="24"/>
        </w:rPr>
      </w:pPr>
      <w:r w:rsidRPr="00355243">
        <w:rPr>
          <w:sz w:val="24"/>
          <w:szCs w:val="24"/>
        </w:rPr>
        <w:lastRenderedPageBreak/>
        <w:t>Considerando</w:t>
      </w:r>
    </w:p>
    <w:p w14:paraId="4D391972" w14:textId="77777777" w:rsidR="00D12F6B" w:rsidRPr="00355243" w:rsidRDefault="00D12F6B" w:rsidP="0067654C">
      <w:pPr>
        <w:pStyle w:val="Ttulo2"/>
        <w:rPr>
          <w:sz w:val="23"/>
          <w:szCs w:val="23"/>
        </w:rPr>
      </w:pPr>
      <w:r w:rsidRPr="00355243">
        <w:rPr>
          <w:sz w:val="23"/>
          <w:szCs w:val="23"/>
        </w:rPr>
        <w:t xml:space="preserve">Fines del Instituto </w:t>
      </w:r>
    </w:p>
    <w:p w14:paraId="22920B39" w14:textId="77777777" w:rsidR="00D12F6B" w:rsidRPr="00355243" w:rsidRDefault="00D12F6B" w:rsidP="00B24895">
      <w:pPr>
        <w:spacing w:line="300" w:lineRule="auto"/>
      </w:pPr>
      <w:r w:rsidRPr="00355243">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7C55742" w14:textId="77777777" w:rsidR="00D12F6B" w:rsidRPr="00355243" w:rsidRDefault="00D12F6B" w:rsidP="00B24895">
      <w:pPr>
        <w:spacing w:line="300" w:lineRule="auto"/>
      </w:pPr>
      <w:r w:rsidRPr="00355243">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48B158BE" w14:textId="77777777" w:rsidR="00D12F6B" w:rsidRPr="00355243" w:rsidRDefault="00D12F6B" w:rsidP="0067654C">
      <w:pPr>
        <w:pStyle w:val="Ttulo2"/>
        <w:rPr>
          <w:sz w:val="23"/>
          <w:szCs w:val="23"/>
        </w:rPr>
      </w:pPr>
      <w:r w:rsidRPr="00355243">
        <w:rPr>
          <w:sz w:val="23"/>
          <w:szCs w:val="23"/>
        </w:rPr>
        <w:t xml:space="preserve">Órganos Centrales del Instituto </w:t>
      </w:r>
    </w:p>
    <w:p w14:paraId="56A63BBA" w14:textId="77777777" w:rsidR="00D12F6B" w:rsidRPr="00355243" w:rsidRDefault="00D12F6B" w:rsidP="00B24895">
      <w:pPr>
        <w:spacing w:line="300" w:lineRule="auto"/>
      </w:pPr>
      <w:r w:rsidRPr="00355243">
        <w:t>Que, el artículo 105 de la Ley Electoral, señala que el Consejo Estatal; la Presidencia del Consejo Estatal; la Junta Estatal Ejecutiva, la Secretaría Ejecutiva y el Órgano Técnico de Fiscalización, constituyen los órganos centrales del Instituto.</w:t>
      </w:r>
    </w:p>
    <w:p w14:paraId="424E2C15" w14:textId="77777777" w:rsidR="00D12F6B" w:rsidRPr="00355243" w:rsidRDefault="00D12F6B" w:rsidP="0067654C">
      <w:pPr>
        <w:pStyle w:val="Ttulo2"/>
        <w:rPr>
          <w:sz w:val="23"/>
          <w:szCs w:val="23"/>
        </w:rPr>
      </w:pPr>
      <w:r w:rsidRPr="00355243">
        <w:rPr>
          <w:sz w:val="23"/>
          <w:szCs w:val="23"/>
        </w:rPr>
        <w:lastRenderedPageBreak/>
        <w:t xml:space="preserve">Órgano Superior de Dirección del Instituto </w:t>
      </w:r>
    </w:p>
    <w:p w14:paraId="4BFDEF7B" w14:textId="77777777" w:rsidR="00D12F6B" w:rsidRPr="00355243" w:rsidRDefault="00D12F6B" w:rsidP="00B24895">
      <w:pPr>
        <w:spacing w:line="300" w:lineRule="auto"/>
      </w:pPr>
      <w:r w:rsidRPr="00355243">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7D910F5" w14:textId="77777777" w:rsidR="00D12F6B" w:rsidRPr="00355243" w:rsidRDefault="00D12F6B" w:rsidP="0067654C">
      <w:pPr>
        <w:pStyle w:val="Ttulo2"/>
        <w:rPr>
          <w:sz w:val="23"/>
          <w:szCs w:val="23"/>
        </w:rPr>
      </w:pPr>
      <w:r w:rsidRPr="00355243">
        <w:rPr>
          <w:sz w:val="23"/>
          <w:szCs w:val="23"/>
        </w:rPr>
        <w:t>Integración del Órgano de Dirección Superior</w:t>
      </w:r>
    </w:p>
    <w:p w14:paraId="0D6C6797" w14:textId="77777777" w:rsidR="00D12F6B" w:rsidRPr="00355243" w:rsidRDefault="00D12F6B" w:rsidP="00B24895">
      <w:pPr>
        <w:spacing w:line="300" w:lineRule="auto"/>
      </w:pPr>
      <w:r w:rsidRPr="00355243">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2CEC481" w14:textId="77777777" w:rsidR="00D12F6B" w:rsidRPr="00355243" w:rsidRDefault="00D12F6B" w:rsidP="0067654C">
      <w:pPr>
        <w:pStyle w:val="Ttulo2"/>
        <w:rPr>
          <w:sz w:val="23"/>
          <w:szCs w:val="23"/>
        </w:rPr>
      </w:pPr>
      <w:r w:rsidRPr="00355243">
        <w:rPr>
          <w:sz w:val="23"/>
          <w:szCs w:val="23"/>
        </w:rPr>
        <w:t>Competencia del Consejo Estatal</w:t>
      </w:r>
    </w:p>
    <w:p w14:paraId="215548A1" w14:textId="45275396" w:rsidR="00D12F6B" w:rsidRPr="00355243" w:rsidRDefault="00D12F6B" w:rsidP="00B24895">
      <w:pPr>
        <w:spacing w:line="300" w:lineRule="auto"/>
      </w:pPr>
      <w:r w:rsidRPr="00355243">
        <w:t xml:space="preserve">Que, de conformidad con </w:t>
      </w:r>
      <w:r w:rsidR="0011266D" w:rsidRPr="00355243">
        <w:t>los</w:t>
      </w:r>
      <w:r w:rsidR="005869A5" w:rsidRPr="00355243">
        <w:t xml:space="preserve"> artículo</w:t>
      </w:r>
      <w:r w:rsidR="0011266D" w:rsidRPr="00355243">
        <w:t xml:space="preserve">s 104 numeral 1, incisos b) y c) de la Ley General y </w:t>
      </w:r>
      <w:r w:rsidRPr="00355243">
        <w:t xml:space="preserve">115 numeral 1 </w:t>
      </w:r>
      <w:r w:rsidR="005869A5" w:rsidRPr="00355243">
        <w:t xml:space="preserve">fracción </w:t>
      </w:r>
      <w:r w:rsidRPr="00355243">
        <w:t xml:space="preserve">X de la Ley Electoral, </w:t>
      </w:r>
      <w:r w:rsidR="0011266D" w:rsidRPr="00355243">
        <w:t xml:space="preserve">corresponde al </w:t>
      </w:r>
      <w:r w:rsidRPr="00355243">
        <w:t xml:space="preserve">Consejo Estatal </w:t>
      </w:r>
      <w:r w:rsidR="0011266D" w:rsidRPr="00355243">
        <w:t xml:space="preserve">garantizar los derechos y el acceso a las prerrogativas de los partidos políticos, agrupaciones políticas y candidaturas con apego a las disposiciones legales; así como la ministración oportuna del financiamiento público a que tienen derecho los partidos políticos nacionales y locales, </w:t>
      </w:r>
      <w:r w:rsidR="005869A5" w:rsidRPr="00355243">
        <w:t>y, en su caso, las candidaturas independientes en la entidad</w:t>
      </w:r>
      <w:r w:rsidR="0011266D" w:rsidRPr="00355243">
        <w:t>.</w:t>
      </w:r>
    </w:p>
    <w:p w14:paraId="5FD01211" w14:textId="77777777" w:rsidR="00D12F6B" w:rsidRPr="00355243" w:rsidRDefault="00D12F6B" w:rsidP="00B24895">
      <w:pPr>
        <w:spacing w:line="300" w:lineRule="auto"/>
      </w:pPr>
      <w:r w:rsidRPr="00355243">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F9B8B3E" w14:textId="77777777" w:rsidR="00D12F6B" w:rsidRPr="00355243" w:rsidRDefault="00D12F6B" w:rsidP="0067654C">
      <w:pPr>
        <w:pStyle w:val="Ttulo2"/>
        <w:rPr>
          <w:sz w:val="23"/>
          <w:szCs w:val="23"/>
        </w:rPr>
      </w:pPr>
      <w:r w:rsidRPr="00355243">
        <w:rPr>
          <w:sz w:val="23"/>
          <w:szCs w:val="23"/>
        </w:rPr>
        <w:lastRenderedPageBreak/>
        <w:t>Fines de los partidos políticos</w:t>
      </w:r>
    </w:p>
    <w:p w14:paraId="4D399234" w14:textId="415FCB1C" w:rsidR="00D12F6B" w:rsidRPr="00355243" w:rsidRDefault="00D12F6B" w:rsidP="00B24895">
      <w:pPr>
        <w:spacing w:line="300" w:lineRule="auto"/>
      </w:pPr>
      <w:r w:rsidRPr="00355243">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02C48112" w14:textId="5F6DAD35" w:rsidR="008338F1" w:rsidRPr="00355243" w:rsidRDefault="008338F1" w:rsidP="0067654C">
      <w:pPr>
        <w:pStyle w:val="Ttulo2"/>
        <w:rPr>
          <w:sz w:val="23"/>
          <w:szCs w:val="23"/>
        </w:rPr>
      </w:pPr>
      <w:r w:rsidRPr="00355243">
        <w:rPr>
          <w:sz w:val="23"/>
          <w:szCs w:val="23"/>
        </w:rPr>
        <w:t xml:space="preserve">Derecho de los partidos políticos a financiamiento </w:t>
      </w:r>
    </w:p>
    <w:p w14:paraId="4798323B" w14:textId="77777777" w:rsidR="008338F1" w:rsidRPr="00355243" w:rsidRDefault="008338F1" w:rsidP="00B24895">
      <w:pPr>
        <w:spacing w:line="300" w:lineRule="auto"/>
      </w:pPr>
      <w:r w:rsidRPr="00355243">
        <w:t>Que, el artículo 9 apartado “A” fracción VII de la Constitución Local dispone que, La ley garantizará que los partidos políticos nacionales y locales cuenten de manera equitativa con elementos para llevar a cabo sus actividades y señalará las reglas a que se sujetará el financiamiento de los propios partidos para sus precampañas y sus campañas electorales, debiendo garantizar que los recursos públicos prevalezcan sobre los de origen privado.</w:t>
      </w:r>
    </w:p>
    <w:p w14:paraId="34CBDF19" w14:textId="77777777" w:rsidR="008338F1" w:rsidRPr="00355243" w:rsidRDefault="008338F1" w:rsidP="00B24895">
      <w:pPr>
        <w:spacing w:line="300" w:lineRule="auto"/>
      </w:pPr>
      <w:r w:rsidRPr="00355243">
        <w:t>Acorde a ello, el artículo 50 numeral 2 de la Ley de Partidos y el artículo 70, numeral 2 de la Ley Electoral dispone que, el financiamiento público deberá prevalecer sobre otros tipos de financiamiento.</w:t>
      </w:r>
    </w:p>
    <w:p w14:paraId="79D426FE" w14:textId="5005C260" w:rsidR="005869A5" w:rsidRPr="00355243" w:rsidRDefault="005869A5" w:rsidP="0067654C">
      <w:pPr>
        <w:pStyle w:val="Ttulo2"/>
        <w:rPr>
          <w:sz w:val="23"/>
          <w:szCs w:val="23"/>
        </w:rPr>
      </w:pPr>
      <w:r w:rsidRPr="00355243">
        <w:rPr>
          <w:sz w:val="23"/>
          <w:szCs w:val="23"/>
        </w:rPr>
        <w:t>Derecho de los partidos políticos de acceder a financiamiento privado</w:t>
      </w:r>
    </w:p>
    <w:p w14:paraId="634C387F" w14:textId="55E8FA6E" w:rsidR="005869A5" w:rsidRPr="00355243" w:rsidRDefault="005869A5" w:rsidP="00B24895">
      <w:pPr>
        <w:spacing w:line="300" w:lineRule="auto"/>
      </w:pPr>
      <w:r w:rsidRPr="00355243">
        <w:t>Que, en términos de lo dispuesto por los artículos 41 base II de la Constitución Federal, 53 numeral 1 de la Ley de Partidos, 70 numeral 1 fracción II, y 74 numeral 1 de la Ley Electoral para el desarrollo de sus actividades, los partidos políticos tienen derecho a recibir financiamiento privado proveniente de su militancia, simpatizantes, autofinanciamiento, así como el que obtienen por rendimientos financieros, fondos y fideicomisos.</w:t>
      </w:r>
    </w:p>
    <w:p w14:paraId="1146F786" w14:textId="77777777" w:rsidR="00BF7ABE" w:rsidRPr="00355243" w:rsidRDefault="00BF7ABE" w:rsidP="0067654C">
      <w:pPr>
        <w:pStyle w:val="Ttulo2"/>
        <w:rPr>
          <w:sz w:val="23"/>
          <w:szCs w:val="23"/>
        </w:rPr>
      </w:pPr>
      <w:r w:rsidRPr="00355243">
        <w:rPr>
          <w:sz w:val="23"/>
          <w:szCs w:val="23"/>
        </w:rPr>
        <w:lastRenderedPageBreak/>
        <w:t xml:space="preserve">Regulación Constitucional del financiamiento privado </w:t>
      </w:r>
    </w:p>
    <w:p w14:paraId="6A929463" w14:textId="77777777" w:rsidR="00BF7ABE" w:rsidRPr="00355243" w:rsidRDefault="00BF7ABE" w:rsidP="00B24895">
      <w:pPr>
        <w:spacing w:line="300" w:lineRule="auto"/>
      </w:pPr>
      <w:r w:rsidRPr="00355243">
        <w:t>Que el artículo 116 fracción IV, inciso h) de la Constitución Federal establece que, de conformidad con las bases establecidas en la propia Constitución y las leyes generales en la materia, las Constituciones y leyes de los Estados en materia electoral, garantizarán que se fijen los criterios para establecer los límites a las erogaciones de los partidos políticos en sus precampañas y campañas electorales, así como los montos máximos que tengan las aportaciones de sus militantes y simpatizantes.</w:t>
      </w:r>
    </w:p>
    <w:p w14:paraId="14538976" w14:textId="77777777" w:rsidR="00BF7ABE" w:rsidRPr="00355243" w:rsidRDefault="00BF7ABE" w:rsidP="00B24895">
      <w:pPr>
        <w:spacing w:line="300" w:lineRule="auto"/>
      </w:pPr>
      <w:r w:rsidRPr="00355243">
        <w:t>Acorde a lo anterior, el artículo 9 apartado A, fracción VIII, inciso c), párrafo cuarto de la Constitución Local establece que, la propia ley establecerá el monto máximo que tendrán las aportaciones de sus militantes y simpatizantes; asimismo ordenará los procedimientos para el control y vigilancia del origen y uso de todos los recursos con que cuenten y establecerá las sanciones que deban imponerse por el incumplimiento de estas disposiciones.</w:t>
      </w:r>
    </w:p>
    <w:p w14:paraId="524C3829" w14:textId="178AA8B4" w:rsidR="00D7512A" w:rsidRPr="00355243" w:rsidRDefault="00F34489" w:rsidP="0067654C">
      <w:pPr>
        <w:pStyle w:val="Ttulo2"/>
        <w:rPr>
          <w:sz w:val="23"/>
          <w:szCs w:val="23"/>
        </w:rPr>
      </w:pPr>
      <w:r w:rsidRPr="00355243">
        <w:rPr>
          <w:sz w:val="23"/>
          <w:szCs w:val="23"/>
        </w:rPr>
        <w:t>Fuentes de f</w:t>
      </w:r>
      <w:r w:rsidR="00D7512A" w:rsidRPr="00355243">
        <w:rPr>
          <w:sz w:val="23"/>
          <w:szCs w:val="23"/>
        </w:rPr>
        <w:t>inanciamiento privado</w:t>
      </w:r>
    </w:p>
    <w:p w14:paraId="51136F4F" w14:textId="77777777" w:rsidR="00D7512A" w:rsidRPr="00355243" w:rsidRDefault="00D7512A" w:rsidP="00B24895">
      <w:pPr>
        <w:spacing w:line="300" w:lineRule="auto"/>
      </w:pPr>
      <w:r w:rsidRPr="00355243">
        <w:t>Que, de conformidad con el artículo 53 de la Ley de Partidos, el financiamiento privado es aquél que no proviene del erario, a través de cualquiera de las siguientes modalidades: a) financiamiento de la militancia, b) financiamiento de simpatizantes, c) autofinanciamiento y d) financiamiento por rendimientos financieros, fondos y fideicomisos.</w:t>
      </w:r>
    </w:p>
    <w:p w14:paraId="446C9F85" w14:textId="2D2D68E8" w:rsidR="005869A5" w:rsidRPr="00355243" w:rsidRDefault="005869A5" w:rsidP="0067654C">
      <w:pPr>
        <w:pStyle w:val="Ttulo2"/>
        <w:rPr>
          <w:sz w:val="23"/>
          <w:szCs w:val="23"/>
        </w:rPr>
      </w:pPr>
      <w:r w:rsidRPr="00355243">
        <w:rPr>
          <w:sz w:val="23"/>
          <w:szCs w:val="23"/>
        </w:rPr>
        <w:t xml:space="preserve">Límites </w:t>
      </w:r>
      <w:r w:rsidR="00D15C87" w:rsidRPr="00355243">
        <w:rPr>
          <w:sz w:val="23"/>
          <w:szCs w:val="23"/>
        </w:rPr>
        <w:t>a</w:t>
      </w:r>
      <w:r w:rsidRPr="00355243">
        <w:rPr>
          <w:sz w:val="23"/>
          <w:szCs w:val="23"/>
        </w:rPr>
        <w:t>l financiamiento privado</w:t>
      </w:r>
    </w:p>
    <w:p w14:paraId="4D4B39F1" w14:textId="5C30937F" w:rsidR="005869A5" w:rsidRPr="00355243" w:rsidRDefault="005869A5" w:rsidP="00B24895">
      <w:pPr>
        <w:spacing w:line="300" w:lineRule="auto"/>
      </w:pPr>
      <w:r w:rsidRPr="00355243">
        <w:t xml:space="preserve">Que, de </w:t>
      </w:r>
      <w:r w:rsidR="00BF7ABE" w:rsidRPr="00355243">
        <w:t>acuerdo</w:t>
      </w:r>
      <w:r w:rsidRPr="00355243">
        <w:t xml:space="preserve"> con el artículo 75 numeral 2 de la Ley Electoral,</w:t>
      </w:r>
      <w:r w:rsidR="008C219B" w:rsidRPr="00355243">
        <w:t xml:space="preserve"> el</w:t>
      </w:r>
      <w:r w:rsidRPr="00355243">
        <w:t xml:space="preserve"> financiamiento privado tendrá los límites que para las aportaciones de militantes, simpatizantes y candidatos se establecen en el numeral 2 del artículo 56 de la Ley de Partidos.</w:t>
      </w:r>
    </w:p>
    <w:p w14:paraId="0CDFB486" w14:textId="77777777" w:rsidR="00BF7ABE" w:rsidRPr="00355243" w:rsidRDefault="00BF7ABE" w:rsidP="0067654C">
      <w:pPr>
        <w:pStyle w:val="Ttulo2"/>
        <w:rPr>
          <w:sz w:val="23"/>
          <w:szCs w:val="23"/>
        </w:rPr>
      </w:pPr>
      <w:r w:rsidRPr="00355243">
        <w:rPr>
          <w:sz w:val="23"/>
          <w:szCs w:val="23"/>
        </w:rPr>
        <w:t>Modalidades del financiamiento privado</w:t>
      </w:r>
    </w:p>
    <w:p w14:paraId="7D1D35BE" w14:textId="77777777" w:rsidR="00BF7ABE" w:rsidRPr="00355243" w:rsidRDefault="00BF7ABE" w:rsidP="00B24895">
      <w:pPr>
        <w:spacing w:line="300" w:lineRule="auto"/>
      </w:pPr>
      <w:r w:rsidRPr="00355243">
        <w:t>Que, de conformidad con el artículo 56 numeral 1 de la Ley de Partidos, el financiamiento que no provenga del erario público tendrá las siguientes modalidades:</w:t>
      </w:r>
    </w:p>
    <w:p w14:paraId="64A3BBA6" w14:textId="77777777" w:rsidR="00BF7ABE" w:rsidRPr="00355243" w:rsidRDefault="00BF7ABE" w:rsidP="00B24895">
      <w:pPr>
        <w:pStyle w:val="Prrafodelista"/>
        <w:numPr>
          <w:ilvl w:val="0"/>
          <w:numId w:val="2"/>
        </w:numPr>
        <w:spacing w:line="300" w:lineRule="auto"/>
        <w:ind w:left="703" w:hanging="703"/>
        <w:contextualSpacing w:val="0"/>
      </w:pPr>
      <w:r w:rsidRPr="00355243">
        <w:t>Las aportaciones o cuotas individuales y obligatorias, ordinarias y extraordinarias, en dinero o en especie, que realicen las y los militantes de los partidos políticos;</w:t>
      </w:r>
    </w:p>
    <w:p w14:paraId="7862B26F" w14:textId="77777777" w:rsidR="00BF7ABE" w:rsidRPr="00355243" w:rsidRDefault="00BF7ABE" w:rsidP="00B24895">
      <w:pPr>
        <w:pStyle w:val="Prrafodelista"/>
        <w:numPr>
          <w:ilvl w:val="0"/>
          <w:numId w:val="2"/>
        </w:numPr>
        <w:spacing w:line="300" w:lineRule="auto"/>
        <w:ind w:left="703" w:hanging="703"/>
        <w:contextualSpacing w:val="0"/>
      </w:pPr>
      <w:r w:rsidRPr="00355243">
        <w:t>Las aportaciones voluntarias y personales, en dinero o en especie, que los precandidatas, precandidatos, candidatas y candidatos aporten exclusivamente para sus precampañas y campañas, y</w:t>
      </w:r>
    </w:p>
    <w:p w14:paraId="7D643213" w14:textId="77777777" w:rsidR="00BF7ABE" w:rsidRPr="00355243" w:rsidRDefault="00BF7ABE" w:rsidP="00B24895">
      <w:pPr>
        <w:pStyle w:val="Prrafodelista"/>
        <w:numPr>
          <w:ilvl w:val="0"/>
          <w:numId w:val="2"/>
        </w:numPr>
        <w:spacing w:line="300" w:lineRule="auto"/>
        <w:ind w:left="703" w:hanging="703"/>
        <w:contextualSpacing w:val="0"/>
      </w:pPr>
      <w:r w:rsidRPr="00355243">
        <w:t>Las aportaciones voluntarias y personales que realicen las y los simpatizantes durante los procesos electorales federales y locales, y estará conformado por las aportaciones o donativos, en dinero o en especie, hechas a los partidos políticos en forma libre y voluntaria por las personas físicas mexicanas con residencia en el país.</w:t>
      </w:r>
    </w:p>
    <w:p w14:paraId="5833450C" w14:textId="2FCCB730" w:rsidR="00A07290" w:rsidRPr="00355243" w:rsidRDefault="00A07290" w:rsidP="00B24895">
      <w:pPr>
        <w:spacing w:line="300" w:lineRule="auto"/>
      </w:pPr>
      <w:r w:rsidRPr="00355243">
        <w:t xml:space="preserve">Ahora bien, conforme a la jurisprudencia </w:t>
      </w:r>
      <w:r w:rsidR="00924298" w:rsidRPr="00355243">
        <w:t>6/2017</w:t>
      </w:r>
      <w:r w:rsidRPr="00355243">
        <w:t xml:space="preserve"> con rubro</w:t>
      </w:r>
      <w:r w:rsidRPr="00355243">
        <w:rPr>
          <w:b/>
          <w:bCs/>
        </w:rPr>
        <w:t>: “</w:t>
      </w:r>
      <w:r w:rsidR="00924298" w:rsidRPr="00355243">
        <w:rPr>
          <w:b/>
          <w:bCs/>
        </w:rPr>
        <w:t>APORTACIONES DE SIMPATIZANTES A PARTIDOS POLÍTICOS. ES INCONSTITUCIONAL LIMITARLAS A LOS PROCESOS ELECTORALES</w:t>
      </w:r>
      <w:r w:rsidRPr="00355243">
        <w:rPr>
          <w:b/>
          <w:bCs/>
        </w:rPr>
        <w:t>”</w:t>
      </w:r>
      <w:r w:rsidR="00924298" w:rsidRPr="00355243">
        <w:t xml:space="preserve"> </w:t>
      </w:r>
      <w:r w:rsidRPr="00355243">
        <w:t>la temporalidad establecida en el artículo 56, numeral I, inciso c), de la Ley General de Partidos Políticos, que limita las aportaciones de simpatizantes a los partidos políticos durante el proceso electoral, restringe injustificadamente el derecho humano de participación política reconocido por el bloque de constitucionalidad, razón por la cual es inconstitucional</w:t>
      </w:r>
      <w:r w:rsidRPr="00355243">
        <w:rPr>
          <w:rStyle w:val="Refdenotaalpie"/>
        </w:rPr>
        <w:footnoteReference w:id="1"/>
      </w:r>
      <w:r w:rsidRPr="00355243">
        <w:t xml:space="preserve">. </w:t>
      </w:r>
    </w:p>
    <w:p w14:paraId="52734F86" w14:textId="77777777" w:rsidR="00A07290" w:rsidRPr="00355243" w:rsidRDefault="00A07290" w:rsidP="00B24895">
      <w:pPr>
        <w:spacing w:line="300" w:lineRule="auto"/>
      </w:pPr>
      <w:r w:rsidRPr="00355243">
        <w:t>Para ello, el órgano jurisdiccional consideró que, la porción normativa mencionada genera una limitante a la posibilidad de que las y los simpatizantes de determinado partido político puedan concretar una de las formas de participación política y del derecho de asociación política a favor de los simpatizantes. De ahí que, las aportaciones que autoriza el artículo 56 párrafo 1, inciso c) de la Ley de Partidos deben interpretarse como uno de los medios al alcance de la ciudadanía para hacer extensiva la participación política por conducto de las entidades de interés público (partidos políticos), lo cual se traduce como un componente de accesibilidad del derecho para involucrarse en el escenario democrático.</w:t>
      </w:r>
    </w:p>
    <w:p w14:paraId="2CBE99E1" w14:textId="77777777" w:rsidR="00A07290" w:rsidRPr="00355243" w:rsidRDefault="00A07290" w:rsidP="00B24895">
      <w:pPr>
        <w:spacing w:line="300" w:lineRule="auto"/>
      </w:pPr>
      <w:r w:rsidRPr="00355243">
        <w:t>Asimismo, sostuvo que, fijar una temporalidad específica para realizar las aportaciones de las y los simpatizantes, resulta incompatible con la Constitución Federal, precisamente porque las mismas operan como uno de los medios que permiten la materialización del derecho de participación política, ya que, las y los sujetos autorizados referidos, en razón de la identificación ideológica con un instituto político, pueden apoyar a la consecución de fines partidistas no solamente en la etapa del proceso electoral, sino también en razón del fomento de la vida democrática, lo cual no puede circunscribirse únicamente a un momento determinado, sino que por el contrario, rebasa cualquier límite temporal.</w:t>
      </w:r>
    </w:p>
    <w:p w14:paraId="27220A2E" w14:textId="77777777" w:rsidR="00A07290" w:rsidRPr="00355243" w:rsidRDefault="00A07290" w:rsidP="00B24895">
      <w:pPr>
        <w:spacing w:line="300" w:lineRule="auto"/>
      </w:pPr>
      <w:r w:rsidRPr="00355243">
        <w:t>Sobre esa base, la Sala Superior determinó que, el criterio de temporalidad previsto en los artículos 56, numeral 1 inciso c) de la Ley General de Partidos Políticos y 95, numeral 2 inciso c) fracción I del Reglamento de Fiscalización del INE, relacionados con la obligación de los partidos políticos de recibir financiamiento privado por parte de sus simpatizantes, solamente en procesos electorales, no es acorde con el artículo 41 de la Constitución Federal y tampoco con el diverso 23, inciso a) de la Convención Americana sobre Derechos Humanos toda vez que reduce de manera injustificada, la posibilidad de que los simpatizantes puedan realizar aportaciones al financiamiento de los referidos institutos políticos, pues esa limitación incide de manera negativa en el derecho de participación política de acuerdo a los términos precisados.</w:t>
      </w:r>
    </w:p>
    <w:p w14:paraId="21B7C5F5" w14:textId="77777777" w:rsidR="00BF7ABE" w:rsidRPr="00355243" w:rsidRDefault="00BF7ABE" w:rsidP="0067654C">
      <w:pPr>
        <w:pStyle w:val="Ttulo2"/>
        <w:rPr>
          <w:sz w:val="23"/>
          <w:szCs w:val="23"/>
        </w:rPr>
      </w:pPr>
      <w:r w:rsidRPr="00355243">
        <w:rPr>
          <w:sz w:val="23"/>
          <w:szCs w:val="23"/>
        </w:rPr>
        <w:t>Límites anuales al financiamiento privado</w:t>
      </w:r>
    </w:p>
    <w:p w14:paraId="22321063" w14:textId="77777777" w:rsidR="00BF7ABE" w:rsidRPr="00355243" w:rsidRDefault="00BF7ABE" w:rsidP="00B24895">
      <w:pPr>
        <w:spacing w:line="300" w:lineRule="auto"/>
      </w:pPr>
      <w:r w:rsidRPr="00355243">
        <w:t>Que, el artículo 56 numeral 2 de la Ley de Partidos dispone que el financiamiento privado se ajustará a los límites anuales siguientes:</w:t>
      </w:r>
    </w:p>
    <w:p w14:paraId="75AB6B45" w14:textId="77777777" w:rsidR="00BF7ABE" w:rsidRPr="00355243" w:rsidRDefault="00BF7ABE" w:rsidP="00B24895">
      <w:pPr>
        <w:pStyle w:val="Prrafodelista"/>
        <w:numPr>
          <w:ilvl w:val="0"/>
          <w:numId w:val="3"/>
        </w:numPr>
        <w:spacing w:line="300" w:lineRule="auto"/>
        <w:ind w:left="680" w:hanging="680"/>
        <w:contextualSpacing w:val="0"/>
      </w:pPr>
      <w:r w:rsidRPr="00355243">
        <w:t>Para el caso de las aportaciones de las y los militantes, el dos por ciento del financiamiento público otorgado a la totalidad de los partidos políticos para el sostenimiento de sus actividades ordinarias y precampañas en el año de que se trate;</w:t>
      </w:r>
    </w:p>
    <w:p w14:paraId="4C3F36F1" w14:textId="77777777" w:rsidR="00BF7ABE" w:rsidRPr="00355243" w:rsidRDefault="00BF7ABE" w:rsidP="00B24895">
      <w:pPr>
        <w:pStyle w:val="Prrafodelista"/>
        <w:numPr>
          <w:ilvl w:val="0"/>
          <w:numId w:val="3"/>
        </w:numPr>
        <w:spacing w:line="300" w:lineRule="auto"/>
        <w:ind w:left="680" w:hanging="680"/>
        <w:contextualSpacing w:val="0"/>
      </w:pPr>
      <w:r w:rsidRPr="00355243">
        <w:t>Para el caso de las aportaciones de candidatos, así como de simpatizantes durante los procesos electorales, el diez por ciento del tope de gasto para la elección presidencial inmediata anterior, para ser utilizadas en las campañas de sus candidatos;</w:t>
      </w:r>
    </w:p>
    <w:p w14:paraId="302BA593" w14:textId="77777777" w:rsidR="00BF7ABE" w:rsidRPr="00355243" w:rsidRDefault="00BF7ABE" w:rsidP="00B24895">
      <w:pPr>
        <w:pStyle w:val="Prrafodelista"/>
        <w:numPr>
          <w:ilvl w:val="0"/>
          <w:numId w:val="3"/>
        </w:numPr>
        <w:spacing w:line="300" w:lineRule="auto"/>
        <w:ind w:left="680" w:hanging="680"/>
        <w:contextualSpacing w:val="0"/>
      </w:pPr>
      <w:r w:rsidRPr="00355243">
        <w:t>Cada partido político, a través del órgano responsable de la administración previsto en el artículo 43 inciso c) de la Ley de Partidos, determinará libremente los montos mínimos y máximos y la periodicidad de las cuotas ordinarias y extraordinarias de sus militantes, así como de las aportaciones voluntarias y personales que las y los precandidatos y candidatos aporten exclusivamente para sus precampañas y campañas, y</w:t>
      </w:r>
    </w:p>
    <w:p w14:paraId="157BD312" w14:textId="77777777" w:rsidR="00BF7ABE" w:rsidRPr="00355243" w:rsidRDefault="00BF7ABE" w:rsidP="00B24895">
      <w:pPr>
        <w:pStyle w:val="Prrafodelista"/>
        <w:numPr>
          <w:ilvl w:val="0"/>
          <w:numId w:val="3"/>
        </w:numPr>
        <w:spacing w:line="300" w:lineRule="auto"/>
        <w:ind w:left="680" w:hanging="680"/>
        <w:contextualSpacing w:val="0"/>
      </w:pPr>
      <w:r w:rsidRPr="00355243">
        <w:t>Las aportaciones de simpatizantes tendrán como límite individual anual el 0.5 por ciento del tope de gasto para la elección presidencial inmediata anterior.</w:t>
      </w:r>
    </w:p>
    <w:p w14:paraId="00B93DD0" w14:textId="77777777" w:rsidR="00993F6F" w:rsidRPr="00355243" w:rsidRDefault="00993F6F" w:rsidP="0067654C">
      <w:pPr>
        <w:pStyle w:val="Ttulo2"/>
        <w:rPr>
          <w:sz w:val="23"/>
          <w:szCs w:val="23"/>
        </w:rPr>
      </w:pPr>
      <w:r w:rsidRPr="00355243">
        <w:rPr>
          <w:sz w:val="23"/>
          <w:szCs w:val="23"/>
        </w:rPr>
        <w:t>Obligaciones de los partidos políticos en materia de financiamiento</w:t>
      </w:r>
    </w:p>
    <w:p w14:paraId="5D84F6BA" w14:textId="77777777" w:rsidR="00993F6F" w:rsidRPr="00355243" w:rsidRDefault="00993F6F" w:rsidP="00B24895">
      <w:pPr>
        <w:spacing w:line="300" w:lineRule="auto"/>
      </w:pPr>
      <w:r w:rsidRPr="00355243">
        <w:t>Que, el artículo 25 numeral 1 inciso n) de la Ley de Partidos, en concordancia con el dispositivo 56 numeral 1 fracción XVIII de la Ley Electoral, disponen que es obligación de los partidos políticos, aplicar el financiamiento de que dispongan exclusivamente para los fines que les hayan sido entregados.</w:t>
      </w:r>
    </w:p>
    <w:p w14:paraId="50FA372E" w14:textId="77777777" w:rsidR="00993F6F" w:rsidRPr="00355243" w:rsidRDefault="00993F6F" w:rsidP="0067654C">
      <w:pPr>
        <w:pStyle w:val="Ttulo2"/>
        <w:rPr>
          <w:sz w:val="23"/>
          <w:szCs w:val="23"/>
        </w:rPr>
      </w:pPr>
      <w:r w:rsidRPr="00355243">
        <w:rPr>
          <w:sz w:val="23"/>
          <w:szCs w:val="23"/>
        </w:rPr>
        <w:t>Fiscalización de los recursos</w:t>
      </w:r>
    </w:p>
    <w:p w14:paraId="2A23BD73" w14:textId="36DD9BEA" w:rsidR="00993F6F" w:rsidRPr="00355243" w:rsidRDefault="00993F6F" w:rsidP="00B24895">
      <w:pPr>
        <w:spacing w:line="300" w:lineRule="auto"/>
      </w:pPr>
      <w:r w:rsidRPr="00355243">
        <w:t>Que, de acuerdo con el artículo 41 base V, apartado B, penúltimo párrafo de la Constitución Federal, corresponde al Consejo General del INE la fiscalización de las finanzas de los partidos políticos y de las campañas de los candidatos relativas a los procesos electorales federal y locales, para ello, no estará limitado por los secretos bancario, fiduciario y fiscal, y contará con el apoyo de las autoridades federales y locales.</w:t>
      </w:r>
    </w:p>
    <w:p w14:paraId="44FE2BEA" w14:textId="44232793" w:rsidR="00BF7ABE" w:rsidRPr="00355243" w:rsidRDefault="00326772" w:rsidP="0067654C">
      <w:pPr>
        <w:pStyle w:val="Ttulo2"/>
        <w:rPr>
          <w:sz w:val="23"/>
          <w:szCs w:val="23"/>
        </w:rPr>
      </w:pPr>
      <w:r w:rsidRPr="00355243">
        <w:rPr>
          <w:sz w:val="23"/>
          <w:szCs w:val="23"/>
        </w:rPr>
        <w:t>Determinación de los límites anuales de financiamiento privado</w:t>
      </w:r>
    </w:p>
    <w:p w14:paraId="0D2800E4" w14:textId="47D584D3" w:rsidR="00B26910" w:rsidRPr="00355243" w:rsidRDefault="00B02978" w:rsidP="00B24895">
      <w:pPr>
        <w:spacing w:line="300" w:lineRule="auto"/>
      </w:pPr>
      <w:r w:rsidRPr="00355243">
        <w:t xml:space="preserve">Que, de acuerdo con los fundamentos y las consideraciones mencionadas, corresponde a este Consejo Estatal determinar los límites anuales de financiamiento privado que podrán </w:t>
      </w:r>
      <w:r w:rsidR="00B26910" w:rsidRPr="00355243">
        <w:t xml:space="preserve">percibir </w:t>
      </w:r>
      <w:r w:rsidRPr="00355243">
        <w:t>los partidos políticos durante el ejercicio 2024</w:t>
      </w:r>
      <w:r w:rsidR="00B26910" w:rsidRPr="00355243">
        <w:t>, conforme a las reglas y criterios contenidos en el artículo 56 numeral 2 inciso a) de la Ley de Partidos, en relación con el diverso 75 numeral 2 de la Ley Electoral.</w:t>
      </w:r>
    </w:p>
    <w:p w14:paraId="6AEB1345" w14:textId="3A2ED6E8" w:rsidR="004C66B2" w:rsidRPr="00355243" w:rsidRDefault="004C66B2" w:rsidP="00B24895">
      <w:pPr>
        <w:pStyle w:val="Ttulo3"/>
        <w:spacing w:line="300" w:lineRule="auto"/>
        <w:rPr>
          <w:sz w:val="23"/>
          <w:szCs w:val="23"/>
        </w:rPr>
      </w:pPr>
      <w:r w:rsidRPr="00355243">
        <w:rPr>
          <w:sz w:val="23"/>
          <w:szCs w:val="23"/>
        </w:rPr>
        <w:t>Límite anual de aportaciones de las y los militantes</w:t>
      </w:r>
    </w:p>
    <w:p w14:paraId="0C7DC9C3" w14:textId="0E891D69" w:rsidR="004C66B2" w:rsidRDefault="004C66B2" w:rsidP="00B24895">
      <w:pPr>
        <w:spacing w:line="300" w:lineRule="auto"/>
      </w:pPr>
      <w:r w:rsidRPr="00355243">
        <w:t>Conforme al inciso a) del numeral 2 del artículo 56 de la Ley de Partidos, el límite anual de financiamiento privado que cada partido político podrá percibir durante el ejercicio 2024 se obtiene de aplicar el 2% sobre el financiamiento público otorgado a la totalidad de los partidos políticos para el sostenimiento de sus actividades ordinarias</w:t>
      </w:r>
      <w:r w:rsidR="00EE35C1" w:rsidRPr="00355243">
        <w:t>. En ese sentido, de las operaciones aritméticas se obtienen los siguientes montos:</w:t>
      </w:r>
    </w:p>
    <w:p w14:paraId="3D39F626" w14:textId="77777777" w:rsidR="00355243" w:rsidRPr="00355243" w:rsidRDefault="00355243" w:rsidP="00B24895">
      <w:pPr>
        <w:spacing w:line="300" w:lineRule="auto"/>
      </w:pPr>
    </w:p>
    <w:tbl>
      <w:tblPr>
        <w:tblStyle w:val="Tablaconcuadrcula"/>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3827"/>
      </w:tblGrid>
      <w:tr w:rsidR="008C3906" w:rsidRPr="00355243" w14:paraId="3A0F7484" w14:textId="77777777" w:rsidTr="00C00124">
        <w:tc>
          <w:tcPr>
            <w:tcW w:w="4111" w:type="dxa"/>
            <w:shd w:val="clear" w:color="auto" w:fill="993366"/>
          </w:tcPr>
          <w:p w14:paraId="18FBF4A6" w14:textId="652DE258" w:rsidR="008C3906" w:rsidRPr="00355243" w:rsidRDefault="008C3906" w:rsidP="00B24895">
            <w:pPr>
              <w:spacing w:before="40" w:after="40" w:line="300" w:lineRule="auto"/>
              <w:jc w:val="center"/>
              <w:rPr>
                <w:b/>
                <w:bCs/>
                <w:color w:val="FFFFFF" w:themeColor="background1"/>
                <w:sz w:val="20"/>
                <w:szCs w:val="20"/>
              </w:rPr>
            </w:pPr>
            <w:r w:rsidRPr="00355243">
              <w:rPr>
                <w:b/>
                <w:bCs/>
                <w:color w:val="FFFFFF" w:themeColor="background1"/>
                <w:sz w:val="20"/>
                <w:szCs w:val="20"/>
              </w:rPr>
              <w:t>Total de financiamiento público para actividades ordinarias para los partidos políticos para el ejercicio 2024</w:t>
            </w:r>
            <w:r w:rsidR="00BE28C6" w:rsidRPr="00355243">
              <w:rPr>
                <w:b/>
                <w:bCs/>
                <w:color w:val="FFFFFF" w:themeColor="background1"/>
                <w:sz w:val="20"/>
                <w:szCs w:val="20"/>
              </w:rPr>
              <w:t xml:space="preserve"> </w:t>
            </w:r>
            <w:r w:rsidRPr="00355243">
              <w:rPr>
                <w:b/>
                <w:bCs/>
                <w:color w:val="FFFFFF" w:themeColor="background1"/>
                <w:sz w:val="20"/>
                <w:szCs w:val="20"/>
              </w:rPr>
              <w:t>(CE/2023/</w:t>
            </w:r>
            <w:r w:rsidR="00CC06EC" w:rsidRPr="00355243">
              <w:rPr>
                <w:b/>
                <w:bCs/>
                <w:color w:val="FFFFFF" w:themeColor="background1"/>
                <w:sz w:val="20"/>
                <w:szCs w:val="20"/>
              </w:rPr>
              <w:t>20)</w:t>
            </w:r>
          </w:p>
        </w:tc>
        <w:tc>
          <w:tcPr>
            <w:tcW w:w="3827" w:type="dxa"/>
            <w:shd w:val="clear" w:color="auto" w:fill="993366"/>
          </w:tcPr>
          <w:p w14:paraId="14E54186" w14:textId="41F3F58F" w:rsidR="008C3906" w:rsidRPr="00355243" w:rsidRDefault="008C3906" w:rsidP="00B24895">
            <w:pPr>
              <w:spacing w:before="40" w:after="40" w:line="300" w:lineRule="auto"/>
              <w:jc w:val="center"/>
              <w:rPr>
                <w:b/>
                <w:bCs/>
                <w:color w:val="FFFFFF" w:themeColor="background1"/>
                <w:sz w:val="20"/>
                <w:szCs w:val="20"/>
              </w:rPr>
            </w:pPr>
            <w:r w:rsidRPr="00355243">
              <w:rPr>
                <w:b/>
                <w:bCs/>
                <w:color w:val="FFFFFF" w:themeColor="background1"/>
                <w:sz w:val="20"/>
                <w:szCs w:val="20"/>
              </w:rPr>
              <w:t>Límite anual aportación de militantes</w:t>
            </w:r>
            <w:r w:rsidR="00BE28C6" w:rsidRPr="00355243">
              <w:rPr>
                <w:b/>
                <w:bCs/>
                <w:color w:val="FFFFFF" w:themeColor="background1"/>
                <w:sz w:val="20"/>
                <w:szCs w:val="20"/>
              </w:rPr>
              <w:t xml:space="preserve"> </w:t>
            </w:r>
            <w:r w:rsidRPr="00355243">
              <w:rPr>
                <w:b/>
                <w:bCs/>
                <w:color w:val="FFFFFF" w:themeColor="background1"/>
                <w:sz w:val="20"/>
                <w:szCs w:val="20"/>
              </w:rPr>
              <w:t>(2% del financiamiento público para actividades ordinarias de todos los partidos políticos)</w:t>
            </w:r>
          </w:p>
        </w:tc>
      </w:tr>
      <w:tr w:rsidR="008C3906" w:rsidRPr="00355243" w14:paraId="32A68F2B" w14:textId="77777777" w:rsidTr="00C00124">
        <w:tc>
          <w:tcPr>
            <w:tcW w:w="4111" w:type="dxa"/>
          </w:tcPr>
          <w:p w14:paraId="69701149" w14:textId="0BD22BF7" w:rsidR="008C3906" w:rsidRPr="00355243" w:rsidRDefault="00CC06EC" w:rsidP="00B24895">
            <w:pPr>
              <w:spacing w:before="40" w:after="40" w:line="300" w:lineRule="auto"/>
              <w:jc w:val="center"/>
              <w:rPr>
                <w:b/>
                <w:bCs/>
                <w:sz w:val="20"/>
                <w:szCs w:val="20"/>
              </w:rPr>
            </w:pPr>
            <w:r w:rsidRPr="00355243">
              <w:rPr>
                <w:b/>
                <w:bCs/>
                <w:sz w:val="20"/>
                <w:szCs w:val="20"/>
              </w:rPr>
              <w:t>A</w:t>
            </w:r>
          </w:p>
        </w:tc>
        <w:tc>
          <w:tcPr>
            <w:tcW w:w="3827" w:type="dxa"/>
          </w:tcPr>
          <w:p w14:paraId="0B540DEA" w14:textId="0134C379" w:rsidR="008C3906" w:rsidRPr="00355243" w:rsidRDefault="00E005AD" w:rsidP="00B24895">
            <w:pPr>
              <w:spacing w:before="40" w:after="40" w:line="300" w:lineRule="auto"/>
              <w:jc w:val="center"/>
              <w:rPr>
                <w:b/>
                <w:bCs/>
                <w:sz w:val="20"/>
                <w:szCs w:val="20"/>
              </w:rPr>
            </w:pPr>
            <w:r w:rsidRPr="00355243">
              <w:rPr>
                <w:b/>
                <w:bCs/>
                <w:sz w:val="20"/>
                <w:szCs w:val="20"/>
              </w:rPr>
              <w:t xml:space="preserve">B= </w:t>
            </w:r>
            <w:r w:rsidR="00CC06EC" w:rsidRPr="00355243">
              <w:rPr>
                <w:b/>
                <w:bCs/>
                <w:sz w:val="20"/>
                <w:szCs w:val="20"/>
              </w:rPr>
              <w:t>A × 2%</w:t>
            </w:r>
          </w:p>
        </w:tc>
      </w:tr>
      <w:tr w:rsidR="00CC06EC" w:rsidRPr="00355243" w14:paraId="524424BC" w14:textId="77777777" w:rsidTr="00C00124">
        <w:tc>
          <w:tcPr>
            <w:tcW w:w="4111" w:type="dxa"/>
          </w:tcPr>
          <w:p w14:paraId="3BCD9A3C" w14:textId="06A34ADF" w:rsidR="00CC06EC" w:rsidRPr="00355243" w:rsidRDefault="00CC06EC" w:rsidP="00B24895">
            <w:pPr>
              <w:spacing w:before="40" w:after="40" w:line="300" w:lineRule="auto"/>
              <w:jc w:val="center"/>
              <w:rPr>
                <w:b/>
                <w:bCs/>
                <w:sz w:val="20"/>
                <w:szCs w:val="20"/>
              </w:rPr>
            </w:pPr>
            <w:r w:rsidRPr="00355243">
              <w:rPr>
                <w:b/>
                <w:bCs/>
                <w:sz w:val="20"/>
                <w:szCs w:val="20"/>
              </w:rPr>
              <w:t>$60’688,136.01</w:t>
            </w:r>
          </w:p>
        </w:tc>
        <w:tc>
          <w:tcPr>
            <w:tcW w:w="3827" w:type="dxa"/>
          </w:tcPr>
          <w:p w14:paraId="59A2B69A" w14:textId="77091F20" w:rsidR="00CC06EC" w:rsidRPr="00355243" w:rsidRDefault="00CC06EC" w:rsidP="00B24895">
            <w:pPr>
              <w:spacing w:before="40" w:after="40" w:line="300" w:lineRule="auto"/>
              <w:jc w:val="center"/>
              <w:rPr>
                <w:b/>
                <w:bCs/>
                <w:sz w:val="20"/>
                <w:szCs w:val="20"/>
              </w:rPr>
            </w:pPr>
            <w:r w:rsidRPr="00355243">
              <w:rPr>
                <w:b/>
                <w:bCs/>
                <w:sz w:val="20"/>
                <w:szCs w:val="20"/>
              </w:rPr>
              <w:t>$1’213,762.72</w:t>
            </w:r>
          </w:p>
        </w:tc>
      </w:tr>
    </w:tbl>
    <w:p w14:paraId="4E803DCA" w14:textId="15C179D7" w:rsidR="004C66B2" w:rsidRPr="00355243" w:rsidRDefault="004C66B2" w:rsidP="00B24895">
      <w:pPr>
        <w:pStyle w:val="Ttulo3"/>
        <w:spacing w:line="300" w:lineRule="auto"/>
        <w:rPr>
          <w:sz w:val="23"/>
          <w:szCs w:val="23"/>
        </w:rPr>
      </w:pPr>
      <w:r w:rsidRPr="00355243">
        <w:rPr>
          <w:sz w:val="23"/>
          <w:szCs w:val="23"/>
        </w:rPr>
        <w:t>Límite anual de las aportaciones de simpatizantes</w:t>
      </w:r>
      <w:r w:rsidR="000E4CB1" w:rsidRPr="00355243">
        <w:rPr>
          <w:sz w:val="23"/>
          <w:szCs w:val="23"/>
        </w:rPr>
        <w:t xml:space="preserve"> y candidaturas</w:t>
      </w:r>
    </w:p>
    <w:p w14:paraId="3E3A31B5" w14:textId="2D250C1C" w:rsidR="000E4CB1" w:rsidRPr="00355243" w:rsidRDefault="000E4CB1" w:rsidP="00B24895">
      <w:pPr>
        <w:spacing w:line="300" w:lineRule="auto"/>
      </w:pPr>
      <w:r w:rsidRPr="00355243">
        <w:t>En lo que respecta a los límites de financiamiento privado por parte de las y los simpatizantes y candidaturas de partidos políticos</w:t>
      </w:r>
      <w:r w:rsidR="003C431B" w:rsidRPr="00355243">
        <w:t xml:space="preserve"> durante el Proceso Electoral para ser utilizadas en las campañas de sus candidaturas</w:t>
      </w:r>
      <w:r w:rsidRPr="00355243">
        <w:t xml:space="preserve">, su monto se obtiene de aplicar el 10% del tope de gasto para la elección presidencial inmediata anterior, y de forma individual, las aportaciones de simpatizantes tendrán como límite anual el 0.5 por ciento del tope de gasto para la elección presidencial inmediata anterior; sin embargo, </w:t>
      </w:r>
      <w:r w:rsidR="004C66B2" w:rsidRPr="00355243">
        <w:t xml:space="preserve">lo adecuado es </w:t>
      </w:r>
      <w:r w:rsidRPr="00355243">
        <w:t xml:space="preserve">considerar </w:t>
      </w:r>
      <w:r w:rsidR="004C66B2" w:rsidRPr="00355243">
        <w:t>el tope de gastos de la elección de la Gubernatura inmediata anterior por tratarse de un límite referido al ámbito local</w:t>
      </w:r>
      <w:r w:rsidRPr="00355243">
        <w:t>. Con base en ello se obtienen los siguientes montos:</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55"/>
        <w:gridCol w:w="2755"/>
        <w:gridCol w:w="2756"/>
      </w:tblGrid>
      <w:tr w:rsidR="000E4CB1" w:rsidRPr="00355243" w14:paraId="6020C27C" w14:textId="1A72F83C" w:rsidTr="000E4CB1">
        <w:trPr>
          <w:jc w:val="center"/>
        </w:trPr>
        <w:tc>
          <w:tcPr>
            <w:tcW w:w="2755" w:type="dxa"/>
            <w:shd w:val="clear" w:color="auto" w:fill="993366"/>
            <w:vAlign w:val="center"/>
          </w:tcPr>
          <w:p w14:paraId="6440CC30" w14:textId="77777777" w:rsidR="000E4CB1" w:rsidRPr="00355243" w:rsidRDefault="000E4CB1" w:rsidP="00B24895">
            <w:pPr>
              <w:spacing w:before="40" w:after="40" w:line="300" w:lineRule="auto"/>
              <w:jc w:val="center"/>
              <w:rPr>
                <w:b/>
                <w:bCs/>
                <w:color w:val="FFFFFF" w:themeColor="background1"/>
                <w:sz w:val="20"/>
                <w:szCs w:val="20"/>
              </w:rPr>
            </w:pPr>
            <w:r w:rsidRPr="00355243">
              <w:rPr>
                <w:b/>
                <w:bCs/>
                <w:color w:val="FFFFFF" w:themeColor="background1"/>
                <w:sz w:val="20"/>
                <w:szCs w:val="20"/>
              </w:rPr>
              <w:t xml:space="preserve">Tope de gastos para la elección de la Gubernatura 2017-2018 </w:t>
            </w:r>
          </w:p>
          <w:p w14:paraId="6A1D87FD" w14:textId="24E632E4" w:rsidR="000E4CB1" w:rsidRPr="00355243" w:rsidRDefault="000E4CB1" w:rsidP="00B24895">
            <w:pPr>
              <w:spacing w:before="40" w:after="40" w:line="300" w:lineRule="auto"/>
              <w:jc w:val="center"/>
              <w:rPr>
                <w:b/>
                <w:bCs/>
                <w:color w:val="FFFFFF" w:themeColor="background1"/>
                <w:sz w:val="20"/>
                <w:szCs w:val="20"/>
              </w:rPr>
            </w:pPr>
            <w:r w:rsidRPr="00355243">
              <w:rPr>
                <w:b/>
                <w:bCs/>
                <w:color w:val="FFFFFF" w:themeColor="background1"/>
                <w:sz w:val="20"/>
                <w:szCs w:val="20"/>
              </w:rPr>
              <w:t>CE/2017/045</w:t>
            </w:r>
          </w:p>
        </w:tc>
        <w:tc>
          <w:tcPr>
            <w:tcW w:w="2755" w:type="dxa"/>
            <w:shd w:val="clear" w:color="auto" w:fill="993366"/>
            <w:vAlign w:val="center"/>
          </w:tcPr>
          <w:p w14:paraId="09F6E7A1" w14:textId="64A53663" w:rsidR="000E4CB1" w:rsidRPr="00355243" w:rsidRDefault="000E4CB1" w:rsidP="00B24895">
            <w:pPr>
              <w:spacing w:before="40" w:after="40" w:line="300" w:lineRule="auto"/>
              <w:jc w:val="center"/>
              <w:rPr>
                <w:b/>
                <w:bCs/>
                <w:color w:val="FFFFFF" w:themeColor="background1"/>
                <w:sz w:val="20"/>
                <w:szCs w:val="20"/>
              </w:rPr>
            </w:pPr>
            <w:r w:rsidRPr="00355243">
              <w:rPr>
                <w:b/>
                <w:bCs/>
                <w:color w:val="FFFFFF" w:themeColor="background1"/>
                <w:sz w:val="20"/>
                <w:szCs w:val="20"/>
              </w:rPr>
              <w:t>Límite de aportaciones de l</w:t>
            </w:r>
            <w:r w:rsidR="003C431B" w:rsidRPr="00355243">
              <w:rPr>
                <w:b/>
                <w:bCs/>
                <w:color w:val="FFFFFF" w:themeColor="background1"/>
                <w:sz w:val="20"/>
                <w:szCs w:val="20"/>
              </w:rPr>
              <w:t xml:space="preserve">as candidaturas y </w:t>
            </w:r>
            <w:r w:rsidRPr="00355243">
              <w:rPr>
                <w:b/>
                <w:bCs/>
                <w:color w:val="FFFFFF" w:themeColor="background1"/>
                <w:sz w:val="20"/>
                <w:szCs w:val="20"/>
              </w:rPr>
              <w:t>simpatizantes para el ejercicio 2024 (10% del tope de gastos para la elección a la Gubernatura inmediata anterior)</w:t>
            </w:r>
          </w:p>
        </w:tc>
        <w:tc>
          <w:tcPr>
            <w:tcW w:w="2756" w:type="dxa"/>
            <w:shd w:val="clear" w:color="auto" w:fill="993366"/>
            <w:vAlign w:val="center"/>
          </w:tcPr>
          <w:p w14:paraId="47A9E61F" w14:textId="5C46609D" w:rsidR="000E4CB1" w:rsidRPr="00355243" w:rsidRDefault="000E4CB1" w:rsidP="00B24895">
            <w:pPr>
              <w:spacing w:before="40" w:after="40" w:line="300" w:lineRule="auto"/>
              <w:jc w:val="center"/>
              <w:rPr>
                <w:b/>
                <w:bCs/>
                <w:color w:val="FFFFFF" w:themeColor="background1"/>
                <w:sz w:val="20"/>
                <w:szCs w:val="20"/>
              </w:rPr>
            </w:pPr>
            <w:r w:rsidRPr="00355243">
              <w:rPr>
                <w:b/>
                <w:bCs/>
                <w:color w:val="FFFFFF" w:themeColor="background1"/>
                <w:sz w:val="20"/>
                <w:szCs w:val="20"/>
              </w:rPr>
              <w:t>Aportación individual anual de simpatizantes (0.5% del tope de gastos para la elección a la Gubernatura inmediata anterior)</w:t>
            </w:r>
          </w:p>
        </w:tc>
      </w:tr>
      <w:tr w:rsidR="000E4CB1" w:rsidRPr="00355243" w14:paraId="6099A7F4" w14:textId="5BEE024F" w:rsidTr="000E4CB1">
        <w:trPr>
          <w:jc w:val="center"/>
        </w:trPr>
        <w:tc>
          <w:tcPr>
            <w:tcW w:w="2755" w:type="dxa"/>
            <w:vAlign w:val="center"/>
          </w:tcPr>
          <w:p w14:paraId="63D1F552" w14:textId="77777777" w:rsidR="000E4CB1" w:rsidRPr="00355243" w:rsidRDefault="000E4CB1" w:rsidP="00B24895">
            <w:pPr>
              <w:spacing w:before="40" w:after="40" w:line="300" w:lineRule="auto"/>
              <w:jc w:val="center"/>
              <w:rPr>
                <w:b/>
                <w:bCs/>
                <w:sz w:val="20"/>
                <w:szCs w:val="20"/>
              </w:rPr>
            </w:pPr>
            <w:r w:rsidRPr="00355243">
              <w:rPr>
                <w:b/>
                <w:bCs/>
                <w:sz w:val="20"/>
                <w:szCs w:val="20"/>
              </w:rPr>
              <w:t>A</w:t>
            </w:r>
          </w:p>
        </w:tc>
        <w:tc>
          <w:tcPr>
            <w:tcW w:w="2755" w:type="dxa"/>
            <w:vAlign w:val="center"/>
          </w:tcPr>
          <w:p w14:paraId="08BD48AC" w14:textId="4CA3D587" w:rsidR="000E4CB1" w:rsidRPr="00355243" w:rsidRDefault="000E4CB1" w:rsidP="00B24895">
            <w:pPr>
              <w:spacing w:before="40" w:after="40" w:line="300" w:lineRule="auto"/>
              <w:jc w:val="center"/>
              <w:rPr>
                <w:b/>
                <w:bCs/>
                <w:sz w:val="20"/>
                <w:szCs w:val="20"/>
              </w:rPr>
            </w:pPr>
            <w:r w:rsidRPr="00355243">
              <w:rPr>
                <w:b/>
                <w:bCs/>
                <w:sz w:val="20"/>
                <w:szCs w:val="20"/>
              </w:rPr>
              <w:t>B= A × 10%</w:t>
            </w:r>
          </w:p>
        </w:tc>
        <w:tc>
          <w:tcPr>
            <w:tcW w:w="2756" w:type="dxa"/>
            <w:vAlign w:val="center"/>
          </w:tcPr>
          <w:p w14:paraId="54DB82BD" w14:textId="263DDA35" w:rsidR="000E4CB1" w:rsidRPr="00355243" w:rsidRDefault="000E4CB1" w:rsidP="00B24895">
            <w:pPr>
              <w:spacing w:before="40" w:after="40" w:line="300" w:lineRule="auto"/>
              <w:jc w:val="center"/>
              <w:rPr>
                <w:b/>
                <w:bCs/>
                <w:sz w:val="20"/>
                <w:szCs w:val="20"/>
              </w:rPr>
            </w:pPr>
            <w:r w:rsidRPr="00355243">
              <w:rPr>
                <w:b/>
                <w:bCs/>
                <w:sz w:val="20"/>
                <w:szCs w:val="20"/>
              </w:rPr>
              <w:t>C= A × 0.5%</w:t>
            </w:r>
          </w:p>
        </w:tc>
      </w:tr>
      <w:tr w:rsidR="000E4CB1" w:rsidRPr="00355243" w14:paraId="4D50A5A1" w14:textId="04337809" w:rsidTr="000E4CB1">
        <w:trPr>
          <w:jc w:val="center"/>
        </w:trPr>
        <w:tc>
          <w:tcPr>
            <w:tcW w:w="2755" w:type="dxa"/>
            <w:vAlign w:val="center"/>
          </w:tcPr>
          <w:p w14:paraId="01CD21B2" w14:textId="7660C46E" w:rsidR="000E4CB1" w:rsidRPr="00355243" w:rsidRDefault="000E4CB1" w:rsidP="00B24895">
            <w:pPr>
              <w:spacing w:before="40" w:after="40" w:line="300" w:lineRule="auto"/>
              <w:jc w:val="center"/>
              <w:rPr>
                <w:b/>
                <w:bCs/>
                <w:sz w:val="20"/>
                <w:szCs w:val="20"/>
              </w:rPr>
            </w:pPr>
            <w:r w:rsidRPr="00355243">
              <w:rPr>
                <w:b/>
                <w:bCs/>
                <w:sz w:val="20"/>
                <w:szCs w:val="20"/>
              </w:rPr>
              <w:t>$20’488,184.16</w:t>
            </w:r>
          </w:p>
        </w:tc>
        <w:tc>
          <w:tcPr>
            <w:tcW w:w="2755" w:type="dxa"/>
            <w:vAlign w:val="center"/>
          </w:tcPr>
          <w:p w14:paraId="35926C47" w14:textId="469099E5" w:rsidR="000E4CB1" w:rsidRPr="00355243" w:rsidRDefault="000E4CB1" w:rsidP="00B24895">
            <w:pPr>
              <w:spacing w:before="40" w:after="40" w:line="300" w:lineRule="auto"/>
              <w:jc w:val="center"/>
              <w:rPr>
                <w:b/>
                <w:bCs/>
                <w:sz w:val="20"/>
                <w:szCs w:val="20"/>
              </w:rPr>
            </w:pPr>
            <w:r w:rsidRPr="00355243">
              <w:rPr>
                <w:b/>
                <w:bCs/>
                <w:sz w:val="20"/>
                <w:szCs w:val="20"/>
              </w:rPr>
              <w:t>$2’048,818.41</w:t>
            </w:r>
          </w:p>
        </w:tc>
        <w:tc>
          <w:tcPr>
            <w:tcW w:w="2756" w:type="dxa"/>
            <w:vAlign w:val="center"/>
          </w:tcPr>
          <w:p w14:paraId="4590AFE9" w14:textId="0B577248" w:rsidR="000E4CB1" w:rsidRPr="00355243" w:rsidRDefault="000E4CB1" w:rsidP="00B24895">
            <w:pPr>
              <w:spacing w:before="40" w:after="40" w:line="300" w:lineRule="auto"/>
              <w:jc w:val="center"/>
              <w:rPr>
                <w:b/>
                <w:bCs/>
                <w:sz w:val="20"/>
                <w:szCs w:val="20"/>
              </w:rPr>
            </w:pPr>
            <w:r w:rsidRPr="00355243">
              <w:rPr>
                <w:b/>
                <w:bCs/>
                <w:sz w:val="20"/>
                <w:szCs w:val="20"/>
              </w:rPr>
              <w:t>$102,440.92</w:t>
            </w:r>
          </w:p>
        </w:tc>
      </w:tr>
    </w:tbl>
    <w:p w14:paraId="2E2B87AA" w14:textId="77777777" w:rsidR="000A3A7E" w:rsidRPr="00355243" w:rsidRDefault="000A3A7E" w:rsidP="00B24895">
      <w:pPr>
        <w:spacing w:line="300" w:lineRule="auto"/>
      </w:pPr>
      <w:r w:rsidRPr="00355243">
        <w:t>Sobre la base de las consideraciones señaladas, este Consejo Estatal emite el siguiente:</w:t>
      </w:r>
    </w:p>
    <w:p w14:paraId="57004B30" w14:textId="6ADFA652" w:rsidR="000A3A7E" w:rsidRPr="00355243" w:rsidRDefault="000A3A7E" w:rsidP="00DA7018">
      <w:pPr>
        <w:pStyle w:val="Ttulo1"/>
        <w:rPr>
          <w:sz w:val="24"/>
          <w:szCs w:val="24"/>
        </w:rPr>
      </w:pPr>
      <w:r w:rsidRPr="00355243">
        <w:rPr>
          <w:sz w:val="24"/>
          <w:szCs w:val="24"/>
        </w:rPr>
        <w:t>Acuerdo</w:t>
      </w:r>
    </w:p>
    <w:p w14:paraId="6E3E84CB" w14:textId="42690C9B" w:rsidR="000A3A7E" w:rsidRPr="00355243" w:rsidRDefault="000A3A7E" w:rsidP="00B24895">
      <w:pPr>
        <w:spacing w:line="300" w:lineRule="auto"/>
        <w:rPr>
          <w:b/>
          <w:bCs/>
        </w:rPr>
      </w:pPr>
      <w:r w:rsidRPr="00355243">
        <w:rPr>
          <w:b/>
          <w:bCs/>
        </w:rPr>
        <w:t>Primero.</w:t>
      </w:r>
      <w:r w:rsidRPr="00355243">
        <w:t xml:space="preserve"> El límite anual de financiamiento privado que cada partido político podrá percibir de su militancia para el sostenimiento de sus actividades ordinarias durante el ejercicio 2024 es por la cantidad de </w:t>
      </w:r>
      <w:r w:rsidRPr="00355243">
        <w:rPr>
          <w:b/>
          <w:bCs/>
        </w:rPr>
        <w:t>$1’213,762.72 (un millón doscientos trece mil setecientos sesenta y dos pesos 72/100 m. n.).</w:t>
      </w:r>
    </w:p>
    <w:p w14:paraId="456E258A" w14:textId="1E8BA3B5" w:rsidR="00924298" w:rsidRPr="00355243" w:rsidRDefault="000A3A7E" w:rsidP="00B24895">
      <w:pPr>
        <w:spacing w:line="300" w:lineRule="auto"/>
        <w:rPr>
          <w:b/>
          <w:bCs/>
        </w:rPr>
      </w:pPr>
      <w:r w:rsidRPr="00355243">
        <w:rPr>
          <w:b/>
          <w:bCs/>
        </w:rPr>
        <w:t>Segundo.</w:t>
      </w:r>
      <w:r w:rsidRPr="00355243">
        <w:t xml:space="preserve"> El límite de las aportaciones que cada partido político podrá recibir como aportaciones de </w:t>
      </w:r>
      <w:r w:rsidR="00E52AA3" w:rsidRPr="00355243">
        <w:t xml:space="preserve">candidaturas o </w:t>
      </w:r>
      <w:r w:rsidRPr="00355243">
        <w:t xml:space="preserve">simpatizantes en dinero o en especie </w:t>
      </w:r>
      <w:r w:rsidR="000960BF" w:rsidRPr="00355243">
        <w:t xml:space="preserve">durante el ejercicio 2024 </w:t>
      </w:r>
      <w:r w:rsidR="00D24076" w:rsidRPr="00355243">
        <w:t>es</w:t>
      </w:r>
      <w:r w:rsidRPr="00355243">
        <w:t xml:space="preserve"> por la cantidad de </w:t>
      </w:r>
      <w:r w:rsidRPr="00355243">
        <w:rPr>
          <w:b/>
          <w:bCs/>
        </w:rPr>
        <w:t>$2’048,818.41 (dos millones cuarenta y ocho mil ochocientos dieciocho pesos 41/100 m. n.).</w:t>
      </w:r>
    </w:p>
    <w:p w14:paraId="597122A1" w14:textId="12033D5E" w:rsidR="00E86B3B" w:rsidRPr="00355243" w:rsidRDefault="000A3A7E" w:rsidP="00B24895">
      <w:pPr>
        <w:spacing w:line="300" w:lineRule="auto"/>
        <w:rPr>
          <w:b/>
          <w:bCs/>
        </w:rPr>
      </w:pPr>
      <w:r w:rsidRPr="00355243">
        <w:rPr>
          <w:b/>
          <w:bCs/>
        </w:rPr>
        <w:t xml:space="preserve">Tercero. </w:t>
      </w:r>
      <w:r w:rsidRPr="00355243">
        <w:t xml:space="preserve">El límite individual </w:t>
      </w:r>
      <w:r w:rsidR="00F645D2" w:rsidRPr="00355243">
        <w:t xml:space="preserve">anual </w:t>
      </w:r>
      <w:r w:rsidRPr="00355243">
        <w:t>de las aportaciones en dinero o en especie que cada partido político podrá recibir de sus simpatizantes durante el ejercicio 2024 es por la cantidad de</w:t>
      </w:r>
      <w:r w:rsidRPr="00355243">
        <w:rPr>
          <w:b/>
          <w:bCs/>
        </w:rPr>
        <w:t xml:space="preserve"> $102,440.92 (ciento dos mil cuatrocientos cuarenta pesos 92/100 </w:t>
      </w:r>
      <w:r w:rsidR="00E86B3B" w:rsidRPr="00355243">
        <w:rPr>
          <w:b/>
          <w:bCs/>
        </w:rPr>
        <w:t>m. n.).</w:t>
      </w:r>
    </w:p>
    <w:p w14:paraId="68D24BDA" w14:textId="67023768" w:rsidR="006A4E9B" w:rsidRPr="00355243" w:rsidRDefault="007B730D" w:rsidP="00B24895">
      <w:pPr>
        <w:spacing w:line="300" w:lineRule="auto"/>
      </w:pPr>
      <w:r w:rsidRPr="00355243">
        <w:rPr>
          <w:b/>
          <w:bCs/>
        </w:rPr>
        <w:t xml:space="preserve">Cuarto. </w:t>
      </w:r>
      <w:r w:rsidR="006A4E9B" w:rsidRPr="00355243">
        <w:t>La suma del financiamiento privado de los partidos políticos, bajo todas sus modalidades, incluido el autofinanciamiento, rendimientos financieros, fondos y fideicomisos; en ningún caso podrá ser superior al monto de financiamiento público para el sostenimiento de sus actividades ordinarias permanentes y actividades específicas.</w:t>
      </w:r>
    </w:p>
    <w:p w14:paraId="7925B6EC" w14:textId="251E8AFF" w:rsidR="007B730D" w:rsidRPr="00355243" w:rsidRDefault="006A4E9B" w:rsidP="00B24895">
      <w:pPr>
        <w:spacing w:line="300" w:lineRule="auto"/>
      </w:pPr>
      <w:r w:rsidRPr="00355243">
        <w:rPr>
          <w:b/>
          <w:bCs/>
        </w:rPr>
        <w:t>Quinto.</w:t>
      </w:r>
      <w:r w:rsidRPr="00355243">
        <w:t xml:space="preserve"> </w:t>
      </w:r>
      <w:r w:rsidR="007B730D" w:rsidRPr="00355243">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361D829" w14:textId="23CA090F" w:rsidR="007B730D" w:rsidRPr="00355243" w:rsidRDefault="006A4E9B" w:rsidP="00B24895">
      <w:pPr>
        <w:spacing w:line="300" w:lineRule="auto"/>
      </w:pPr>
      <w:r w:rsidRPr="00355243">
        <w:rPr>
          <w:b/>
          <w:bCs/>
        </w:rPr>
        <w:t>Sexto</w:t>
      </w:r>
      <w:r w:rsidR="007B730D" w:rsidRPr="00355243">
        <w:rPr>
          <w:b/>
          <w:bCs/>
        </w:rPr>
        <w:t xml:space="preserve">. </w:t>
      </w:r>
      <w:r w:rsidR="007B730D" w:rsidRPr="00355243">
        <w:t>De conformidad con lo dispuesto en el artículo 114 de la Ley Electoral y de Partidos Políticos del Estado de Tabasco publíquese el contenido del presente acuerdo en el Periódico Oficial del Estado y en la página de internet del Instituto.</w:t>
      </w:r>
    </w:p>
    <w:p w14:paraId="37139A7F" w14:textId="77E024D8" w:rsidR="00B24895" w:rsidRPr="00355243" w:rsidRDefault="00B24895" w:rsidP="00B24895">
      <w:pPr>
        <w:pStyle w:val="Puntos"/>
        <w:spacing w:line="300" w:lineRule="auto"/>
        <w:ind w:left="0"/>
        <w:rPr>
          <w:sz w:val="23"/>
          <w:szCs w:val="23"/>
        </w:rPr>
      </w:pPr>
      <w:r w:rsidRPr="00355243">
        <w:rPr>
          <w:sz w:val="23"/>
          <w:szCs w:val="23"/>
        </w:rPr>
        <w:t xml:space="preserve">El presente acuerdo fue </w:t>
      </w:r>
      <w:r w:rsidR="00355243">
        <w:rPr>
          <w:sz w:val="23"/>
          <w:szCs w:val="23"/>
        </w:rPr>
        <w:t>aprobado</w:t>
      </w:r>
      <w:r w:rsidRPr="00355243">
        <w:rPr>
          <w:sz w:val="23"/>
          <w:szCs w:val="23"/>
        </w:rPr>
        <w:t xml:space="preserve"> en sesión </w:t>
      </w:r>
      <w:r w:rsidR="00355243">
        <w:rPr>
          <w:sz w:val="23"/>
          <w:szCs w:val="23"/>
        </w:rPr>
        <w:t>extraordinaria</w:t>
      </w:r>
      <w:r w:rsidRPr="00355243">
        <w:rPr>
          <w:sz w:val="23"/>
          <w:szCs w:val="23"/>
        </w:rPr>
        <w:t xml:space="preserve"> efectuada el </w:t>
      </w:r>
      <w:r w:rsidR="00355243">
        <w:rPr>
          <w:sz w:val="23"/>
          <w:szCs w:val="23"/>
        </w:rPr>
        <w:t>seis</w:t>
      </w:r>
      <w:r w:rsidRPr="00355243">
        <w:rPr>
          <w:sz w:val="23"/>
          <w:szCs w:val="23"/>
        </w:rPr>
        <w:t xml:space="preserve"> de </w:t>
      </w:r>
      <w:r w:rsidR="00355243">
        <w:rPr>
          <w:sz w:val="23"/>
          <w:szCs w:val="23"/>
        </w:rPr>
        <w:t>diciembre</w:t>
      </w:r>
      <w:r w:rsidRPr="00355243">
        <w:rPr>
          <w:sz w:val="23"/>
          <w:szCs w:val="23"/>
        </w:rPr>
        <w:t xml:space="preserve"> del año dos mil veintitrés, por votación </w:t>
      </w:r>
      <w:r w:rsidR="00355243">
        <w:rPr>
          <w:sz w:val="23"/>
          <w:szCs w:val="23"/>
        </w:rPr>
        <w:t>unánime</w:t>
      </w:r>
      <w:r w:rsidRPr="00355243">
        <w:rPr>
          <w:sz w:val="23"/>
          <w:szCs w:val="23"/>
        </w:rPr>
        <w:t xml:space="preserve"> de las y los Consejeros Electorales del Consejo Estatal del Instituto Electoral y de Participación Ciudadana de Tabasco: </w:t>
      </w:r>
      <w:r w:rsidR="00263FBB" w:rsidRPr="00355243">
        <w:rPr>
          <w:sz w:val="23"/>
          <w:szCs w:val="23"/>
        </w:rPr>
        <w:t>Dra</w:t>
      </w:r>
      <w:r w:rsidRPr="00355243">
        <w:rPr>
          <w:sz w:val="23"/>
          <w:szCs w:val="23"/>
        </w:rPr>
        <w:t>. Rosselvy del Carmen Domínguez Arévalo, Licda. María Elvia Magaña Sandoval, Mtro. Juan Correa López, M.D. Víctor Humberto Mejía Naranjo, Lic. Hernán González Sala, Lic. Vladimir Hernández Venegas y la Consejera Presidenta, Mtra. Elizabeth Nava Gutiérrez.</w:t>
      </w:r>
      <w:bookmarkStart w:id="0" w:name="_GoBack"/>
      <w:bookmarkEnd w:id="0"/>
    </w:p>
    <w:p w14:paraId="061AC166" w14:textId="77777777" w:rsidR="00B24895" w:rsidRPr="00355243" w:rsidRDefault="00B24895" w:rsidP="00B24895">
      <w:pPr>
        <w:pStyle w:val="Puntos"/>
        <w:spacing w:line="288" w:lineRule="auto"/>
        <w:ind w:left="0"/>
        <w:rPr>
          <w:sz w:val="23"/>
          <w:szCs w:val="23"/>
        </w:rPr>
      </w:pPr>
    </w:p>
    <w:p w14:paraId="4B7A0F91" w14:textId="77777777" w:rsidR="00B24895" w:rsidRPr="00355243" w:rsidRDefault="00B24895" w:rsidP="00B24895">
      <w:pPr>
        <w:pStyle w:val="Puntos"/>
        <w:spacing w:line="288" w:lineRule="auto"/>
        <w:ind w:left="0"/>
        <w:rPr>
          <w:sz w:val="23"/>
          <w:szCs w:val="23"/>
        </w:rPr>
      </w:pPr>
    </w:p>
    <w:p w14:paraId="24B3F948" w14:textId="77777777" w:rsidR="00B24895" w:rsidRPr="00355243" w:rsidRDefault="00B24895" w:rsidP="00B24895">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B24895" w:rsidRPr="006326A7" w14:paraId="45B066CA" w14:textId="77777777" w:rsidTr="00CE22A6">
        <w:tc>
          <w:tcPr>
            <w:tcW w:w="4395" w:type="dxa"/>
          </w:tcPr>
          <w:p w14:paraId="276EFD33" w14:textId="77777777" w:rsidR="00B24895" w:rsidRPr="006326A7" w:rsidRDefault="00B24895" w:rsidP="00CE22A6">
            <w:pPr>
              <w:widowControl w:val="0"/>
              <w:spacing w:before="0" w:after="0"/>
              <w:jc w:val="center"/>
              <w:rPr>
                <w:b/>
                <w:spacing w:val="-10"/>
                <w:sz w:val="24"/>
                <w:szCs w:val="24"/>
              </w:rPr>
            </w:pPr>
            <w:r w:rsidRPr="006326A7">
              <w:rPr>
                <w:b/>
                <w:spacing w:val="-10"/>
                <w:sz w:val="24"/>
                <w:szCs w:val="24"/>
              </w:rPr>
              <w:t>MTRA. ELIZABETH NAVA GUTIÉRREZ</w:t>
            </w:r>
          </w:p>
          <w:p w14:paraId="67F45049" w14:textId="77777777" w:rsidR="00B24895" w:rsidRPr="006326A7" w:rsidRDefault="00B24895" w:rsidP="00CE22A6">
            <w:pPr>
              <w:widowControl w:val="0"/>
              <w:spacing w:before="0" w:after="0"/>
              <w:jc w:val="center"/>
              <w:rPr>
                <w:b/>
                <w:sz w:val="24"/>
                <w:szCs w:val="24"/>
              </w:rPr>
            </w:pPr>
            <w:r w:rsidRPr="006326A7">
              <w:rPr>
                <w:b/>
                <w:spacing w:val="-10"/>
                <w:sz w:val="24"/>
                <w:szCs w:val="24"/>
              </w:rPr>
              <w:t>CONSEJERA PRESIDENTA</w:t>
            </w:r>
          </w:p>
        </w:tc>
        <w:tc>
          <w:tcPr>
            <w:tcW w:w="278" w:type="dxa"/>
          </w:tcPr>
          <w:p w14:paraId="22B8FAA8" w14:textId="77777777" w:rsidR="00B24895" w:rsidRPr="006326A7" w:rsidRDefault="00B24895" w:rsidP="00CE22A6">
            <w:pPr>
              <w:widowControl w:val="0"/>
              <w:spacing w:before="0" w:after="0"/>
              <w:rPr>
                <w:b/>
                <w:sz w:val="24"/>
                <w:szCs w:val="24"/>
              </w:rPr>
            </w:pPr>
          </w:p>
        </w:tc>
        <w:tc>
          <w:tcPr>
            <w:tcW w:w="4400" w:type="dxa"/>
          </w:tcPr>
          <w:p w14:paraId="2D74B55B" w14:textId="77777777" w:rsidR="00B24895" w:rsidRPr="006326A7" w:rsidRDefault="00B24895" w:rsidP="00CE22A6">
            <w:pPr>
              <w:widowControl w:val="0"/>
              <w:spacing w:before="0" w:after="0"/>
              <w:jc w:val="center"/>
              <w:rPr>
                <w:b/>
                <w:spacing w:val="-10"/>
                <w:sz w:val="24"/>
                <w:szCs w:val="24"/>
              </w:rPr>
            </w:pPr>
            <w:r w:rsidRPr="006326A7">
              <w:rPr>
                <w:b/>
                <w:spacing w:val="-10"/>
                <w:sz w:val="24"/>
                <w:szCs w:val="24"/>
              </w:rPr>
              <w:t>LIC. JORGE ALBERTO ZAVALA FRÍAS</w:t>
            </w:r>
          </w:p>
          <w:p w14:paraId="715E31FB" w14:textId="77777777" w:rsidR="00B24895" w:rsidRPr="006326A7" w:rsidRDefault="00B24895" w:rsidP="00CE22A6">
            <w:pPr>
              <w:widowControl w:val="0"/>
              <w:spacing w:before="0" w:after="0"/>
              <w:jc w:val="center"/>
              <w:rPr>
                <w:b/>
                <w:sz w:val="24"/>
                <w:szCs w:val="24"/>
              </w:rPr>
            </w:pPr>
            <w:r w:rsidRPr="006326A7">
              <w:rPr>
                <w:b/>
                <w:spacing w:val="-10"/>
                <w:sz w:val="24"/>
                <w:szCs w:val="24"/>
              </w:rPr>
              <w:t>SECRETARIO DEL CONSEJO</w:t>
            </w:r>
          </w:p>
        </w:tc>
      </w:tr>
    </w:tbl>
    <w:p w14:paraId="33886382" w14:textId="644A6DBA" w:rsidR="000A3A7E" w:rsidRPr="006326A7" w:rsidRDefault="000A3A7E" w:rsidP="000A3A7E">
      <w:pPr>
        <w:rPr>
          <w:b/>
          <w:bCs/>
          <w:sz w:val="24"/>
          <w:szCs w:val="24"/>
        </w:rPr>
      </w:pPr>
    </w:p>
    <w:sectPr w:rsidR="000A3A7E" w:rsidRPr="006326A7" w:rsidSect="007D4213">
      <w:headerReference w:type="default" r:id="rId8"/>
      <w:footerReference w:type="default" r:id="rId9"/>
      <w:pgSz w:w="12240" w:h="15840" w:code="1"/>
      <w:pgMar w:top="2977"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BFBB5" w14:textId="77777777" w:rsidR="00981C64" w:rsidRDefault="00981C64" w:rsidP="00A07290">
      <w:pPr>
        <w:spacing w:before="0" w:after="0" w:line="240" w:lineRule="auto"/>
      </w:pPr>
      <w:r>
        <w:separator/>
      </w:r>
    </w:p>
  </w:endnote>
  <w:endnote w:type="continuationSeparator" w:id="0">
    <w:p w14:paraId="3E47A695" w14:textId="77777777" w:rsidR="00981C64" w:rsidRDefault="00981C64" w:rsidP="00A072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69616900"/>
      <w:docPartObj>
        <w:docPartGallery w:val="Page Numbers (Top of Page)"/>
        <w:docPartUnique/>
      </w:docPartObj>
    </w:sdtPr>
    <w:sdtEndPr/>
    <w:sdtContent>
      <w:p w14:paraId="69373062" w14:textId="552C5B0C" w:rsidR="00353872" w:rsidRPr="00353872" w:rsidRDefault="00353872" w:rsidP="00353872">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72417E">
          <w:rPr>
            <w:b/>
            <w:bCs/>
            <w:noProof/>
            <w:color w:val="993366"/>
          </w:rPr>
          <w:t>10</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72417E">
          <w:rPr>
            <w:b/>
            <w:bCs/>
            <w:noProof/>
            <w:color w:val="993366"/>
          </w:rPr>
          <w:t>12</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486B3" w14:textId="77777777" w:rsidR="00981C64" w:rsidRDefault="00981C64" w:rsidP="00A07290">
      <w:pPr>
        <w:spacing w:before="0" w:after="0" w:line="240" w:lineRule="auto"/>
      </w:pPr>
      <w:r>
        <w:separator/>
      </w:r>
    </w:p>
  </w:footnote>
  <w:footnote w:type="continuationSeparator" w:id="0">
    <w:p w14:paraId="700E968B" w14:textId="77777777" w:rsidR="00981C64" w:rsidRDefault="00981C64" w:rsidP="00A07290">
      <w:pPr>
        <w:spacing w:before="0" w:after="0" w:line="240" w:lineRule="auto"/>
      </w:pPr>
      <w:r>
        <w:continuationSeparator/>
      </w:r>
    </w:p>
  </w:footnote>
  <w:footnote w:id="1">
    <w:p w14:paraId="5B9C721F" w14:textId="283FE13F" w:rsidR="00A07290" w:rsidRPr="00A07290" w:rsidRDefault="00A07290" w:rsidP="00A07290">
      <w:pPr>
        <w:spacing w:line="300" w:lineRule="auto"/>
        <w:rPr>
          <w:sz w:val="12"/>
          <w:szCs w:val="12"/>
        </w:rPr>
      </w:pPr>
      <w:r w:rsidRPr="00A07290">
        <w:rPr>
          <w:rStyle w:val="Refdenotaalpie"/>
          <w:sz w:val="12"/>
          <w:szCs w:val="12"/>
        </w:rPr>
        <w:footnoteRef/>
      </w:r>
      <w:r w:rsidRPr="00A07290">
        <w:rPr>
          <w:sz w:val="12"/>
          <w:szCs w:val="12"/>
        </w:rPr>
        <w:t xml:space="preserve"> Publicada en la Gaceta de Jurisprudencia y Tesis en materia electoral, Tribunal Electoral del Poder Judicial de la Federación, Año 10, Número 20, 2017, páginas 11 y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53872" w:rsidRPr="00063338" w14:paraId="4366905B" w14:textId="77777777" w:rsidTr="00CE22A6">
      <w:tc>
        <w:tcPr>
          <w:tcW w:w="1418" w:type="dxa"/>
        </w:tcPr>
        <w:p w14:paraId="5D013CAF" w14:textId="77777777" w:rsidR="00353872" w:rsidRPr="00063338" w:rsidRDefault="00353872" w:rsidP="00353872">
          <w:pPr>
            <w:pStyle w:val="Encabezado"/>
            <w:ind w:left="-170"/>
            <w:jc w:val="left"/>
          </w:pPr>
          <w:r>
            <w:rPr>
              <w:b/>
              <w:noProof/>
              <w:sz w:val="32"/>
              <w:lang w:eastAsia="es-MX"/>
            </w:rPr>
            <w:drawing>
              <wp:inline distT="0" distB="0" distL="0" distR="0" wp14:anchorId="50BCDC1B" wp14:editId="7854EAF8">
                <wp:extent cx="1014331" cy="1199403"/>
                <wp:effectExtent l="0" t="0" r="0" b="1270"/>
                <wp:docPr id="488943601" name="Imagen 48894360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381DC58" w14:textId="77777777" w:rsidR="00353872" w:rsidRPr="00063338" w:rsidRDefault="00353872" w:rsidP="00353872">
          <w:pPr>
            <w:pStyle w:val="Encabezado"/>
            <w:spacing w:before="720"/>
            <w:jc w:val="center"/>
            <w:rPr>
              <w:b/>
              <w:bCs/>
              <w:sz w:val="25"/>
              <w:szCs w:val="25"/>
            </w:rPr>
          </w:pPr>
          <w:r w:rsidRPr="00063338">
            <w:rPr>
              <w:b/>
              <w:bCs/>
              <w:sz w:val="25"/>
              <w:szCs w:val="25"/>
            </w:rPr>
            <w:t>INSTITUTO ELECTORAL Y DE PARTICIPACIÓN CIUDADANA DE TABASCO</w:t>
          </w:r>
        </w:p>
        <w:p w14:paraId="77EEDC7B" w14:textId="77777777" w:rsidR="00353872" w:rsidRPr="00063338" w:rsidRDefault="00353872" w:rsidP="00353872">
          <w:pPr>
            <w:pStyle w:val="Encabezado"/>
            <w:jc w:val="center"/>
          </w:pPr>
          <w:r w:rsidRPr="00063338">
            <w:rPr>
              <w:sz w:val="26"/>
              <w:szCs w:val="26"/>
            </w:rPr>
            <w:t>CONSEJO ESTATAL</w:t>
          </w:r>
        </w:p>
      </w:tc>
      <w:tc>
        <w:tcPr>
          <w:tcW w:w="1701" w:type="dxa"/>
        </w:tcPr>
        <w:p w14:paraId="218D4396" w14:textId="307AF076" w:rsidR="00353872" w:rsidRPr="00063338" w:rsidRDefault="002A1AEC" w:rsidP="00353872">
          <w:pPr>
            <w:pStyle w:val="Encabezado"/>
            <w:spacing w:before="480"/>
          </w:pPr>
          <w:r>
            <w:rPr>
              <w:noProof/>
              <w:lang w:eastAsia="es-MX"/>
            </w:rPr>
            <w:drawing>
              <wp:inline distT="0" distB="0" distL="0" distR="0" wp14:anchorId="7767ACDD" wp14:editId="5F5F9DDC">
                <wp:extent cx="921600" cy="756000"/>
                <wp:effectExtent l="0" t="0" r="0" b="6350"/>
                <wp:docPr id="216570035" name="Imagen 21657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1FEAEF9" w14:textId="43BBF940" w:rsidR="00353872" w:rsidRPr="00355243" w:rsidRDefault="00355243" w:rsidP="00355243">
    <w:pPr>
      <w:pStyle w:val="Encabezado"/>
      <w:jc w:val="right"/>
      <w:rPr>
        <w:b/>
        <w:sz w:val="24"/>
        <w:szCs w:val="24"/>
      </w:rPr>
    </w:pPr>
    <w:r w:rsidRPr="00355243">
      <w:rPr>
        <w:b/>
        <w:sz w:val="24"/>
        <w:szCs w:val="24"/>
      </w:rPr>
      <w:t>CE/2023/054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955"/>
    <w:multiLevelType w:val="multilevel"/>
    <w:tmpl w:val="645A3F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58C27E1"/>
    <w:multiLevelType w:val="hybridMultilevel"/>
    <w:tmpl w:val="4C442162"/>
    <w:lvl w:ilvl="0" w:tplc="4B8229B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190400"/>
    <w:multiLevelType w:val="hybridMultilevel"/>
    <w:tmpl w:val="6B644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176EC7"/>
    <w:multiLevelType w:val="hybridMultilevel"/>
    <w:tmpl w:val="64E0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6B"/>
    <w:rsid w:val="00022D7C"/>
    <w:rsid w:val="000960BF"/>
    <w:rsid w:val="000A24E7"/>
    <w:rsid w:val="000A3A7E"/>
    <w:rsid w:val="000B4631"/>
    <w:rsid w:val="000E4CB1"/>
    <w:rsid w:val="0011266D"/>
    <w:rsid w:val="001A4A13"/>
    <w:rsid w:val="00225035"/>
    <w:rsid w:val="00231359"/>
    <w:rsid w:val="00263FBB"/>
    <w:rsid w:val="00266E81"/>
    <w:rsid w:val="00290798"/>
    <w:rsid w:val="0029231B"/>
    <w:rsid w:val="002A1AEC"/>
    <w:rsid w:val="002F14DA"/>
    <w:rsid w:val="00326772"/>
    <w:rsid w:val="00331D0D"/>
    <w:rsid w:val="00335BBB"/>
    <w:rsid w:val="00352FA9"/>
    <w:rsid w:val="00353872"/>
    <w:rsid w:val="00355243"/>
    <w:rsid w:val="003565DC"/>
    <w:rsid w:val="003643DB"/>
    <w:rsid w:val="003A29C4"/>
    <w:rsid w:val="003C431B"/>
    <w:rsid w:val="003D2D6A"/>
    <w:rsid w:val="00437688"/>
    <w:rsid w:val="004B56B6"/>
    <w:rsid w:val="004C66B2"/>
    <w:rsid w:val="0051144E"/>
    <w:rsid w:val="00514E88"/>
    <w:rsid w:val="00553241"/>
    <w:rsid w:val="005869A5"/>
    <w:rsid w:val="005D105E"/>
    <w:rsid w:val="005F7099"/>
    <w:rsid w:val="0060224D"/>
    <w:rsid w:val="006326A7"/>
    <w:rsid w:val="00663DDF"/>
    <w:rsid w:val="0067654C"/>
    <w:rsid w:val="006A4E9B"/>
    <w:rsid w:val="006C5E94"/>
    <w:rsid w:val="006E286D"/>
    <w:rsid w:val="0072417E"/>
    <w:rsid w:val="00742917"/>
    <w:rsid w:val="0079326A"/>
    <w:rsid w:val="007B730D"/>
    <w:rsid w:val="007D4213"/>
    <w:rsid w:val="007E1907"/>
    <w:rsid w:val="00815B1B"/>
    <w:rsid w:val="008338F1"/>
    <w:rsid w:val="00892AE2"/>
    <w:rsid w:val="008C219B"/>
    <w:rsid w:val="008C3906"/>
    <w:rsid w:val="00924298"/>
    <w:rsid w:val="00981C64"/>
    <w:rsid w:val="00983622"/>
    <w:rsid w:val="00993F6F"/>
    <w:rsid w:val="009C0894"/>
    <w:rsid w:val="00A07290"/>
    <w:rsid w:val="00A412B6"/>
    <w:rsid w:val="00A46E7C"/>
    <w:rsid w:val="00A71A61"/>
    <w:rsid w:val="00A8032D"/>
    <w:rsid w:val="00AF5ADF"/>
    <w:rsid w:val="00B02978"/>
    <w:rsid w:val="00B137BC"/>
    <w:rsid w:val="00B24895"/>
    <w:rsid w:val="00B26910"/>
    <w:rsid w:val="00B35C84"/>
    <w:rsid w:val="00B52423"/>
    <w:rsid w:val="00BE28C6"/>
    <w:rsid w:val="00BF7ABE"/>
    <w:rsid w:val="00C00124"/>
    <w:rsid w:val="00C62767"/>
    <w:rsid w:val="00C70B0E"/>
    <w:rsid w:val="00C71F78"/>
    <w:rsid w:val="00CC06EC"/>
    <w:rsid w:val="00CD6725"/>
    <w:rsid w:val="00D12F6B"/>
    <w:rsid w:val="00D15C87"/>
    <w:rsid w:val="00D24076"/>
    <w:rsid w:val="00D24AFA"/>
    <w:rsid w:val="00D3593A"/>
    <w:rsid w:val="00D7512A"/>
    <w:rsid w:val="00D80DA7"/>
    <w:rsid w:val="00DA7018"/>
    <w:rsid w:val="00E005AD"/>
    <w:rsid w:val="00E52AA3"/>
    <w:rsid w:val="00E56C55"/>
    <w:rsid w:val="00E86B3B"/>
    <w:rsid w:val="00E95374"/>
    <w:rsid w:val="00ED5F52"/>
    <w:rsid w:val="00EE35C1"/>
    <w:rsid w:val="00F27487"/>
    <w:rsid w:val="00F34489"/>
    <w:rsid w:val="00F645D2"/>
    <w:rsid w:val="00F83274"/>
    <w:rsid w:val="00FB5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0860"/>
  <w15:chartTrackingRefBased/>
  <w15:docId w15:val="{DF7D5748-C30C-47FE-8027-9C3F72E8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6B"/>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DA7018"/>
    <w:pPr>
      <w:keepNext/>
      <w:keepLines/>
      <w:numPr>
        <w:numId w:val="4"/>
      </w:numPr>
      <w:spacing w:before="480" w:after="360"/>
      <w:jc w:val="center"/>
      <w:outlineLvl w:val="0"/>
    </w:pPr>
    <w:rPr>
      <w:rFonts w:eastAsiaTheme="majorEastAsia"/>
      <w:b/>
      <w:bCs/>
      <w:sz w:val="32"/>
      <w:szCs w:val="32"/>
    </w:rPr>
  </w:style>
  <w:style w:type="paragraph" w:styleId="Ttulo2">
    <w:name w:val="heading 2"/>
    <w:basedOn w:val="Normal"/>
    <w:next w:val="Normal"/>
    <w:link w:val="Ttulo2Car"/>
    <w:uiPriority w:val="9"/>
    <w:unhideWhenUsed/>
    <w:qFormat/>
    <w:rsid w:val="0067654C"/>
    <w:pPr>
      <w:keepNext/>
      <w:keepLines/>
      <w:numPr>
        <w:ilvl w:val="1"/>
        <w:numId w:val="4"/>
      </w:numPr>
      <w:spacing w:before="360" w:line="300" w:lineRule="auto"/>
      <w:outlineLvl w:val="1"/>
    </w:pPr>
    <w:rPr>
      <w:rFonts w:eastAsiaTheme="majorEastAsia"/>
      <w:b/>
      <w:bCs/>
      <w:sz w:val="24"/>
      <w:szCs w:val="24"/>
    </w:rPr>
  </w:style>
  <w:style w:type="paragraph" w:styleId="Ttulo3">
    <w:name w:val="heading 3"/>
    <w:basedOn w:val="Normal"/>
    <w:next w:val="Normal"/>
    <w:link w:val="Ttulo3Car"/>
    <w:uiPriority w:val="9"/>
    <w:unhideWhenUsed/>
    <w:qFormat/>
    <w:rsid w:val="00B35C84"/>
    <w:pPr>
      <w:keepNext/>
      <w:keepLines/>
      <w:numPr>
        <w:ilvl w:val="2"/>
        <w:numId w:val="4"/>
      </w:numPr>
      <w:spacing w:before="360"/>
      <w:outlineLvl w:val="2"/>
    </w:pPr>
    <w:rPr>
      <w:rFonts w:eastAsiaTheme="majorEastAsia"/>
      <w:b/>
      <w:bCs/>
      <w:sz w:val="24"/>
      <w:szCs w:val="24"/>
    </w:rPr>
  </w:style>
  <w:style w:type="paragraph" w:styleId="Ttulo4">
    <w:name w:val="heading 4"/>
    <w:basedOn w:val="Normal"/>
    <w:next w:val="Normal"/>
    <w:link w:val="Ttulo4Car"/>
    <w:uiPriority w:val="9"/>
    <w:semiHidden/>
    <w:unhideWhenUsed/>
    <w:qFormat/>
    <w:rsid w:val="00B24895"/>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24895"/>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24895"/>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24895"/>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2489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2489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654C"/>
    <w:rPr>
      <w:rFonts w:ascii="Arial" w:eastAsiaTheme="majorEastAsia" w:hAnsi="Arial" w:cs="Arial"/>
      <w:b/>
      <w:bCs/>
      <w:sz w:val="24"/>
      <w:szCs w:val="24"/>
    </w:rPr>
  </w:style>
  <w:style w:type="character" w:customStyle="1" w:styleId="Ttulo1Car">
    <w:name w:val="Título 1 Car"/>
    <w:basedOn w:val="Fuentedeprrafopredeter"/>
    <w:link w:val="Ttulo1"/>
    <w:uiPriority w:val="9"/>
    <w:rsid w:val="00DA7018"/>
    <w:rPr>
      <w:rFonts w:ascii="Arial" w:eastAsiaTheme="majorEastAsia" w:hAnsi="Arial" w:cs="Arial"/>
      <w:b/>
      <w:bCs/>
      <w:sz w:val="32"/>
      <w:szCs w:val="32"/>
    </w:rPr>
  </w:style>
  <w:style w:type="paragraph" w:styleId="Prrafodelista">
    <w:name w:val="List Paragraph"/>
    <w:basedOn w:val="Normal"/>
    <w:uiPriority w:val="34"/>
    <w:qFormat/>
    <w:rsid w:val="008338F1"/>
    <w:pPr>
      <w:ind w:left="720"/>
      <w:contextualSpacing/>
    </w:pPr>
  </w:style>
  <w:style w:type="paragraph" w:styleId="Textonotapie">
    <w:name w:val="footnote text"/>
    <w:basedOn w:val="Normal"/>
    <w:link w:val="TextonotapieCar"/>
    <w:uiPriority w:val="99"/>
    <w:semiHidden/>
    <w:unhideWhenUsed/>
    <w:rsid w:val="00A07290"/>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07290"/>
    <w:rPr>
      <w:rFonts w:ascii="Arial" w:hAnsi="Arial" w:cs="Arial"/>
      <w:sz w:val="20"/>
      <w:szCs w:val="20"/>
    </w:rPr>
  </w:style>
  <w:style w:type="character" w:styleId="Refdenotaalpie">
    <w:name w:val="footnote reference"/>
    <w:basedOn w:val="Fuentedeprrafopredeter"/>
    <w:uiPriority w:val="99"/>
    <w:semiHidden/>
    <w:unhideWhenUsed/>
    <w:rsid w:val="00A07290"/>
    <w:rPr>
      <w:vertAlign w:val="superscript"/>
    </w:rPr>
  </w:style>
  <w:style w:type="character" w:customStyle="1" w:styleId="Ttulo3Car">
    <w:name w:val="Título 3 Car"/>
    <w:basedOn w:val="Fuentedeprrafopredeter"/>
    <w:link w:val="Ttulo3"/>
    <w:uiPriority w:val="9"/>
    <w:rsid w:val="00B35C84"/>
    <w:rPr>
      <w:rFonts w:ascii="Arial" w:eastAsiaTheme="majorEastAsia" w:hAnsi="Arial" w:cs="Arial"/>
      <w:b/>
      <w:bCs/>
      <w:sz w:val="24"/>
      <w:szCs w:val="24"/>
    </w:rPr>
  </w:style>
  <w:style w:type="table" w:styleId="Tablaconcuadrcula">
    <w:name w:val="Table Grid"/>
    <w:basedOn w:val="Tablanormal"/>
    <w:uiPriority w:val="39"/>
    <w:rsid w:val="008C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387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53872"/>
    <w:rPr>
      <w:rFonts w:ascii="Arial" w:hAnsi="Arial" w:cs="Arial"/>
      <w:sz w:val="23"/>
      <w:szCs w:val="23"/>
    </w:rPr>
  </w:style>
  <w:style w:type="paragraph" w:styleId="Piedepgina">
    <w:name w:val="footer"/>
    <w:basedOn w:val="Normal"/>
    <w:link w:val="PiedepginaCar"/>
    <w:uiPriority w:val="99"/>
    <w:unhideWhenUsed/>
    <w:rsid w:val="0035387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53872"/>
    <w:rPr>
      <w:rFonts w:ascii="Arial" w:hAnsi="Arial" w:cs="Arial"/>
      <w:sz w:val="23"/>
      <w:szCs w:val="23"/>
    </w:rPr>
  </w:style>
  <w:style w:type="paragraph" w:customStyle="1" w:styleId="Puntos">
    <w:name w:val="Puntos"/>
    <w:basedOn w:val="Normal"/>
    <w:link w:val="PuntosCar"/>
    <w:qFormat/>
    <w:rsid w:val="00B24895"/>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B24895"/>
    <w:rPr>
      <w:rFonts w:ascii="Arial" w:hAnsi="Arial" w:cs="Arial"/>
      <w:kern w:val="0"/>
      <w:sz w:val="24"/>
      <w:szCs w:val="24"/>
      <w14:ligatures w14:val="none"/>
    </w:rPr>
  </w:style>
  <w:style w:type="character" w:customStyle="1" w:styleId="Ttulo4Car">
    <w:name w:val="Título 4 Car"/>
    <w:basedOn w:val="Fuentedeprrafopredeter"/>
    <w:link w:val="Ttulo4"/>
    <w:uiPriority w:val="9"/>
    <w:semiHidden/>
    <w:rsid w:val="00B24895"/>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B24895"/>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B24895"/>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B24895"/>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B2489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24895"/>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29079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0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B489-25CD-492B-A864-F8689753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98</cp:revision>
  <cp:lastPrinted>2023-12-06T21:38:00Z</cp:lastPrinted>
  <dcterms:created xsi:type="dcterms:W3CDTF">2023-11-01T20:54:00Z</dcterms:created>
  <dcterms:modified xsi:type="dcterms:W3CDTF">2023-12-06T21:47:00Z</dcterms:modified>
</cp:coreProperties>
</file>