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BA732" w14:textId="4AFB1F46" w:rsidR="00143AA8" w:rsidRPr="003408DE" w:rsidRDefault="00EF2AFA" w:rsidP="00143AA8">
      <w:pPr>
        <w:rPr>
          <w:rFonts w:ascii="Arial" w:hAnsi="Arial" w:cs="Arial"/>
          <w:b/>
        </w:rPr>
      </w:pPr>
      <w:r w:rsidRPr="003408DE">
        <w:rPr>
          <w:rFonts w:ascii="Arial" w:hAnsi="Arial" w:cs="Arial"/>
          <w:b/>
        </w:rPr>
        <w:t xml:space="preserve">ACUERDO QUE, EN CUMPLIMIENTO A LA SENTENCIA EMITIDA POR EL TRIBUNAL ELECTORAL </w:t>
      </w:r>
      <w:r>
        <w:rPr>
          <w:rFonts w:ascii="Arial" w:hAnsi="Arial" w:cs="Arial"/>
          <w:b/>
        </w:rPr>
        <w:t xml:space="preserve">DE TABASCO </w:t>
      </w:r>
      <w:r w:rsidRPr="003408DE">
        <w:rPr>
          <w:rFonts w:ascii="Arial" w:hAnsi="Arial" w:cs="Arial"/>
          <w:b/>
        </w:rPr>
        <w:t>EN EL RECURSO DE APELACIÓN TET-AP-18/2023-III, EMITE EL CONSEJO ESTATAL DEL INSTITUTO ELECTORAL Y DE PARTICIPACIÓN CIUDADANA DE TABASCO</w:t>
      </w:r>
    </w:p>
    <w:p w14:paraId="489A0F24" w14:textId="77777777" w:rsidR="003408DE" w:rsidRPr="003408DE" w:rsidRDefault="003408DE" w:rsidP="003408DE">
      <w:pPr>
        <w:rPr>
          <w:rFonts w:ascii="Arial" w:hAnsi="Arial" w:cs="Arial"/>
        </w:rPr>
      </w:pPr>
      <w:r w:rsidRPr="003408DE">
        <w:rPr>
          <w:rFonts w:ascii="Arial" w:hAnsi="Arial" w:cs="Arial"/>
        </w:rPr>
        <w:t>Para efectos del presente acuerdo se usarán las abreviaturas y definiciones siguientes:</w:t>
      </w:r>
    </w:p>
    <w:tbl>
      <w:tblPr>
        <w:tblStyle w:val="Tablaconcuadrcula"/>
        <w:tblW w:w="3773"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721"/>
        <w:gridCol w:w="3941"/>
      </w:tblGrid>
      <w:tr w:rsidR="003408DE" w:rsidRPr="003408DE" w14:paraId="2FA5D378" w14:textId="77777777" w:rsidTr="003408DE">
        <w:trPr>
          <w:jc w:val="center"/>
        </w:trPr>
        <w:tc>
          <w:tcPr>
            <w:tcW w:w="2042" w:type="pct"/>
            <w:vAlign w:val="center"/>
          </w:tcPr>
          <w:p w14:paraId="5943BA15" w14:textId="77777777" w:rsidR="003408DE" w:rsidRPr="00EF2AFA" w:rsidRDefault="003408DE" w:rsidP="00DA0892">
            <w:pPr>
              <w:spacing w:before="60" w:after="60" w:line="264" w:lineRule="auto"/>
              <w:rPr>
                <w:rFonts w:ascii="Arial" w:hAnsi="Arial" w:cs="Arial"/>
                <w:b/>
                <w:bCs/>
                <w:sz w:val="20"/>
                <w:szCs w:val="20"/>
              </w:rPr>
            </w:pPr>
            <w:r w:rsidRPr="00EF2AFA">
              <w:rPr>
                <w:rFonts w:ascii="Arial" w:hAnsi="Arial" w:cs="Arial"/>
                <w:b/>
                <w:bCs/>
                <w:sz w:val="20"/>
                <w:szCs w:val="20"/>
              </w:rPr>
              <w:t>Consejo Estatal:</w:t>
            </w:r>
          </w:p>
        </w:tc>
        <w:tc>
          <w:tcPr>
            <w:tcW w:w="2958" w:type="pct"/>
            <w:vAlign w:val="center"/>
          </w:tcPr>
          <w:p w14:paraId="1646A7F3" w14:textId="77777777" w:rsidR="003408DE" w:rsidRPr="00EF2AFA" w:rsidRDefault="003408DE" w:rsidP="00DA0892">
            <w:pPr>
              <w:spacing w:before="60" w:after="60" w:line="264" w:lineRule="auto"/>
              <w:rPr>
                <w:rFonts w:ascii="Arial" w:hAnsi="Arial" w:cs="Arial"/>
                <w:sz w:val="20"/>
                <w:szCs w:val="20"/>
              </w:rPr>
            </w:pPr>
            <w:r w:rsidRPr="00EF2AFA">
              <w:rPr>
                <w:rFonts w:ascii="Arial" w:hAnsi="Arial" w:cs="Arial"/>
                <w:sz w:val="20"/>
                <w:szCs w:val="20"/>
              </w:rPr>
              <w:t>Consejo Estatal del Instituto Electoral y de Participación Ciudadana de Tabasco.</w:t>
            </w:r>
          </w:p>
        </w:tc>
      </w:tr>
      <w:tr w:rsidR="003408DE" w:rsidRPr="003408DE" w14:paraId="23F4BC5E" w14:textId="77777777" w:rsidTr="003408DE">
        <w:trPr>
          <w:jc w:val="center"/>
        </w:trPr>
        <w:tc>
          <w:tcPr>
            <w:tcW w:w="2042" w:type="pct"/>
            <w:vAlign w:val="center"/>
          </w:tcPr>
          <w:p w14:paraId="07AE734C" w14:textId="77777777" w:rsidR="003408DE" w:rsidRPr="00EF2AFA" w:rsidRDefault="003408DE" w:rsidP="00DA0892">
            <w:pPr>
              <w:spacing w:before="60" w:after="60" w:line="264" w:lineRule="auto"/>
              <w:rPr>
                <w:rFonts w:ascii="Arial" w:hAnsi="Arial" w:cs="Arial"/>
                <w:b/>
                <w:bCs/>
                <w:sz w:val="20"/>
                <w:szCs w:val="20"/>
              </w:rPr>
            </w:pPr>
            <w:r w:rsidRPr="00EF2AFA">
              <w:rPr>
                <w:rFonts w:ascii="Arial" w:hAnsi="Arial" w:cs="Arial"/>
                <w:b/>
                <w:bCs/>
                <w:sz w:val="20"/>
                <w:szCs w:val="20"/>
              </w:rPr>
              <w:t>Constitución Federal:</w:t>
            </w:r>
          </w:p>
        </w:tc>
        <w:tc>
          <w:tcPr>
            <w:tcW w:w="2958" w:type="pct"/>
            <w:vAlign w:val="center"/>
          </w:tcPr>
          <w:p w14:paraId="4A89CFC6" w14:textId="77777777" w:rsidR="003408DE" w:rsidRPr="00EF2AFA" w:rsidRDefault="003408DE" w:rsidP="00DA0892">
            <w:pPr>
              <w:spacing w:before="60" w:after="60" w:line="264" w:lineRule="auto"/>
              <w:rPr>
                <w:rFonts w:ascii="Arial" w:hAnsi="Arial" w:cs="Arial"/>
                <w:sz w:val="20"/>
                <w:szCs w:val="20"/>
              </w:rPr>
            </w:pPr>
            <w:r w:rsidRPr="00EF2AFA">
              <w:rPr>
                <w:rFonts w:ascii="Arial" w:hAnsi="Arial" w:cs="Arial"/>
                <w:sz w:val="20"/>
                <w:szCs w:val="20"/>
              </w:rPr>
              <w:t>Constitución Política de los Estados Unidos Mexicanos.</w:t>
            </w:r>
          </w:p>
        </w:tc>
      </w:tr>
      <w:tr w:rsidR="003408DE" w:rsidRPr="003408DE" w14:paraId="5EFCC941" w14:textId="77777777" w:rsidTr="003408DE">
        <w:trPr>
          <w:jc w:val="center"/>
        </w:trPr>
        <w:tc>
          <w:tcPr>
            <w:tcW w:w="2042" w:type="pct"/>
            <w:vAlign w:val="center"/>
          </w:tcPr>
          <w:p w14:paraId="7EEB2907" w14:textId="77777777" w:rsidR="003408DE" w:rsidRPr="00EF2AFA" w:rsidRDefault="003408DE" w:rsidP="00DA0892">
            <w:pPr>
              <w:spacing w:before="60" w:after="60" w:line="264" w:lineRule="auto"/>
              <w:rPr>
                <w:rFonts w:ascii="Arial" w:hAnsi="Arial" w:cs="Arial"/>
                <w:b/>
                <w:bCs/>
                <w:sz w:val="20"/>
                <w:szCs w:val="20"/>
              </w:rPr>
            </w:pPr>
            <w:r w:rsidRPr="00EF2AFA">
              <w:rPr>
                <w:rFonts w:ascii="Arial" w:hAnsi="Arial" w:cs="Arial"/>
                <w:b/>
                <w:bCs/>
                <w:sz w:val="20"/>
                <w:szCs w:val="20"/>
              </w:rPr>
              <w:t>Constitución Local:</w:t>
            </w:r>
          </w:p>
        </w:tc>
        <w:tc>
          <w:tcPr>
            <w:tcW w:w="2958" w:type="pct"/>
            <w:vAlign w:val="center"/>
          </w:tcPr>
          <w:p w14:paraId="1E91EB4E" w14:textId="77777777" w:rsidR="003408DE" w:rsidRPr="00EF2AFA" w:rsidRDefault="003408DE" w:rsidP="00DA0892">
            <w:pPr>
              <w:spacing w:before="60" w:after="60" w:line="264" w:lineRule="auto"/>
              <w:rPr>
                <w:rFonts w:ascii="Arial" w:hAnsi="Arial" w:cs="Arial"/>
                <w:sz w:val="20"/>
                <w:szCs w:val="20"/>
              </w:rPr>
            </w:pPr>
            <w:r w:rsidRPr="00EF2AFA">
              <w:rPr>
                <w:rFonts w:ascii="Arial" w:hAnsi="Arial" w:cs="Arial"/>
                <w:sz w:val="20"/>
                <w:szCs w:val="20"/>
              </w:rPr>
              <w:t>Constitución Política del Estado Libre y Soberano de Tabasco.</w:t>
            </w:r>
          </w:p>
        </w:tc>
      </w:tr>
      <w:tr w:rsidR="003408DE" w:rsidRPr="003408DE" w14:paraId="16627B1A" w14:textId="77777777" w:rsidTr="003408DE">
        <w:trPr>
          <w:jc w:val="center"/>
        </w:trPr>
        <w:tc>
          <w:tcPr>
            <w:tcW w:w="2042" w:type="pct"/>
            <w:vAlign w:val="center"/>
          </w:tcPr>
          <w:p w14:paraId="22C1AC1D" w14:textId="77777777" w:rsidR="003408DE" w:rsidRPr="00EF2AFA" w:rsidRDefault="003408DE" w:rsidP="00DA0892">
            <w:pPr>
              <w:spacing w:before="60" w:after="60" w:line="264" w:lineRule="auto"/>
              <w:rPr>
                <w:rFonts w:ascii="Arial" w:hAnsi="Arial" w:cs="Arial"/>
                <w:b/>
                <w:bCs/>
                <w:sz w:val="20"/>
                <w:szCs w:val="20"/>
              </w:rPr>
            </w:pPr>
            <w:r w:rsidRPr="00EF2AFA">
              <w:rPr>
                <w:rFonts w:ascii="Arial" w:hAnsi="Arial" w:cs="Arial"/>
                <w:b/>
                <w:bCs/>
                <w:sz w:val="20"/>
                <w:szCs w:val="20"/>
              </w:rPr>
              <w:t>INE:</w:t>
            </w:r>
          </w:p>
        </w:tc>
        <w:tc>
          <w:tcPr>
            <w:tcW w:w="2958" w:type="pct"/>
            <w:vAlign w:val="center"/>
          </w:tcPr>
          <w:p w14:paraId="7AF4A4C8" w14:textId="77777777" w:rsidR="003408DE" w:rsidRPr="00EF2AFA" w:rsidRDefault="003408DE" w:rsidP="00DA0892">
            <w:pPr>
              <w:spacing w:before="60" w:after="60" w:line="264" w:lineRule="auto"/>
              <w:rPr>
                <w:rFonts w:ascii="Arial" w:hAnsi="Arial" w:cs="Arial"/>
                <w:sz w:val="20"/>
                <w:szCs w:val="20"/>
              </w:rPr>
            </w:pPr>
            <w:r w:rsidRPr="00EF2AFA">
              <w:rPr>
                <w:rFonts w:ascii="Arial" w:hAnsi="Arial" w:cs="Arial"/>
                <w:sz w:val="20"/>
                <w:szCs w:val="20"/>
              </w:rPr>
              <w:t>Instituto Nacional Electoral.</w:t>
            </w:r>
          </w:p>
        </w:tc>
      </w:tr>
      <w:tr w:rsidR="003408DE" w:rsidRPr="003408DE" w14:paraId="7C606F9F" w14:textId="77777777" w:rsidTr="003408DE">
        <w:trPr>
          <w:jc w:val="center"/>
        </w:trPr>
        <w:tc>
          <w:tcPr>
            <w:tcW w:w="2042" w:type="pct"/>
            <w:vAlign w:val="center"/>
          </w:tcPr>
          <w:p w14:paraId="5B196464" w14:textId="77777777" w:rsidR="003408DE" w:rsidRPr="00EF2AFA" w:rsidRDefault="003408DE" w:rsidP="00DA0892">
            <w:pPr>
              <w:spacing w:before="60" w:after="60" w:line="264" w:lineRule="auto"/>
              <w:rPr>
                <w:rFonts w:ascii="Arial" w:hAnsi="Arial" w:cs="Arial"/>
                <w:b/>
                <w:bCs/>
                <w:sz w:val="20"/>
                <w:szCs w:val="20"/>
              </w:rPr>
            </w:pPr>
            <w:r w:rsidRPr="00EF2AFA">
              <w:rPr>
                <w:rFonts w:ascii="Arial" w:hAnsi="Arial" w:cs="Arial"/>
                <w:b/>
                <w:bCs/>
                <w:sz w:val="20"/>
                <w:szCs w:val="20"/>
              </w:rPr>
              <w:t>Instituto:</w:t>
            </w:r>
          </w:p>
        </w:tc>
        <w:tc>
          <w:tcPr>
            <w:tcW w:w="2958" w:type="pct"/>
            <w:vAlign w:val="center"/>
          </w:tcPr>
          <w:p w14:paraId="782D4942" w14:textId="77777777" w:rsidR="003408DE" w:rsidRPr="00EF2AFA" w:rsidRDefault="003408DE" w:rsidP="00DA0892">
            <w:pPr>
              <w:spacing w:before="60" w:after="60" w:line="264" w:lineRule="auto"/>
              <w:rPr>
                <w:rFonts w:ascii="Arial" w:hAnsi="Arial" w:cs="Arial"/>
                <w:sz w:val="20"/>
                <w:szCs w:val="20"/>
              </w:rPr>
            </w:pPr>
            <w:r w:rsidRPr="00EF2AFA">
              <w:rPr>
                <w:rFonts w:ascii="Arial" w:hAnsi="Arial" w:cs="Arial"/>
                <w:sz w:val="20"/>
                <w:szCs w:val="20"/>
              </w:rPr>
              <w:t>Instituto Electoral y de Participación Ciudadana de Tabasco.</w:t>
            </w:r>
          </w:p>
        </w:tc>
      </w:tr>
      <w:tr w:rsidR="003408DE" w:rsidRPr="003408DE" w14:paraId="791174B2" w14:textId="77777777" w:rsidTr="003408DE">
        <w:trPr>
          <w:jc w:val="center"/>
        </w:trPr>
        <w:tc>
          <w:tcPr>
            <w:tcW w:w="2042" w:type="pct"/>
            <w:vAlign w:val="center"/>
          </w:tcPr>
          <w:p w14:paraId="1AA71057" w14:textId="77777777" w:rsidR="003408DE" w:rsidRPr="00EF2AFA" w:rsidRDefault="003408DE" w:rsidP="00DA0892">
            <w:pPr>
              <w:spacing w:before="60" w:after="60" w:line="264" w:lineRule="auto"/>
              <w:rPr>
                <w:rFonts w:ascii="Arial" w:hAnsi="Arial" w:cs="Arial"/>
                <w:b/>
                <w:bCs/>
                <w:sz w:val="20"/>
                <w:szCs w:val="20"/>
              </w:rPr>
            </w:pPr>
            <w:r w:rsidRPr="00EF2AFA">
              <w:rPr>
                <w:rFonts w:ascii="Arial" w:hAnsi="Arial" w:cs="Arial"/>
                <w:b/>
                <w:bCs/>
                <w:sz w:val="20"/>
                <w:szCs w:val="20"/>
              </w:rPr>
              <w:t>Ley Electoral:</w:t>
            </w:r>
          </w:p>
        </w:tc>
        <w:tc>
          <w:tcPr>
            <w:tcW w:w="2958" w:type="pct"/>
            <w:vAlign w:val="center"/>
          </w:tcPr>
          <w:p w14:paraId="162A8A89" w14:textId="77777777" w:rsidR="003408DE" w:rsidRPr="00EF2AFA" w:rsidRDefault="003408DE" w:rsidP="00DA0892">
            <w:pPr>
              <w:spacing w:before="60" w:after="60" w:line="264" w:lineRule="auto"/>
              <w:rPr>
                <w:rFonts w:ascii="Arial" w:hAnsi="Arial" w:cs="Arial"/>
                <w:sz w:val="20"/>
                <w:szCs w:val="20"/>
              </w:rPr>
            </w:pPr>
            <w:r w:rsidRPr="00EF2AFA">
              <w:rPr>
                <w:rFonts w:ascii="Arial" w:hAnsi="Arial" w:cs="Arial"/>
                <w:sz w:val="20"/>
                <w:szCs w:val="20"/>
              </w:rPr>
              <w:t>Ley Electoral y de Partidos Políticos del Estado de Tabasco.</w:t>
            </w:r>
          </w:p>
        </w:tc>
      </w:tr>
      <w:tr w:rsidR="003408DE" w:rsidRPr="003408DE" w14:paraId="1B9B352B" w14:textId="77777777" w:rsidTr="003408DE">
        <w:trPr>
          <w:jc w:val="center"/>
        </w:trPr>
        <w:tc>
          <w:tcPr>
            <w:tcW w:w="2042" w:type="pct"/>
            <w:vAlign w:val="center"/>
          </w:tcPr>
          <w:p w14:paraId="2DB6C315" w14:textId="77777777" w:rsidR="003408DE" w:rsidRPr="00EF2AFA" w:rsidRDefault="003408DE" w:rsidP="00DA0892">
            <w:pPr>
              <w:spacing w:before="60" w:after="60" w:line="264" w:lineRule="auto"/>
              <w:rPr>
                <w:rFonts w:ascii="Arial" w:hAnsi="Arial" w:cs="Arial"/>
                <w:b/>
                <w:bCs/>
                <w:sz w:val="20"/>
                <w:szCs w:val="20"/>
              </w:rPr>
            </w:pPr>
            <w:r w:rsidRPr="00EF2AFA">
              <w:rPr>
                <w:rFonts w:ascii="Arial" w:hAnsi="Arial" w:cs="Arial"/>
                <w:b/>
                <w:bCs/>
                <w:sz w:val="20"/>
                <w:szCs w:val="20"/>
              </w:rPr>
              <w:t>Ley General:</w:t>
            </w:r>
          </w:p>
        </w:tc>
        <w:tc>
          <w:tcPr>
            <w:tcW w:w="2958" w:type="pct"/>
            <w:vAlign w:val="center"/>
          </w:tcPr>
          <w:p w14:paraId="5766BE31" w14:textId="77777777" w:rsidR="003408DE" w:rsidRPr="00EF2AFA" w:rsidRDefault="003408DE" w:rsidP="00DA0892">
            <w:pPr>
              <w:spacing w:before="60" w:after="60" w:line="264" w:lineRule="auto"/>
              <w:rPr>
                <w:rFonts w:ascii="Arial" w:hAnsi="Arial" w:cs="Arial"/>
                <w:sz w:val="20"/>
                <w:szCs w:val="20"/>
              </w:rPr>
            </w:pPr>
            <w:r w:rsidRPr="00EF2AFA">
              <w:rPr>
                <w:rFonts w:ascii="Arial" w:hAnsi="Arial" w:cs="Arial"/>
                <w:sz w:val="20"/>
                <w:szCs w:val="20"/>
              </w:rPr>
              <w:t>Ley General de Instituciones y Procedimientos Electorales.</w:t>
            </w:r>
          </w:p>
        </w:tc>
      </w:tr>
      <w:tr w:rsidR="003408DE" w:rsidRPr="003408DE" w14:paraId="43031B1D" w14:textId="77777777" w:rsidTr="003408DE">
        <w:trPr>
          <w:jc w:val="center"/>
        </w:trPr>
        <w:tc>
          <w:tcPr>
            <w:tcW w:w="2042" w:type="pct"/>
            <w:vAlign w:val="center"/>
          </w:tcPr>
          <w:p w14:paraId="2C538485" w14:textId="77777777" w:rsidR="003408DE" w:rsidRPr="00EF2AFA" w:rsidRDefault="003408DE" w:rsidP="00DA0892">
            <w:pPr>
              <w:spacing w:before="60" w:after="60" w:line="264" w:lineRule="auto"/>
              <w:rPr>
                <w:rFonts w:ascii="Arial" w:hAnsi="Arial" w:cs="Arial"/>
                <w:b/>
                <w:bCs/>
                <w:sz w:val="20"/>
                <w:szCs w:val="20"/>
              </w:rPr>
            </w:pPr>
            <w:r w:rsidRPr="00EF2AFA">
              <w:rPr>
                <w:rFonts w:ascii="Arial" w:hAnsi="Arial" w:cs="Arial"/>
                <w:b/>
                <w:bCs/>
                <w:sz w:val="20"/>
                <w:szCs w:val="20"/>
              </w:rPr>
              <w:t>Organismo electoral:</w:t>
            </w:r>
          </w:p>
        </w:tc>
        <w:tc>
          <w:tcPr>
            <w:tcW w:w="2958" w:type="pct"/>
            <w:vAlign w:val="center"/>
          </w:tcPr>
          <w:p w14:paraId="1B0FAA40" w14:textId="77777777" w:rsidR="003408DE" w:rsidRPr="00EF2AFA" w:rsidRDefault="003408DE" w:rsidP="00DA0892">
            <w:pPr>
              <w:spacing w:before="60" w:after="60" w:line="264" w:lineRule="auto"/>
              <w:rPr>
                <w:rFonts w:ascii="Arial" w:hAnsi="Arial" w:cs="Arial"/>
                <w:sz w:val="20"/>
                <w:szCs w:val="20"/>
              </w:rPr>
            </w:pPr>
            <w:r w:rsidRPr="00EF2AFA">
              <w:rPr>
                <w:rFonts w:ascii="Arial" w:hAnsi="Arial" w:cs="Arial"/>
                <w:sz w:val="20"/>
                <w:szCs w:val="20"/>
              </w:rPr>
              <w:t xml:space="preserve">Organismo(s) público(s) local(es) electoral(es). </w:t>
            </w:r>
          </w:p>
        </w:tc>
      </w:tr>
      <w:tr w:rsidR="003408DE" w:rsidRPr="003408DE" w14:paraId="35B7F22A" w14:textId="77777777" w:rsidTr="003408DE">
        <w:trPr>
          <w:jc w:val="center"/>
        </w:trPr>
        <w:tc>
          <w:tcPr>
            <w:tcW w:w="2042" w:type="pct"/>
            <w:vAlign w:val="center"/>
          </w:tcPr>
          <w:p w14:paraId="6933F469" w14:textId="77777777" w:rsidR="003408DE" w:rsidRPr="00EF2AFA" w:rsidRDefault="003408DE" w:rsidP="00DA0892">
            <w:pPr>
              <w:spacing w:before="60" w:after="60" w:line="264" w:lineRule="auto"/>
              <w:rPr>
                <w:rFonts w:ascii="Arial" w:hAnsi="Arial" w:cs="Arial"/>
                <w:b/>
                <w:bCs/>
                <w:sz w:val="20"/>
                <w:szCs w:val="20"/>
              </w:rPr>
            </w:pPr>
            <w:r w:rsidRPr="00EF2AFA">
              <w:rPr>
                <w:rFonts w:ascii="Arial" w:hAnsi="Arial" w:cs="Arial"/>
                <w:b/>
                <w:bCs/>
                <w:sz w:val="20"/>
                <w:szCs w:val="20"/>
              </w:rPr>
              <w:t>Proceso Electoral:</w:t>
            </w:r>
          </w:p>
        </w:tc>
        <w:tc>
          <w:tcPr>
            <w:tcW w:w="2958" w:type="pct"/>
            <w:vAlign w:val="center"/>
          </w:tcPr>
          <w:p w14:paraId="093447ED" w14:textId="77777777" w:rsidR="003408DE" w:rsidRPr="00EF2AFA" w:rsidRDefault="003408DE" w:rsidP="00DA0892">
            <w:pPr>
              <w:spacing w:before="60" w:after="60" w:line="264" w:lineRule="auto"/>
              <w:rPr>
                <w:rFonts w:ascii="Arial" w:hAnsi="Arial" w:cs="Arial"/>
                <w:sz w:val="20"/>
                <w:szCs w:val="20"/>
              </w:rPr>
            </w:pPr>
            <w:r w:rsidRPr="00EF2AFA">
              <w:rPr>
                <w:rFonts w:ascii="Arial" w:hAnsi="Arial" w:cs="Arial"/>
                <w:sz w:val="20"/>
                <w:szCs w:val="20"/>
              </w:rPr>
              <w:t>Proceso Electoral Local Ordinario 2023 – 2024.</w:t>
            </w:r>
          </w:p>
        </w:tc>
      </w:tr>
      <w:tr w:rsidR="003408DE" w:rsidRPr="003408DE" w14:paraId="55A88437" w14:textId="77777777" w:rsidTr="003408DE">
        <w:trPr>
          <w:jc w:val="center"/>
        </w:trPr>
        <w:tc>
          <w:tcPr>
            <w:tcW w:w="2042" w:type="pct"/>
            <w:vAlign w:val="center"/>
          </w:tcPr>
          <w:p w14:paraId="6CD20F65" w14:textId="77777777" w:rsidR="003408DE" w:rsidRPr="00EF2AFA" w:rsidRDefault="003408DE" w:rsidP="00DA0892">
            <w:pPr>
              <w:spacing w:before="60" w:after="60" w:line="264" w:lineRule="auto"/>
              <w:rPr>
                <w:rFonts w:ascii="Arial" w:hAnsi="Arial" w:cs="Arial"/>
                <w:b/>
                <w:bCs/>
                <w:sz w:val="20"/>
                <w:szCs w:val="20"/>
              </w:rPr>
            </w:pPr>
            <w:r w:rsidRPr="00EF2AFA">
              <w:rPr>
                <w:rFonts w:ascii="Arial" w:hAnsi="Arial" w:cs="Arial"/>
                <w:b/>
                <w:bCs/>
                <w:sz w:val="20"/>
                <w:szCs w:val="20"/>
              </w:rPr>
              <w:t>Secretaría Ejecutiva:</w:t>
            </w:r>
          </w:p>
        </w:tc>
        <w:tc>
          <w:tcPr>
            <w:tcW w:w="2958" w:type="pct"/>
            <w:vAlign w:val="center"/>
          </w:tcPr>
          <w:p w14:paraId="51A5833C" w14:textId="77777777" w:rsidR="003408DE" w:rsidRPr="00EF2AFA" w:rsidRDefault="003408DE" w:rsidP="00DA0892">
            <w:pPr>
              <w:spacing w:before="60" w:after="60" w:line="264" w:lineRule="auto"/>
              <w:rPr>
                <w:rFonts w:ascii="Arial" w:hAnsi="Arial" w:cs="Arial"/>
                <w:sz w:val="20"/>
                <w:szCs w:val="20"/>
              </w:rPr>
            </w:pPr>
            <w:r w:rsidRPr="00EF2AFA">
              <w:rPr>
                <w:rFonts w:ascii="Arial" w:hAnsi="Arial" w:cs="Arial"/>
                <w:sz w:val="20"/>
                <w:szCs w:val="20"/>
              </w:rPr>
              <w:t>La persona titular de la Secretaría Ejecutiva del Instituto Electoral y de Participación Ciudadana de Tabasco.</w:t>
            </w:r>
          </w:p>
        </w:tc>
      </w:tr>
      <w:tr w:rsidR="003408DE" w:rsidRPr="003408DE" w14:paraId="2319F72F" w14:textId="77777777" w:rsidTr="003408DE">
        <w:trPr>
          <w:jc w:val="center"/>
        </w:trPr>
        <w:tc>
          <w:tcPr>
            <w:tcW w:w="2042" w:type="pct"/>
            <w:vAlign w:val="center"/>
          </w:tcPr>
          <w:p w14:paraId="3CE50FA4" w14:textId="77777777" w:rsidR="003408DE" w:rsidRPr="00EF2AFA" w:rsidRDefault="003408DE" w:rsidP="00DA0892">
            <w:pPr>
              <w:spacing w:before="60" w:after="60" w:line="264" w:lineRule="auto"/>
              <w:rPr>
                <w:rFonts w:ascii="Arial" w:hAnsi="Arial" w:cs="Arial"/>
                <w:b/>
                <w:bCs/>
                <w:sz w:val="20"/>
                <w:szCs w:val="20"/>
              </w:rPr>
            </w:pPr>
            <w:r w:rsidRPr="00EF2AFA">
              <w:rPr>
                <w:rFonts w:ascii="Arial" w:hAnsi="Arial" w:cs="Arial"/>
                <w:b/>
                <w:bCs/>
                <w:sz w:val="20"/>
                <w:szCs w:val="20"/>
              </w:rPr>
              <w:t>Tribunal Local:</w:t>
            </w:r>
          </w:p>
        </w:tc>
        <w:tc>
          <w:tcPr>
            <w:tcW w:w="2958" w:type="pct"/>
            <w:vAlign w:val="center"/>
          </w:tcPr>
          <w:p w14:paraId="3A95E25E" w14:textId="77777777" w:rsidR="003408DE" w:rsidRPr="00EF2AFA" w:rsidRDefault="003408DE" w:rsidP="00DA0892">
            <w:pPr>
              <w:spacing w:before="60" w:after="60" w:line="264" w:lineRule="auto"/>
              <w:rPr>
                <w:rFonts w:ascii="Arial" w:hAnsi="Arial" w:cs="Arial"/>
                <w:sz w:val="20"/>
                <w:szCs w:val="20"/>
              </w:rPr>
            </w:pPr>
            <w:r w:rsidRPr="00EF2AFA">
              <w:rPr>
                <w:rFonts w:ascii="Arial" w:hAnsi="Arial" w:cs="Arial"/>
                <w:sz w:val="20"/>
                <w:szCs w:val="20"/>
              </w:rPr>
              <w:t>Tribunal Electoral de Tabasco.</w:t>
            </w:r>
          </w:p>
        </w:tc>
      </w:tr>
    </w:tbl>
    <w:p w14:paraId="362C810B" w14:textId="77777777" w:rsidR="00143AA8" w:rsidRPr="009E2A99" w:rsidRDefault="00143AA8" w:rsidP="009E2A99">
      <w:pPr>
        <w:pStyle w:val="Ttulo1"/>
      </w:pPr>
      <w:r w:rsidRPr="009E2A99">
        <w:lastRenderedPageBreak/>
        <w:t>Antecedentes</w:t>
      </w:r>
    </w:p>
    <w:p w14:paraId="645F5AF6" w14:textId="77777777" w:rsidR="002117E1" w:rsidRPr="00EF2AFA" w:rsidRDefault="002117E1" w:rsidP="009E2A99">
      <w:pPr>
        <w:pStyle w:val="Ttulo2"/>
        <w:rPr>
          <w:sz w:val="23"/>
        </w:rPr>
      </w:pPr>
      <w:r w:rsidRPr="00EF2AFA">
        <w:rPr>
          <w:sz w:val="23"/>
        </w:rPr>
        <w:t>Homologación de plazos y fechas en los Procesos Electorales Locales Concurrentes</w:t>
      </w:r>
    </w:p>
    <w:p w14:paraId="393172A6" w14:textId="77777777" w:rsidR="002117E1" w:rsidRPr="00EF2AFA" w:rsidRDefault="002117E1" w:rsidP="00D23311">
      <w:pPr>
        <w:rPr>
          <w:rFonts w:ascii="Arial" w:hAnsi="Arial" w:cs="Arial"/>
          <w:sz w:val="23"/>
          <w:szCs w:val="23"/>
        </w:rPr>
      </w:pPr>
      <w:r w:rsidRPr="00EF2AFA">
        <w:rPr>
          <w:rFonts w:ascii="Arial" w:hAnsi="Arial" w:cs="Arial"/>
          <w:sz w:val="23"/>
          <w:szCs w:val="23"/>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390817A2" w14:textId="77777777" w:rsidR="002117E1" w:rsidRPr="00EF2AFA" w:rsidRDefault="002117E1" w:rsidP="009E2A99">
      <w:pPr>
        <w:pStyle w:val="Ttulo2"/>
        <w:rPr>
          <w:sz w:val="23"/>
        </w:rPr>
      </w:pPr>
      <w:r w:rsidRPr="00EF2AFA">
        <w:rPr>
          <w:sz w:val="23"/>
        </w:rPr>
        <w:t xml:space="preserve">Plan Integral y Calendario de Coordinación </w:t>
      </w:r>
    </w:p>
    <w:p w14:paraId="067F66B7" w14:textId="77777777" w:rsidR="002117E1" w:rsidRPr="00EF2AFA" w:rsidRDefault="002117E1" w:rsidP="00D23311">
      <w:pPr>
        <w:rPr>
          <w:rFonts w:ascii="Arial" w:hAnsi="Arial" w:cs="Arial"/>
          <w:sz w:val="23"/>
          <w:szCs w:val="23"/>
        </w:rPr>
      </w:pPr>
      <w:r w:rsidRPr="00EF2AFA">
        <w:rPr>
          <w:rFonts w:ascii="Arial" w:hAnsi="Arial" w:cs="Arial"/>
          <w:sz w:val="23"/>
          <w:szCs w:val="23"/>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60942B2F" w14:textId="77777777" w:rsidR="002117E1" w:rsidRPr="00EF2AFA" w:rsidRDefault="002117E1" w:rsidP="009E2A99">
      <w:pPr>
        <w:pStyle w:val="Ttulo2"/>
        <w:rPr>
          <w:sz w:val="23"/>
        </w:rPr>
      </w:pPr>
      <w:r w:rsidRPr="00EF2AFA">
        <w:rPr>
          <w:sz w:val="23"/>
        </w:rPr>
        <w:t>Determinación de los montos de financiamiento público local</w:t>
      </w:r>
    </w:p>
    <w:p w14:paraId="2F498676" w14:textId="77777777" w:rsidR="002117E1" w:rsidRPr="00EF2AFA" w:rsidRDefault="002117E1" w:rsidP="00D23311">
      <w:pPr>
        <w:rPr>
          <w:rFonts w:ascii="Arial" w:hAnsi="Arial" w:cs="Arial"/>
          <w:sz w:val="23"/>
          <w:szCs w:val="23"/>
        </w:rPr>
      </w:pPr>
      <w:r w:rsidRPr="00EF2AFA">
        <w:rPr>
          <w:rFonts w:ascii="Arial" w:hAnsi="Arial" w:cs="Arial"/>
          <w:sz w:val="23"/>
          <w:szCs w:val="23"/>
        </w:rPr>
        <w:t>El 29 de septiembre de 2023, mediante acuerdo CE/2023/020, el Consejo Estatal determinó los montos de financiamiento público para el sostenimiento de actividades ordinarias permanentes y específicas de los partidos políticos para el ejercicio 2024 y para gastos de campaña de los partidos políticos y candidaturas independientes para el Proceso Electoral.</w:t>
      </w:r>
    </w:p>
    <w:p w14:paraId="32B83549" w14:textId="77777777" w:rsidR="002117E1" w:rsidRPr="00EF2AFA" w:rsidRDefault="002117E1" w:rsidP="009E2A99">
      <w:pPr>
        <w:pStyle w:val="Ttulo2"/>
        <w:rPr>
          <w:sz w:val="23"/>
        </w:rPr>
      </w:pPr>
      <w:r w:rsidRPr="00EF2AFA">
        <w:rPr>
          <w:sz w:val="23"/>
        </w:rPr>
        <w:t>Calendario Electoral</w:t>
      </w:r>
    </w:p>
    <w:p w14:paraId="5FE0F1E2" w14:textId="77777777" w:rsidR="002117E1" w:rsidRPr="00EF2AFA" w:rsidRDefault="002117E1" w:rsidP="00D23311">
      <w:pPr>
        <w:rPr>
          <w:rFonts w:ascii="Arial" w:hAnsi="Arial" w:cs="Arial"/>
          <w:sz w:val="23"/>
          <w:szCs w:val="23"/>
        </w:rPr>
      </w:pPr>
      <w:r w:rsidRPr="00EF2AFA">
        <w:rPr>
          <w:rFonts w:ascii="Arial" w:hAnsi="Arial" w:cs="Arial"/>
          <w:sz w:val="23"/>
          <w:szCs w:val="23"/>
        </w:rPr>
        <w:t>En la fecha antes señalada, mediante acuerdo CE/2023/021, el Consejo Estatal aprobó el calendario electoral para el Proceso Electoral.</w:t>
      </w:r>
    </w:p>
    <w:p w14:paraId="53AC4610" w14:textId="77777777" w:rsidR="002117E1" w:rsidRPr="00EF2AFA" w:rsidRDefault="002117E1" w:rsidP="009E2A99">
      <w:pPr>
        <w:pStyle w:val="Ttulo2"/>
        <w:rPr>
          <w:sz w:val="23"/>
        </w:rPr>
      </w:pPr>
      <w:r w:rsidRPr="00EF2AFA">
        <w:rPr>
          <w:sz w:val="23"/>
        </w:rPr>
        <w:lastRenderedPageBreak/>
        <w:t>Inicio del Proceso Electoral</w:t>
      </w:r>
    </w:p>
    <w:p w14:paraId="1308C149" w14:textId="77777777" w:rsidR="002117E1" w:rsidRPr="00EF2AFA" w:rsidRDefault="002117E1" w:rsidP="00D23311">
      <w:pPr>
        <w:rPr>
          <w:rFonts w:ascii="Arial" w:hAnsi="Arial" w:cs="Arial"/>
          <w:sz w:val="23"/>
          <w:szCs w:val="23"/>
        </w:rPr>
      </w:pPr>
      <w:r w:rsidRPr="00EF2AFA">
        <w:rPr>
          <w:rFonts w:ascii="Arial" w:hAnsi="Arial" w:cs="Arial"/>
          <w:sz w:val="23"/>
          <w:szCs w:val="23"/>
        </w:rPr>
        <w:t>El 6 de octubre de la presente anualidad, el Consejo Estatal de conformidad con el artículo 111 de la Ley Electoral declaró el inicio del Proceso Electoral por el que se renovarán los cargos relativos a la Gubernatura del Estado, Diputaciones Locales, Presidencias Municipales y Regidurías.</w:t>
      </w:r>
    </w:p>
    <w:p w14:paraId="51EBCF75" w14:textId="77777777" w:rsidR="002117E1" w:rsidRPr="00EF2AFA" w:rsidRDefault="002117E1" w:rsidP="009E2A99">
      <w:pPr>
        <w:pStyle w:val="Ttulo2"/>
        <w:rPr>
          <w:sz w:val="23"/>
        </w:rPr>
      </w:pPr>
      <w:r w:rsidRPr="00EF2AFA">
        <w:rPr>
          <w:sz w:val="23"/>
        </w:rPr>
        <w:t>Aprobación de los Lineamientos</w:t>
      </w:r>
    </w:p>
    <w:p w14:paraId="5E828F59" w14:textId="77777777" w:rsidR="002117E1" w:rsidRPr="00EF2AFA" w:rsidRDefault="002117E1" w:rsidP="00D23311">
      <w:pPr>
        <w:rPr>
          <w:rFonts w:ascii="Arial" w:hAnsi="Arial" w:cs="Arial"/>
          <w:sz w:val="23"/>
          <w:szCs w:val="23"/>
        </w:rPr>
      </w:pPr>
      <w:r w:rsidRPr="00EF2AFA">
        <w:rPr>
          <w:rFonts w:ascii="Arial" w:hAnsi="Arial" w:cs="Arial"/>
          <w:sz w:val="23"/>
          <w:szCs w:val="23"/>
        </w:rPr>
        <w:t>El 7 de noviembre de 2023, mediante acuerdo CE/2023/043, el Consejo Estatal aprobó los Lineamientos para la verificación de los requisitos de elegibilidad de las personas que se postulen a las candidaturas a la gubernatura del estado, diputaciones, presidencias municipales y regidurías con motivo del proceso electoral local ordinario 2023 – 2024</w:t>
      </w:r>
    </w:p>
    <w:p w14:paraId="51C22CFC" w14:textId="77777777" w:rsidR="002117E1" w:rsidRPr="00EF2AFA" w:rsidRDefault="002117E1" w:rsidP="009E2A99">
      <w:pPr>
        <w:pStyle w:val="Ttulo2"/>
        <w:rPr>
          <w:sz w:val="23"/>
        </w:rPr>
      </w:pPr>
      <w:r w:rsidRPr="00EF2AFA">
        <w:rPr>
          <w:sz w:val="23"/>
        </w:rPr>
        <w:t>Medio de impugnación</w:t>
      </w:r>
    </w:p>
    <w:p w14:paraId="2144AFB7" w14:textId="77777777" w:rsidR="002117E1" w:rsidRPr="00EF2AFA" w:rsidRDefault="002117E1" w:rsidP="00D23311">
      <w:pPr>
        <w:rPr>
          <w:rFonts w:ascii="Arial" w:hAnsi="Arial" w:cs="Arial"/>
          <w:sz w:val="23"/>
          <w:szCs w:val="23"/>
        </w:rPr>
      </w:pPr>
      <w:r w:rsidRPr="00EF2AFA">
        <w:rPr>
          <w:rFonts w:ascii="Arial" w:hAnsi="Arial" w:cs="Arial"/>
          <w:sz w:val="23"/>
          <w:szCs w:val="23"/>
        </w:rPr>
        <w:t>El 11 de noviembre de la presente anualidad, el Consejero Representante de Morena ante el Consejo Estatal interpuso recurso de apelación en contra del acuerdo CE/2023/043</w:t>
      </w:r>
      <w:r w:rsidR="00D23311" w:rsidRPr="00EF2AFA">
        <w:rPr>
          <w:rFonts w:ascii="Arial" w:hAnsi="Arial" w:cs="Arial"/>
          <w:sz w:val="23"/>
          <w:szCs w:val="23"/>
        </w:rPr>
        <w:t>, el cual se radicó en el Tribunal Electoral de Tabasco bajo el número TET-AP-18/2023-III.</w:t>
      </w:r>
    </w:p>
    <w:p w14:paraId="6315D619" w14:textId="77777777" w:rsidR="00D23311" w:rsidRPr="00EF2AFA" w:rsidRDefault="00D23311" w:rsidP="00D23311">
      <w:pPr>
        <w:rPr>
          <w:rFonts w:ascii="Arial" w:hAnsi="Arial" w:cs="Arial"/>
          <w:sz w:val="23"/>
          <w:szCs w:val="23"/>
        </w:rPr>
      </w:pPr>
      <w:r w:rsidRPr="00EF2AFA">
        <w:rPr>
          <w:rFonts w:ascii="Arial" w:hAnsi="Arial" w:cs="Arial"/>
          <w:sz w:val="23"/>
          <w:szCs w:val="23"/>
        </w:rPr>
        <w:t>El 30 de noviembre de 2023, el órgano jurisdiccional determinó parcialmente fundados los agravios esgrimidos por el partido político actor, y, en consecuencia, revocó el acuerdo CE/2023/043 impugnado en lo que fue la materia de controversia.</w:t>
      </w:r>
    </w:p>
    <w:p w14:paraId="57C35605" w14:textId="77777777" w:rsidR="002117E1" w:rsidRPr="0049597E" w:rsidRDefault="002117E1" w:rsidP="009E2A99">
      <w:pPr>
        <w:pStyle w:val="Ttulo1"/>
      </w:pPr>
      <w:r w:rsidRPr="0049597E">
        <w:t>Considerando</w:t>
      </w:r>
    </w:p>
    <w:p w14:paraId="7BC7EEF4" w14:textId="77777777" w:rsidR="002117E1" w:rsidRPr="00EF2AFA" w:rsidRDefault="002117E1" w:rsidP="009E2A99">
      <w:pPr>
        <w:pStyle w:val="Ttulo2"/>
        <w:rPr>
          <w:sz w:val="23"/>
        </w:rPr>
      </w:pPr>
      <w:r w:rsidRPr="00EF2AFA">
        <w:rPr>
          <w:sz w:val="23"/>
        </w:rPr>
        <w:t xml:space="preserve">Fines del Instituto </w:t>
      </w:r>
    </w:p>
    <w:p w14:paraId="4027117C" w14:textId="77777777" w:rsidR="002117E1" w:rsidRPr="00EF2AFA" w:rsidRDefault="002117E1" w:rsidP="00D23311">
      <w:pPr>
        <w:rPr>
          <w:rFonts w:ascii="Arial" w:hAnsi="Arial" w:cs="Arial"/>
          <w:sz w:val="23"/>
          <w:szCs w:val="23"/>
        </w:rPr>
      </w:pPr>
      <w:r w:rsidRPr="00EF2AFA">
        <w:rPr>
          <w:rFonts w:ascii="Arial" w:hAnsi="Arial" w:cs="Arial"/>
          <w:sz w:val="23"/>
          <w:szCs w:val="23"/>
        </w:rPr>
        <w:t xml:space="preserve">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w:t>
      </w:r>
      <w:r w:rsidRPr="00EF2AFA">
        <w:rPr>
          <w:rFonts w:ascii="Arial" w:hAnsi="Arial" w:cs="Arial"/>
          <w:sz w:val="23"/>
          <w:szCs w:val="23"/>
        </w:rPr>
        <w:lastRenderedPageBreak/>
        <w:t>cuentas, objetividad, paridad, interculturalidad y las realizarán con perspectiva de género y enfoque de derechos humanos.</w:t>
      </w:r>
    </w:p>
    <w:p w14:paraId="35D68BDA" w14:textId="77777777" w:rsidR="002117E1" w:rsidRPr="00EF2AFA" w:rsidRDefault="002117E1" w:rsidP="00D23311">
      <w:pPr>
        <w:rPr>
          <w:rFonts w:ascii="Arial" w:hAnsi="Arial" w:cs="Arial"/>
          <w:sz w:val="23"/>
          <w:szCs w:val="23"/>
        </w:rPr>
      </w:pPr>
      <w:r w:rsidRPr="00EF2AFA">
        <w:rPr>
          <w:rFonts w:ascii="Arial" w:hAnsi="Arial" w:cs="Arial"/>
          <w:sz w:val="23"/>
          <w:szCs w:val="23"/>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02C000D1" w14:textId="77777777" w:rsidR="002117E1" w:rsidRPr="00EF2AFA" w:rsidRDefault="002117E1" w:rsidP="009E2A99">
      <w:pPr>
        <w:pStyle w:val="Ttulo2"/>
        <w:rPr>
          <w:sz w:val="23"/>
        </w:rPr>
      </w:pPr>
      <w:r w:rsidRPr="00EF2AFA">
        <w:rPr>
          <w:sz w:val="23"/>
        </w:rPr>
        <w:t xml:space="preserve">Órgano Superior de Dirección del Instituto </w:t>
      </w:r>
    </w:p>
    <w:p w14:paraId="1AEC0481" w14:textId="77777777" w:rsidR="002117E1" w:rsidRPr="00EF2AFA" w:rsidRDefault="002117E1" w:rsidP="00D23311">
      <w:pPr>
        <w:rPr>
          <w:rFonts w:ascii="Arial" w:hAnsi="Arial" w:cs="Arial"/>
          <w:sz w:val="23"/>
          <w:szCs w:val="23"/>
        </w:rPr>
      </w:pPr>
      <w:r w:rsidRPr="00EF2AFA">
        <w:rPr>
          <w:rFonts w:ascii="Arial" w:hAnsi="Arial" w:cs="Arial"/>
          <w:sz w:val="23"/>
          <w:szCs w:val="23"/>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6B7593A4" w14:textId="77777777" w:rsidR="002117E1" w:rsidRPr="00EF2AFA" w:rsidRDefault="002117E1" w:rsidP="009E2A99">
      <w:pPr>
        <w:pStyle w:val="Ttulo2"/>
        <w:rPr>
          <w:sz w:val="23"/>
        </w:rPr>
      </w:pPr>
      <w:r w:rsidRPr="00EF2AFA">
        <w:rPr>
          <w:sz w:val="23"/>
        </w:rPr>
        <w:t>Integración del Órgano de Dirección Superior</w:t>
      </w:r>
    </w:p>
    <w:p w14:paraId="18ADF610" w14:textId="77777777" w:rsidR="002117E1" w:rsidRPr="00EF2AFA" w:rsidRDefault="002117E1" w:rsidP="00D23311">
      <w:pPr>
        <w:rPr>
          <w:rFonts w:ascii="Arial" w:hAnsi="Arial" w:cs="Arial"/>
          <w:sz w:val="23"/>
          <w:szCs w:val="23"/>
        </w:rPr>
      </w:pPr>
      <w:r w:rsidRPr="00EF2AFA">
        <w:rPr>
          <w:rFonts w:ascii="Arial" w:hAnsi="Arial" w:cs="Arial"/>
          <w:sz w:val="23"/>
          <w:szCs w:val="23"/>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64C58479" w14:textId="77777777" w:rsidR="002117E1" w:rsidRPr="00EF2AFA" w:rsidRDefault="002117E1" w:rsidP="009E2A99">
      <w:pPr>
        <w:pStyle w:val="Ttulo2"/>
        <w:rPr>
          <w:sz w:val="23"/>
        </w:rPr>
      </w:pPr>
      <w:r w:rsidRPr="00EF2AFA">
        <w:rPr>
          <w:sz w:val="23"/>
        </w:rPr>
        <w:t xml:space="preserve">Competencia del Consejo Estatal </w:t>
      </w:r>
    </w:p>
    <w:p w14:paraId="08780CCC" w14:textId="77777777" w:rsidR="002117E1" w:rsidRPr="00EF2AFA" w:rsidRDefault="002117E1" w:rsidP="00D23311">
      <w:pPr>
        <w:rPr>
          <w:rFonts w:ascii="Arial" w:hAnsi="Arial" w:cs="Arial"/>
          <w:sz w:val="23"/>
          <w:szCs w:val="23"/>
        </w:rPr>
      </w:pPr>
      <w:r w:rsidRPr="00EF2AFA">
        <w:rPr>
          <w:rFonts w:ascii="Arial" w:hAnsi="Arial" w:cs="Arial"/>
          <w:sz w:val="23"/>
          <w:szCs w:val="23"/>
        </w:rPr>
        <w:t xml:space="preserve">Que, de conformidad con el artículo 115, numeral </w:t>
      </w:r>
      <w:r w:rsidR="00E05202" w:rsidRPr="00EF2AFA">
        <w:rPr>
          <w:rFonts w:ascii="Arial" w:hAnsi="Arial" w:cs="Arial"/>
          <w:sz w:val="23"/>
          <w:szCs w:val="23"/>
        </w:rPr>
        <w:t xml:space="preserve">2 </w:t>
      </w:r>
      <w:r w:rsidRPr="00EF2AFA">
        <w:rPr>
          <w:rFonts w:ascii="Arial" w:hAnsi="Arial" w:cs="Arial"/>
          <w:sz w:val="23"/>
          <w:szCs w:val="23"/>
        </w:rPr>
        <w:t xml:space="preserve">de la Ley Electoral, el Consejo Estatal, para el debido ejercicio de las facultades y atribuciones del Instituto, derivados </w:t>
      </w:r>
      <w:r w:rsidRPr="00EF2AFA">
        <w:rPr>
          <w:rFonts w:ascii="Arial" w:hAnsi="Arial" w:cs="Arial"/>
          <w:sz w:val="23"/>
          <w:szCs w:val="23"/>
        </w:rPr>
        <w:lastRenderedPageBreak/>
        <w:t>de caso fortuito o causa de fuerza mayor; o en situaciones de falta o insuficiencia de previsión normativa o reglamentaria, podrá dictar los acuerdos necesarios que resulten pertinentes para garantizar el oportuno y adecuado cumplimiento de las funciones que corresponda, siempre en apego a sus facultades y a los principios rectores de la función electoral.</w:t>
      </w:r>
    </w:p>
    <w:p w14:paraId="008FA4BC" w14:textId="77777777" w:rsidR="00D23311" w:rsidRPr="00EF2AFA" w:rsidRDefault="00D23311" w:rsidP="009E2A99">
      <w:pPr>
        <w:pStyle w:val="Ttulo2"/>
        <w:rPr>
          <w:sz w:val="23"/>
        </w:rPr>
      </w:pPr>
      <w:r w:rsidRPr="00EF2AFA">
        <w:rPr>
          <w:sz w:val="23"/>
        </w:rPr>
        <w:t>Derecho de la ciudadanía a votar y ser votada</w:t>
      </w:r>
    </w:p>
    <w:p w14:paraId="21AF83BC" w14:textId="77777777" w:rsidR="00D23311" w:rsidRPr="00EF2AFA" w:rsidRDefault="00D23311" w:rsidP="00D23311">
      <w:pPr>
        <w:rPr>
          <w:rFonts w:ascii="Arial" w:hAnsi="Arial" w:cs="Arial"/>
          <w:sz w:val="23"/>
          <w:szCs w:val="23"/>
        </w:rPr>
      </w:pPr>
      <w:r w:rsidRPr="00EF2AFA">
        <w:rPr>
          <w:rFonts w:ascii="Arial" w:hAnsi="Arial" w:cs="Arial"/>
          <w:sz w:val="23"/>
          <w:szCs w:val="23"/>
        </w:rPr>
        <w:t>Que, los artículos 35, fracciones I y II de la Constitución Federal, 7 fracción I de la Constitución Local y 5 numerales 1 y 3 de la Ley Electoral disponen, que votar en las elecciones constituye un derecho y una obligación, que se ejerce para integrar los órganos de elección popular del Estado y de los municipios. Asimismo, es derecho de la ciudadanía ser votada para todos los puestos de elección popular, teniendo las calidades que establece la ley de la materia y solicitar su registro de manera independiente, cuando cumplan los requisitos, condiciones y términos que determine la propia Ley.</w:t>
      </w:r>
    </w:p>
    <w:p w14:paraId="655D890E" w14:textId="77777777" w:rsidR="00D23311" w:rsidRPr="00EF2AFA" w:rsidRDefault="00D23311" w:rsidP="00D23311">
      <w:pPr>
        <w:rPr>
          <w:rFonts w:ascii="Arial" w:hAnsi="Arial" w:cs="Arial"/>
          <w:sz w:val="23"/>
          <w:szCs w:val="23"/>
        </w:rPr>
      </w:pPr>
      <w:r w:rsidRPr="00EF2AFA">
        <w:rPr>
          <w:rFonts w:ascii="Arial" w:hAnsi="Arial" w:cs="Arial"/>
          <w:sz w:val="23"/>
          <w:szCs w:val="23"/>
        </w:rPr>
        <w:t>Asimismo, el artículo 5 numeral 3 de la Ley Electoral refiere que, el ejercicio del derecho al voto corresponde a la ciudadanía que se encuentre en pleno ejercicio de sus derechos políticos, esté inscrita en el padrón electoral correspondiente, cuente con la credencial para votar y no tenga impedimento legal para el ejercicio de ese derecho.</w:t>
      </w:r>
    </w:p>
    <w:p w14:paraId="505FC78C" w14:textId="77777777" w:rsidR="00D23311" w:rsidRPr="00EF2AFA" w:rsidRDefault="00D23311" w:rsidP="00D23311">
      <w:pPr>
        <w:rPr>
          <w:rFonts w:ascii="Arial" w:hAnsi="Arial" w:cs="Arial"/>
          <w:sz w:val="23"/>
          <w:szCs w:val="23"/>
        </w:rPr>
      </w:pPr>
      <w:r w:rsidRPr="00EF2AFA">
        <w:rPr>
          <w:rFonts w:ascii="Arial" w:hAnsi="Arial" w:cs="Arial"/>
          <w:sz w:val="23"/>
          <w:szCs w:val="23"/>
        </w:rPr>
        <w:t>Además, es derecho de la ciudadanía ser votada para todos los puestos de elección popular, teniendo las calidades que establece la ley de la materia y solicitar su registro de manera independiente, cuando cumplan los requisitos, condiciones y términos que determine la Ley Electoral.</w:t>
      </w:r>
    </w:p>
    <w:p w14:paraId="057725C6" w14:textId="77777777" w:rsidR="00D23311" w:rsidRPr="00EF2AFA" w:rsidRDefault="00D23311" w:rsidP="009E2A99">
      <w:pPr>
        <w:pStyle w:val="Ttulo2"/>
        <w:rPr>
          <w:sz w:val="23"/>
        </w:rPr>
      </w:pPr>
      <w:r w:rsidRPr="00EF2AFA">
        <w:rPr>
          <w:sz w:val="23"/>
        </w:rPr>
        <w:t>Fines de los partidos políticos</w:t>
      </w:r>
    </w:p>
    <w:p w14:paraId="46F0BD39" w14:textId="77777777" w:rsidR="00D23311" w:rsidRPr="00EF2AFA" w:rsidRDefault="00D23311" w:rsidP="00D23311">
      <w:pPr>
        <w:rPr>
          <w:rFonts w:ascii="Arial" w:hAnsi="Arial" w:cs="Arial"/>
          <w:sz w:val="23"/>
          <w:szCs w:val="23"/>
        </w:rPr>
      </w:pPr>
      <w:r w:rsidRPr="00EF2AFA">
        <w:rPr>
          <w:rFonts w:ascii="Arial" w:hAnsi="Arial" w:cs="Arial"/>
          <w:sz w:val="23"/>
          <w:szCs w:val="23"/>
        </w:rPr>
        <w:t xml:space="preserve">Que, en términos de los artículos 41 base I de la Constitución Federal, 9 apartado A, fracción I, párrafo segundo de la Constitución Local, 85 numeral 5 de la Ley de Partidos y 33 numeral 4 de la Ley Electoral, los partidos políticos son entidades de interés público con personalidad jurídica y patrimonio propio, con registro legal ante el INE o ante los organismos electorales, que tienen como fin promover la participación del pueblo en la vida democrática, contribuir a la integración de los órganos de representación política y, como organizaciones ciudadanas, hacer posible el acceso de éstas al ejercicio del poder público de acuerdo con los programas, principios e ideas que postulan y mediante </w:t>
      </w:r>
      <w:r w:rsidRPr="00EF2AFA">
        <w:rPr>
          <w:rFonts w:ascii="Arial" w:hAnsi="Arial" w:cs="Arial"/>
          <w:sz w:val="23"/>
          <w:szCs w:val="23"/>
        </w:rPr>
        <w:lastRenderedPageBreak/>
        <w:t>el sufragio universal, libre, secreto, directo, personal e intransferible, incluso a través de distintas formas de participación o asociación, con el fin de postular candidaturas.</w:t>
      </w:r>
    </w:p>
    <w:p w14:paraId="1C981890" w14:textId="77777777" w:rsidR="00D23311" w:rsidRPr="00EF2AFA" w:rsidRDefault="00D23311" w:rsidP="009E2A99">
      <w:pPr>
        <w:pStyle w:val="Ttulo2"/>
        <w:rPr>
          <w:sz w:val="23"/>
        </w:rPr>
      </w:pPr>
      <w:r w:rsidRPr="00EF2AFA">
        <w:rPr>
          <w:sz w:val="23"/>
        </w:rPr>
        <w:t>Derecho de la ciudadanía a postularse de manera independiente a cargos de elección popular</w:t>
      </w:r>
    </w:p>
    <w:p w14:paraId="11F31286" w14:textId="77777777" w:rsidR="00D23311" w:rsidRPr="00EF2AFA" w:rsidRDefault="00D23311" w:rsidP="00D23311">
      <w:pPr>
        <w:rPr>
          <w:rFonts w:ascii="Arial" w:hAnsi="Arial" w:cs="Arial"/>
          <w:sz w:val="23"/>
          <w:szCs w:val="23"/>
        </w:rPr>
      </w:pPr>
      <w:r w:rsidRPr="00EF2AFA">
        <w:rPr>
          <w:rFonts w:ascii="Arial" w:hAnsi="Arial" w:cs="Arial"/>
          <w:sz w:val="23"/>
          <w:szCs w:val="23"/>
        </w:rPr>
        <w:t>Que, de conformidad con los artículos 35 fracción II de la Constitución Federal, 7 fracción I y 9 apartado A, fracción III de la Constitución Local, es un derecho de la ciudadanía votar en las elecciones populares y solicitar por sí misma su registro como candidatas o candidatos de manera independiente a cargos de elección popular por el principio de mayoría relativa. cumpliendo con los requisitos, condiciones y términos que determine la legislación.</w:t>
      </w:r>
    </w:p>
    <w:p w14:paraId="351A59B9" w14:textId="77777777" w:rsidR="00D23311" w:rsidRPr="00EF2AFA" w:rsidRDefault="00D23311" w:rsidP="00D23311">
      <w:pPr>
        <w:rPr>
          <w:rFonts w:ascii="Arial" w:hAnsi="Arial" w:cs="Arial"/>
          <w:sz w:val="23"/>
          <w:szCs w:val="23"/>
        </w:rPr>
      </w:pPr>
      <w:r w:rsidRPr="00EF2AFA">
        <w:rPr>
          <w:rFonts w:ascii="Arial" w:hAnsi="Arial" w:cs="Arial"/>
          <w:sz w:val="23"/>
          <w:szCs w:val="23"/>
        </w:rPr>
        <w:t>Además, en términos del artículo 116 fracción IV, incisos k) y p) de la Constitución Federal y 9 apartado “A” fracción III de la Constitución Local, conforme a las bases establecidas en la propia Constitución y las leyes generales en la materia, las Constituciones y leyes de los Estados en materia electoral garantizarán que se regule el régimen aplicable a la postulación, registro, derechos y obligaciones de las personas candidatas independientes, garantizando su derecho al financiamiento público y al acceso a la radio y la televisión, fijando las bases y requisitos para que en las elecciones la ciudadanía solicite su registro como candidatas o candidatos para poder ser votados en forma independiente a todos los cargos de elección popular, en los términos del artículo 35 de la Constitución Federal.</w:t>
      </w:r>
    </w:p>
    <w:p w14:paraId="4EF0ED24" w14:textId="77777777" w:rsidR="00D23311" w:rsidRPr="00EF2AFA" w:rsidRDefault="00D23311" w:rsidP="009E2A99">
      <w:pPr>
        <w:pStyle w:val="Ttulo2"/>
        <w:rPr>
          <w:sz w:val="23"/>
        </w:rPr>
      </w:pPr>
      <w:r w:rsidRPr="00EF2AFA">
        <w:rPr>
          <w:sz w:val="23"/>
        </w:rPr>
        <w:t>Suspensión de derechos o prerrogativas ciudadanas</w:t>
      </w:r>
    </w:p>
    <w:p w14:paraId="0BC65D3E" w14:textId="77777777" w:rsidR="00D23311" w:rsidRPr="00EF2AFA" w:rsidRDefault="00D23311" w:rsidP="00D23311">
      <w:pPr>
        <w:rPr>
          <w:rFonts w:ascii="Arial" w:hAnsi="Arial" w:cs="Arial"/>
          <w:sz w:val="23"/>
          <w:szCs w:val="23"/>
        </w:rPr>
      </w:pPr>
      <w:r w:rsidRPr="00EF2AFA">
        <w:rPr>
          <w:rFonts w:ascii="Arial" w:hAnsi="Arial" w:cs="Arial"/>
          <w:sz w:val="23"/>
          <w:szCs w:val="23"/>
        </w:rPr>
        <w:t>Que, el artículo 38 de la Constitución Federal establece las siguientes hipótesis por las cuales se suspenden los derechos o prerrogativas ciudadanas:</w:t>
      </w:r>
    </w:p>
    <w:p w14:paraId="53F3BADC" w14:textId="77777777" w:rsidR="00D23311" w:rsidRPr="00EF2AFA" w:rsidRDefault="00D23311" w:rsidP="00D23311">
      <w:pPr>
        <w:pStyle w:val="Prrafodelista"/>
        <w:numPr>
          <w:ilvl w:val="0"/>
          <w:numId w:val="4"/>
        </w:numPr>
        <w:spacing w:before="120" w:after="120" w:line="288" w:lineRule="auto"/>
        <w:ind w:left="510" w:hanging="510"/>
        <w:contextualSpacing w:val="0"/>
        <w:jc w:val="both"/>
        <w:rPr>
          <w:rFonts w:ascii="Arial" w:hAnsi="Arial" w:cs="Arial"/>
          <w:sz w:val="23"/>
          <w:szCs w:val="23"/>
        </w:rPr>
      </w:pPr>
      <w:r w:rsidRPr="00EF2AFA">
        <w:rPr>
          <w:rFonts w:ascii="Arial" w:hAnsi="Arial" w:cs="Arial"/>
          <w:sz w:val="23"/>
          <w:szCs w:val="23"/>
        </w:rPr>
        <w:t>Por falta de cumplimiento, sin causa justificada, de cualquiera de las obligaciones que impone el artículo 36. Esta suspensión durará un año y se impondrá además de las otras penas que por el mismo hecho señalare la ley;</w:t>
      </w:r>
    </w:p>
    <w:p w14:paraId="4854719F" w14:textId="77777777" w:rsidR="00D23311" w:rsidRPr="00EF2AFA" w:rsidRDefault="00D23311" w:rsidP="00D23311">
      <w:pPr>
        <w:pStyle w:val="Prrafodelista"/>
        <w:numPr>
          <w:ilvl w:val="0"/>
          <w:numId w:val="4"/>
        </w:numPr>
        <w:spacing w:before="120" w:after="120" w:line="288" w:lineRule="auto"/>
        <w:ind w:left="510" w:hanging="510"/>
        <w:contextualSpacing w:val="0"/>
        <w:jc w:val="both"/>
        <w:rPr>
          <w:rFonts w:ascii="Arial" w:hAnsi="Arial" w:cs="Arial"/>
          <w:sz w:val="23"/>
          <w:szCs w:val="23"/>
        </w:rPr>
      </w:pPr>
      <w:r w:rsidRPr="00EF2AFA">
        <w:rPr>
          <w:rFonts w:ascii="Arial" w:hAnsi="Arial" w:cs="Arial"/>
          <w:sz w:val="23"/>
          <w:szCs w:val="23"/>
        </w:rPr>
        <w:t>Por estar sujeto a un proceso criminal por delito que merezca pena corporal, a contar desde la fecha del auto de formal prisión;</w:t>
      </w:r>
    </w:p>
    <w:p w14:paraId="6A97C996" w14:textId="77777777" w:rsidR="00D23311" w:rsidRPr="00EF2AFA" w:rsidRDefault="00D23311" w:rsidP="00D23311">
      <w:pPr>
        <w:pStyle w:val="Prrafodelista"/>
        <w:numPr>
          <w:ilvl w:val="0"/>
          <w:numId w:val="4"/>
        </w:numPr>
        <w:spacing w:before="120" w:after="120" w:line="288" w:lineRule="auto"/>
        <w:ind w:left="510" w:hanging="510"/>
        <w:contextualSpacing w:val="0"/>
        <w:jc w:val="both"/>
        <w:rPr>
          <w:rFonts w:ascii="Arial" w:hAnsi="Arial" w:cs="Arial"/>
          <w:sz w:val="23"/>
          <w:szCs w:val="23"/>
        </w:rPr>
      </w:pPr>
      <w:r w:rsidRPr="00EF2AFA">
        <w:rPr>
          <w:rFonts w:ascii="Arial" w:hAnsi="Arial" w:cs="Arial"/>
          <w:sz w:val="23"/>
          <w:szCs w:val="23"/>
        </w:rPr>
        <w:t>Durante la extinción de una pena corporal;</w:t>
      </w:r>
    </w:p>
    <w:p w14:paraId="5C1D5DC0" w14:textId="77777777" w:rsidR="00D23311" w:rsidRPr="00EF2AFA" w:rsidRDefault="00D23311" w:rsidP="00D23311">
      <w:pPr>
        <w:pStyle w:val="Prrafodelista"/>
        <w:numPr>
          <w:ilvl w:val="0"/>
          <w:numId w:val="4"/>
        </w:numPr>
        <w:spacing w:before="120" w:after="120" w:line="288" w:lineRule="auto"/>
        <w:ind w:left="510" w:hanging="510"/>
        <w:contextualSpacing w:val="0"/>
        <w:jc w:val="both"/>
        <w:rPr>
          <w:rFonts w:ascii="Arial" w:hAnsi="Arial" w:cs="Arial"/>
          <w:sz w:val="23"/>
          <w:szCs w:val="23"/>
        </w:rPr>
      </w:pPr>
      <w:r w:rsidRPr="00EF2AFA">
        <w:rPr>
          <w:rFonts w:ascii="Arial" w:hAnsi="Arial" w:cs="Arial"/>
          <w:sz w:val="23"/>
          <w:szCs w:val="23"/>
        </w:rPr>
        <w:t>Por vagancia o ebriedad consuetudinaria, declarada en los términos que prevengan las leyes;</w:t>
      </w:r>
    </w:p>
    <w:p w14:paraId="6DA27BEB" w14:textId="77777777" w:rsidR="00D23311" w:rsidRPr="00EF2AFA" w:rsidRDefault="00D23311" w:rsidP="00D23311">
      <w:pPr>
        <w:pStyle w:val="Prrafodelista"/>
        <w:numPr>
          <w:ilvl w:val="0"/>
          <w:numId w:val="4"/>
        </w:numPr>
        <w:spacing w:before="120" w:after="120" w:line="288" w:lineRule="auto"/>
        <w:ind w:left="510" w:hanging="510"/>
        <w:contextualSpacing w:val="0"/>
        <w:jc w:val="both"/>
        <w:rPr>
          <w:rFonts w:ascii="Arial" w:hAnsi="Arial" w:cs="Arial"/>
          <w:sz w:val="23"/>
          <w:szCs w:val="23"/>
        </w:rPr>
      </w:pPr>
      <w:r w:rsidRPr="00EF2AFA">
        <w:rPr>
          <w:rFonts w:ascii="Arial" w:hAnsi="Arial" w:cs="Arial"/>
          <w:sz w:val="23"/>
          <w:szCs w:val="23"/>
        </w:rPr>
        <w:t>Por estar prófugo de la justicia, desde que se dicte la orden de aprehensión hasta que prescriba la acción penal;</w:t>
      </w:r>
    </w:p>
    <w:p w14:paraId="0D78D92A" w14:textId="77777777" w:rsidR="00D23311" w:rsidRPr="00EF2AFA" w:rsidRDefault="00D23311" w:rsidP="00D23311">
      <w:pPr>
        <w:pStyle w:val="Prrafodelista"/>
        <w:numPr>
          <w:ilvl w:val="0"/>
          <w:numId w:val="4"/>
        </w:numPr>
        <w:spacing w:before="120" w:after="120" w:line="288" w:lineRule="auto"/>
        <w:ind w:left="510" w:hanging="510"/>
        <w:contextualSpacing w:val="0"/>
        <w:jc w:val="both"/>
        <w:rPr>
          <w:rFonts w:ascii="Arial" w:hAnsi="Arial" w:cs="Arial"/>
          <w:sz w:val="23"/>
          <w:szCs w:val="23"/>
        </w:rPr>
      </w:pPr>
      <w:r w:rsidRPr="00EF2AFA">
        <w:rPr>
          <w:rFonts w:ascii="Arial" w:hAnsi="Arial" w:cs="Arial"/>
          <w:sz w:val="23"/>
          <w:szCs w:val="23"/>
        </w:rPr>
        <w:t>Por sentencia ejecutoria que imponga como pena esa suspensión, y</w:t>
      </w:r>
    </w:p>
    <w:p w14:paraId="702FDE39" w14:textId="77777777" w:rsidR="00D23311" w:rsidRPr="00EF2AFA" w:rsidRDefault="00D23311" w:rsidP="00D23311">
      <w:pPr>
        <w:pStyle w:val="Prrafodelista"/>
        <w:numPr>
          <w:ilvl w:val="0"/>
          <w:numId w:val="4"/>
        </w:numPr>
        <w:spacing w:before="120" w:after="120" w:line="288" w:lineRule="auto"/>
        <w:ind w:left="510" w:hanging="510"/>
        <w:contextualSpacing w:val="0"/>
        <w:jc w:val="both"/>
        <w:rPr>
          <w:rFonts w:ascii="Arial" w:hAnsi="Arial" w:cs="Arial"/>
          <w:sz w:val="23"/>
          <w:szCs w:val="23"/>
        </w:rPr>
      </w:pPr>
      <w:r w:rsidRPr="00EF2AFA">
        <w:rPr>
          <w:rFonts w:ascii="Arial" w:hAnsi="Arial" w:cs="Arial"/>
          <w:sz w:val="23"/>
          <w:szCs w:val="23"/>
        </w:rPr>
        <w:t>Por 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w:t>
      </w:r>
    </w:p>
    <w:p w14:paraId="776D12DC" w14:textId="77777777" w:rsidR="00D23311" w:rsidRPr="00EF2AFA" w:rsidRDefault="00D23311" w:rsidP="00D23311">
      <w:pPr>
        <w:pStyle w:val="Prrafodelista"/>
        <w:spacing w:before="120" w:after="120" w:line="288" w:lineRule="auto"/>
        <w:ind w:left="510"/>
        <w:contextualSpacing w:val="0"/>
        <w:jc w:val="both"/>
        <w:rPr>
          <w:rFonts w:ascii="Arial" w:hAnsi="Arial" w:cs="Arial"/>
          <w:sz w:val="23"/>
          <w:szCs w:val="23"/>
        </w:rPr>
      </w:pPr>
      <w:r w:rsidRPr="00EF2AFA">
        <w:rPr>
          <w:rFonts w:ascii="Arial" w:hAnsi="Arial" w:cs="Arial"/>
          <w:sz w:val="23"/>
          <w:szCs w:val="23"/>
        </w:rPr>
        <w:t>Por ser declarada persona deudora alimentaria morosa.</w:t>
      </w:r>
    </w:p>
    <w:p w14:paraId="2E798054" w14:textId="77777777" w:rsidR="00D23311" w:rsidRPr="00EF2AFA" w:rsidRDefault="00D23311" w:rsidP="00D23311">
      <w:pPr>
        <w:rPr>
          <w:rFonts w:ascii="Arial" w:hAnsi="Arial" w:cs="Arial"/>
          <w:sz w:val="23"/>
          <w:szCs w:val="23"/>
        </w:rPr>
      </w:pPr>
      <w:r w:rsidRPr="00EF2AFA">
        <w:rPr>
          <w:rFonts w:ascii="Arial" w:hAnsi="Arial" w:cs="Arial"/>
          <w:sz w:val="23"/>
          <w:szCs w:val="23"/>
        </w:rPr>
        <w:t>En ese tenor, para el caso de los supuestos señalados en la fracción VII del artículo transcrito, la persona que se ubique en cualquiera de ellos no podrá ser registrada como candidata para cualquier cargo de elección popular, ni ser nombrada para empleo, cargo o comisión en el servicio público.</w:t>
      </w:r>
    </w:p>
    <w:p w14:paraId="063CDA7B" w14:textId="77777777" w:rsidR="00D23311" w:rsidRPr="00EF2AFA" w:rsidRDefault="00BC3D8F" w:rsidP="009E2A99">
      <w:pPr>
        <w:pStyle w:val="Ttulo2"/>
        <w:rPr>
          <w:sz w:val="23"/>
        </w:rPr>
      </w:pPr>
      <w:r w:rsidRPr="00EF2AFA">
        <w:rPr>
          <w:sz w:val="23"/>
        </w:rPr>
        <w:t>Efectos de la sentencia</w:t>
      </w:r>
    </w:p>
    <w:p w14:paraId="67964A7E" w14:textId="77777777" w:rsidR="003D2C88" w:rsidRPr="00EF2AFA" w:rsidRDefault="003D2C88" w:rsidP="003D2C88">
      <w:pPr>
        <w:rPr>
          <w:rFonts w:ascii="Arial" w:hAnsi="Arial" w:cs="Arial"/>
          <w:sz w:val="23"/>
          <w:szCs w:val="23"/>
        </w:rPr>
      </w:pPr>
      <w:r w:rsidRPr="00EF2AFA">
        <w:rPr>
          <w:rFonts w:ascii="Arial" w:hAnsi="Arial" w:cs="Arial"/>
          <w:sz w:val="23"/>
          <w:szCs w:val="23"/>
        </w:rPr>
        <w:t xml:space="preserve">Que, </w:t>
      </w:r>
      <w:r w:rsidR="0049597E" w:rsidRPr="00EF2AFA">
        <w:rPr>
          <w:rFonts w:ascii="Arial" w:hAnsi="Arial" w:cs="Arial"/>
          <w:sz w:val="23"/>
          <w:szCs w:val="23"/>
        </w:rPr>
        <w:t xml:space="preserve">de acuerdo con </w:t>
      </w:r>
      <w:r w:rsidRPr="00EF2AFA">
        <w:rPr>
          <w:rFonts w:ascii="Arial" w:hAnsi="Arial" w:cs="Arial"/>
          <w:sz w:val="23"/>
          <w:szCs w:val="23"/>
        </w:rPr>
        <w:t xml:space="preserve">la sentencia de fecha </w:t>
      </w:r>
      <w:r w:rsidR="0049597E" w:rsidRPr="00EF2AFA">
        <w:rPr>
          <w:rFonts w:ascii="Arial" w:hAnsi="Arial" w:cs="Arial"/>
          <w:sz w:val="23"/>
          <w:szCs w:val="23"/>
        </w:rPr>
        <w:t xml:space="preserve">30 de noviembre de la presente anualidad, </w:t>
      </w:r>
      <w:r w:rsidRPr="00EF2AFA">
        <w:rPr>
          <w:rFonts w:ascii="Arial" w:hAnsi="Arial" w:cs="Arial"/>
          <w:sz w:val="23"/>
          <w:szCs w:val="23"/>
        </w:rPr>
        <w:t>derivada del medio de impugnación TET-AP-18/2023-III, el Tribunal Local consideró que la facultad de verificación de los requisitos constitucionales para el registro de candidaturas con motivo del Proceso Electoral se encuentra limitada única y exclusivamente a la fracción VII del citado artículo y su correlativo en la Constitución Local, es decir la fracción III del artículo 8, los cuales refieren la suspensión de derechos o prerrogativas de la ciudadanía por 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por ser declarada como persona deudora alimentaria morosa, supuestos que el legislador previo como impedimento para que una persona, pueda ser registrada como candidata para cualquier cargo de elección popular.</w:t>
      </w:r>
    </w:p>
    <w:p w14:paraId="0BB4AB41" w14:textId="77777777" w:rsidR="00F730D3" w:rsidRPr="00EF2AFA" w:rsidRDefault="0093365B" w:rsidP="00C36F5B">
      <w:pPr>
        <w:rPr>
          <w:rFonts w:ascii="Arial" w:hAnsi="Arial" w:cs="Arial"/>
          <w:sz w:val="23"/>
          <w:szCs w:val="23"/>
        </w:rPr>
      </w:pPr>
      <w:r w:rsidRPr="00EF2AFA">
        <w:rPr>
          <w:rFonts w:ascii="Arial" w:hAnsi="Arial" w:cs="Arial"/>
          <w:sz w:val="23"/>
          <w:szCs w:val="23"/>
        </w:rPr>
        <w:t>C</w:t>
      </w:r>
      <w:r w:rsidR="003D2C88" w:rsidRPr="00EF2AFA">
        <w:rPr>
          <w:rFonts w:ascii="Arial" w:hAnsi="Arial" w:cs="Arial"/>
          <w:sz w:val="23"/>
          <w:szCs w:val="23"/>
        </w:rPr>
        <w:t xml:space="preserve">onforme a la sentencia mencionada, </w:t>
      </w:r>
      <w:r w:rsidRPr="00EF2AFA">
        <w:rPr>
          <w:rFonts w:ascii="Arial" w:hAnsi="Arial" w:cs="Arial"/>
          <w:sz w:val="23"/>
          <w:szCs w:val="23"/>
        </w:rPr>
        <w:t xml:space="preserve">el órgano jurisdiccional consideró que </w:t>
      </w:r>
      <w:r w:rsidR="003D2C88" w:rsidRPr="00EF2AFA">
        <w:rPr>
          <w:rFonts w:ascii="Arial" w:hAnsi="Arial" w:cs="Arial"/>
          <w:sz w:val="23"/>
          <w:szCs w:val="23"/>
        </w:rPr>
        <w:t xml:space="preserve">la obligación </w:t>
      </w:r>
      <w:r w:rsidRPr="00EF2AFA">
        <w:rPr>
          <w:rFonts w:ascii="Arial" w:hAnsi="Arial" w:cs="Arial"/>
          <w:sz w:val="23"/>
          <w:szCs w:val="23"/>
        </w:rPr>
        <w:t>de</w:t>
      </w:r>
      <w:r w:rsidR="003D2C88" w:rsidRPr="00EF2AFA">
        <w:rPr>
          <w:rFonts w:ascii="Arial" w:hAnsi="Arial" w:cs="Arial"/>
          <w:sz w:val="23"/>
          <w:szCs w:val="23"/>
        </w:rPr>
        <w:t xml:space="preserve"> éste </w:t>
      </w:r>
      <w:r w:rsidRPr="00EF2AFA">
        <w:rPr>
          <w:rFonts w:ascii="Arial" w:hAnsi="Arial" w:cs="Arial"/>
          <w:sz w:val="23"/>
          <w:szCs w:val="23"/>
        </w:rPr>
        <w:t xml:space="preserve">este Instituto es </w:t>
      </w:r>
      <w:r w:rsidR="003D2C88" w:rsidRPr="00EF2AFA">
        <w:rPr>
          <w:rFonts w:ascii="Arial" w:hAnsi="Arial" w:cs="Arial"/>
          <w:sz w:val="23"/>
          <w:szCs w:val="23"/>
        </w:rPr>
        <w:t xml:space="preserve">realizar una revisión previa sobre la viabilidad del registro, </w:t>
      </w:r>
      <w:r w:rsidRPr="00EF2AFA">
        <w:rPr>
          <w:rFonts w:ascii="Arial" w:hAnsi="Arial" w:cs="Arial"/>
          <w:sz w:val="23"/>
          <w:szCs w:val="23"/>
        </w:rPr>
        <w:t xml:space="preserve">y sólo </w:t>
      </w:r>
      <w:r w:rsidR="003D2C88" w:rsidRPr="00EF2AFA">
        <w:rPr>
          <w:rFonts w:ascii="Arial" w:hAnsi="Arial" w:cs="Arial"/>
          <w:sz w:val="23"/>
          <w:szCs w:val="23"/>
        </w:rPr>
        <w:t>ante la falta de un requisito la persona interesada “no podrá ser registrada”</w:t>
      </w:r>
      <w:r w:rsidRPr="00EF2AFA">
        <w:rPr>
          <w:rFonts w:ascii="Arial" w:hAnsi="Arial" w:cs="Arial"/>
          <w:sz w:val="23"/>
          <w:szCs w:val="23"/>
        </w:rPr>
        <w:t xml:space="preserve">, lo que </w:t>
      </w:r>
      <w:r w:rsidR="003D2C88" w:rsidRPr="00EF2AFA">
        <w:rPr>
          <w:rFonts w:ascii="Arial" w:hAnsi="Arial" w:cs="Arial"/>
          <w:sz w:val="23"/>
          <w:szCs w:val="23"/>
        </w:rPr>
        <w:t>refiere la imposibilidad de c</w:t>
      </w:r>
      <w:r w:rsidR="00F730D3" w:rsidRPr="00EF2AFA">
        <w:rPr>
          <w:rFonts w:ascii="Arial" w:hAnsi="Arial" w:cs="Arial"/>
          <w:sz w:val="23"/>
          <w:szCs w:val="23"/>
        </w:rPr>
        <w:t xml:space="preserve">oncretar el registro respectivo; </w:t>
      </w:r>
      <w:r w:rsidR="00C36F5B" w:rsidRPr="00EF2AFA">
        <w:rPr>
          <w:rFonts w:ascii="Arial" w:hAnsi="Arial" w:cs="Arial"/>
          <w:sz w:val="23"/>
          <w:szCs w:val="23"/>
        </w:rPr>
        <w:t xml:space="preserve">sin embargo, la revisión previa que </w:t>
      </w:r>
      <w:r w:rsidR="00F730D3" w:rsidRPr="00EF2AFA">
        <w:rPr>
          <w:rFonts w:ascii="Arial" w:hAnsi="Arial" w:cs="Arial"/>
          <w:sz w:val="23"/>
          <w:szCs w:val="23"/>
        </w:rPr>
        <w:t xml:space="preserve">debe atender la autoridad administrativa electoral </w:t>
      </w:r>
      <w:r w:rsidR="00C36F5B" w:rsidRPr="00EF2AFA">
        <w:rPr>
          <w:rFonts w:ascii="Arial" w:hAnsi="Arial" w:cs="Arial"/>
          <w:sz w:val="23"/>
          <w:szCs w:val="23"/>
        </w:rPr>
        <w:t xml:space="preserve">es únicamente respecto a los únicos supuestos normativos </w:t>
      </w:r>
      <w:r w:rsidR="00F730D3" w:rsidRPr="00EF2AFA">
        <w:rPr>
          <w:rFonts w:ascii="Arial" w:hAnsi="Arial" w:cs="Arial"/>
          <w:sz w:val="23"/>
          <w:szCs w:val="23"/>
        </w:rPr>
        <w:t xml:space="preserve">establecidos </w:t>
      </w:r>
      <w:r w:rsidR="00C36F5B" w:rsidRPr="00EF2AFA">
        <w:rPr>
          <w:rFonts w:ascii="Arial" w:hAnsi="Arial" w:cs="Arial"/>
          <w:sz w:val="23"/>
          <w:szCs w:val="23"/>
        </w:rPr>
        <w:t>en la fracción VII del artículo</w:t>
      </w:r>
      <w:r w:rsidR="00F730D3" w:rsidRPr="00EF2AFA">
        <w:rPr>
          <w:rFonts w:ascii="Arial" w:hAnsi="Arial" w:cs="Arial"/>
          <w:sz w:val="23"/>
          <w:szCs w:val="23"/>
        </w:rPr>
        <w:t xml:space="preserve"> 38 de la Constitución Federal.</w:t>
      </w:r>
    </w:p>
    <w:p w14:paraId="2D1A8A2C" w14:textId="77777777" w:rsidR="003D2C88" w:rsidRPr="00EF2AFA" w:rsidRDefault="0093365B" w:rsidP="003D2C88">
      <w:pPr>
        <w:rPr>
          <w:rFonts w:ascii="Arial" w:hAnsi="Arial" w:cs="Arial"/>
          <w:sz w:val="23"/>
          <w:szCs w:val="23"/>
        </w:rPr>
      </w:pPr>
      <w:r w:rsidRPr="00EF2AFA">
        <w:rPr>
          <w:rFonts w:ascii="Arial" w:hAnsi="Arial" w:cs="Arial"/>
          <w:sz w:val="23"/>
          <w:szCs w:val="23"/>
        </w:rPr>
        <w:t>Así</w:t>
      </w:r>
      <w:r w:rsidR="003D2C88" w:rsidRPr="00EF2AFA">
        <w:rPr>
          <w:rFonts w:ascii="Arial" w:hAnsi="Arial" w:cs="Arial"/>
          <w:sz w:val="23"/>
          <w:szCs w:val="23"/>
        </w:rPr>
        <w:t xml:space="preserve">, para efectos de definir la inelegibilidad de una persona que busca ser registrada a un cargo de elección popular, de acuerdo </w:t>
      </w:r>
      <w:r w:rsidRPr="00EF2AFA">
        <w:rPr>
          <w:rFonts w:ascii="Arial" w:hAnsi="Arial" w:cs="Arial"/>
          <w:sz w:val="23"/>
          <w:szCs w:val="23"/>
        </w:rPr>
        <w:t>con</w:t>
      </w:r>
      <w:r w:rsidR="003D2C88" w:rsidRPr="00EF2AFA">
        <w:rPr>
          <w:rFonts w:ascii="Arial" w:hAnsi="Arial" w:cs="Arial"/>
          <w:sz w:val="23"/>
          <w:szCs w:val="23"/>
        </w:rPr>
        <w:t xml:space="preserve"> lo establecido en el precepto constitucional enunciado, debe existir como condicionante una sentencia firme, que determine que esa persona cometió los delitos señalados en los supuestos previstos en el ordenamiento constitucional reformado y no obstante a ello, específicamente en materia de violencia política en razón de </w:t>
      </w:r>
      <w:r w:rsidRPr="00EF2AFA">
        <w:rPr>
          <w:rFonts w:ascii="Arial" w:hAnsi="Arial" w:cs="Arial"/>
          <w:sz w:val="23"/>
          <w:szCs w:val="23"/>
        </w:rPr>
        <w:t>género</w:t>
      </w:r>
      <w:r w:rsidR="003D2C88" w:rsidRPr="00EF2AFA">
        <w:rPr>
          <w:rFonts w:ascii="Arial" w:hAnsi="Arial" w:cs="Arial"/>
          <w:sz w:val="23"/>
          <w:szCs w:val="23"/>
        </w:rPr>
        <w:t xml:space="preserve"> debe también encontrarse vigente la respectiva condena, supuestos de los cuales tanto el federal como el local dispuso que ante la presencia de estos, la persona no podrá ser registrada como candidata para cualquier cargo de elección popular, ni ser nombrada para empleo, cargo o comisión en el servicio público.</w:t>
      </w:r>
    </w:p>
    <w:p w14:paraId="6E337E3E" w14:textId="77777777" w:rsidR="00763E38" w:rsidRPr="00EF2AFA" w:rsidRDefault="00763E38" w:rsidP="00763E38">
      <w:pPr>
        <w:rPr>
          <w:rFonts w:ascii="Arial" w:hAnsi="Arial" w:cs="Arial"/>
          <w:sz w:val="23"/>
          <w:szCs w:val="23"/>
        </w:rPr>
      </w:pPr>
      <w:r w:rsidRPr="00EF2AFA">
        <w:rPr>
          <w:rFonts w:ascii="Arial" w:hAnsi="Arial" w:cs="Arial"/>
          <w:sz w:val="23"/>
          <w:szCs w:val="23"/>
        </w:rPr>
        <w:t>Por otra parte, el Tribunal Local determinó que el escrito de manifestación bajo protesta de d</w:t>
      </w:r>
      <w:r w:rsidR="00F730D3" w:rsidRPr="00EF2AFA">
        <w:rPr>
          <w:rFonts w:ascii="Arial" w:hAnsi="Arial" w:cs="Arial"/>
          <w:sz w:val="23"/>
          <w:szCs w:val="23"/>
        </w:rPr>
        <w:t xml:space="preserve">ecir verdad </w:t>
      </w:r>
      <w:r w:rsidRPr="00EF2AFA">
        <w:rPr>
          <w:rFonts w:ascii="Arial" w:hAnsi="Arial" w:cs="Arial"/>
          <w:sz w:val="23"/>
          <w:szCs w:val="23"/>
        </w:rPr>
        <w:t>de las personas aspirantes para este Proceso Electoral es suficiente en tanto que, mientras no se cuente con una constancia idónea emitida por autoridad competente que avale no estar condenado con sentencia firme y vigente por alguno de los supuestos previstos en la multicitada fracción VII del artículo 38, ello constituye un requisito de elegibilidad formulado en sentido negativo que, conforme a los criterios la propia Sala Superior, en principio, deben presumirse satisfechos y, en todo caso, corresponderá a quien afirme que no se satisface alguno de ellos, el aportar los medios de convicción suficientes para demostrar tal circunstancia</w:t>
      </w:r>
      <w:r w:rsidRPr="00EF2AFA">
        <w:rPr>
          <w:rStyle w:val="Refdenotaalpie"/>
          <w:rFonts w:ascii="Arial" w:hAnsi="Arial" w:cs="Arial"/>
          <w:sz w:val="23"/>
          <w:szCs w:val="23"/>
          <w:lang w:val="es-ES"/>
        </w:rPr>
        <w:footnoteReference w:id="1"/>
      </w:r>
      <w:r w:rsidRPr="00EF2AFA">
        <w:rPr>
          <w:rFonts w:ascii="Arial" w:hAnsi="Arial" w:cs="Arial"/>
          <w:sz w:val="23"/>
          <w:szCs w:val="23"/>
        </w:rPr>
        <w:t>.</w:t>
      </w:r>
    </w:p>
    <w:p w14:paraId="487EFC92" w14:textId="77777777" w:rsidR="00147157" w:rsidRPr="00EF2AFA" w:rsidRDefault="0093365B" w:rsidP="003D2C88">
      <w:pPr>
        <w:rPr>
          <w:rFonts w:ascii="Arial" w:hAnsi="Arial" w:cs="Arial"/>
          <w:sz w:val="23"/>
          <w:szCs w:val="23"/>
        </w:rPr>
      </w:pPr>
      <w:r w:rsidRPr="00EF2AFA">
        <w:rPr>
          <w:rFonts w:ascii="Arial" w:hAnsi="Arial" w:cs="Arial"/>
          <w:sz w:val="23"/>
          <w:szCs w:val="23"/>
        </w:rPr>
        <w:t>Asimismo, el Tribunal Local agregó que, los artículos 188 y 190 de la Ley Electoral establecen con precisión los plazos en los que debe ajustarse este Instituto para el trámite de un determinado registro a una candidatura</w:t>
      </w:r>
      <w:r w:rsidR="00147157" w:rsidRPr="00EF2AFA">
        <w:rPr>
          <w:rFonts w:ascii="Arial" w:hAnsi="Arial" w:cs="Arial"/>
          <w:sz w:val="23"/>
          <w:szCs w:val="23"/>
        </w:rPr>
        <w:t xml:space="preserve">, destacando que los dos diversos momentos para impugnar la elegibilidad de una persona candidata se refieren a ocasiones concretas y distintas en las que se puede plantear dicho evento por causas también distintas, mas no a dos oportunidades para combatir la elegibilidad por las mismas razones, en forma tal que la segunda constituya un mero replanteamiento de lo que antes ya fue impugnado, analizado y resuelto, pues ello atentaría en contra de la certeza y la seguridad jurídica, así como del principio de </w:t>
      </w:r>
      <w:proofErr w:type="spellStart"/>
      <w:r w:rsidR="00147157" w:rsidRPr="00EF2AFA">
        <w:rPr>
          <w:rFonts w:ascii="Arial" w:hAnsi="Arial" w:cs="Arial"/>
          <w:sz w:val="23"/>
          <w:szCs w:val="23"/>
        </w:rPr>
        <w:t>definitividad</w:t>
      </w:r>
      <w:proofErr w:type="spellEnd"/>
      <w:r w:rsidR="00147157" w:rsidRPr="00EF2AFA">
        <w:rPr>
          <w:rFonts w:ascii="Arial" w:hAnsi="Arial" w:cs="Arial"/>
          <w:sz w:val="23"/>
          <w:szCs w:val="23"/>
        </w:rPr>
        <w:t xml:space="preserve"> de las etapas de los procesos electorales previsto en los artículos 41, fracción IV, y 116, fracción IV, inciso e), de la Constitución Política de los Estados Unidos Mexicanos.</w:t>
      </w:r>
    </w:p>
    <w:p w14:paraId="4AAC442E" w14:textId="77777777" w:rsidR="002944AC" w:rsidRPr="00EF2AFA" w:rsidRDefault="002944AC" w:rsidP="003D2C88">
      <w:pPr>
        <w:rPr>
          <w:rFonts w:ascii="Arial" w:hAnsi="Arial" w:cs="Arial"/>
          <w:sz w:val="23"/>
          <w:szCs w:val="23"/>
        </w:rPr>
      </w:pPr>
      <w:r w:rsidRPr="00EF2AFA">
        <w:rPr>
          <w:rFonts w:ascii="Arial" w:hAnsi="Arial" w:cs="Arial"/>
          <w:sz w:val="23"/>
          <w:szCs w:val="23"/>
        </w:rPr>
        <w:t>Además, en el caso de las personas deudoras alimentarias morosas, el Tribunal Local determinó que, ante la falta del Registro Nacional de Obligaciones Alimentarias que exige el artículo 135 Bis de la Ley General de los Derechos de Niñas, Niños y Adolescentes, para el presente Proceso Electoral, la constancia atinente no puede ser exigida en este proceso electoral, por lo que éste requisito se debe tener por satisfecho con la sola manifestación de buena fe de las y los aspirantes a no encontrarse involucrados en la hipótesis de no ser deudora alimentaria única.</w:t>
      </w:r>
    </w:p>
    <w:p w14:paraId="4DC07C11" w14:textId="77777777" w:rsidR="00C711FB" w:rsidRPr="00EF2AFA" w:rsidRDefault="00387786" w:rsidP="00763E38">
      <w:pPr>
        <w:rPr>
          <w:rFonts w:ascii="Arial" w:hAnsi="Arial" w:cs="Arial"/>
          <w:sz w:val="23"/>
          <w:szCs w:val="23"/>
        </w:rPr>
      </w:pPr>
      <w:r w:rsidRPr="00EF2AFA">
        <w:rPr>
          <w:rFonts w:ascii="Arial" w:hAnsi="Arial" w:cs="Arial"/>
          <w:sz w:val="23"/>
          <w:szCs w:val="23"/>
        </w:rPr>
        <w:t>En ese contexto</w:t>
      </w:r>
      <w:r w:rsidR="00763E38" w:rsidRPr="00EF2AFA">
        <w:rPr>
          <w:rFonts w:ascii="Arial" w:hAnsi="Arial" w:cs="Arial"/>
          <w:sz w:val="23"/>
          <w:szCs w:val="23"/>
        </w:rPr>
        <w:t xml:space="preserve">, </w:t>
      </w:r>
      <w:r w:rsidR="00C711FB" w:rsidRPr="00EF2AFA">
        <w:rPr>
          <w:rFonts w:ascii="Arial" w:hAnsi="Arial" w:cs="Arial"/>
          <w:sz w:val="23"/>
          <w:szCs w:val="23"/>
        </w:rPr>
        <w:t xml:space="preserve">de conformidad con el considerando séptimo de la sentencia emitida </w:t>
      </w:r>
      <w:r w:rsidR="00BC3D8F" w:rsidRPr="00EF2AFA">
        <w:rPr>
          <w:rFonts w:ascii="Arial" w:hAnsi="Arial" w:cs="Arial"/>
          <w:sz w:val="23"/>
          <w:szCs w:val="23"/>
        </w:rPr>
        <w:t xml:space="preserve">por el órgano jurisdiccional, </w:t>
      </w:r>
      <w:r w:rsidR="00C711FB" w:rsidRPr="00EF2AFA">
        <w:rPr>
          <w:rFonts w:ascii="Arial" w:hAnsi="Arial" w:cs="Arial"/>
          <w:sz w:val="23"/>
          <w:szCs w:val="23"/>
        </w:rPr>
        <w:t>el Consejo Estatal, en ejercicio de sus atribuciones y en</w:t>
      </w:r>
      <w:r w:rsidR="00C36F5B" w:rsidRPr="00EF2AFA">
        <w:rPr>
          <w:rFonts w:ascii="Arial" w:hAnsi="Arial" w:cs="Arial"/>
          <w:sz w:val="23"/>
          <w:szCs w:val="23"/>
        </w:rPr>
        <w:t xml:space="preserve"> un plazo máximo de cinco días </w:t>
      </w:r>
      <w:r w:rsidR="00C711FB" w:rsidRPr="00EF2AFA">
        <w:rPr>
          <w:rFonts w:ascii="Arial" w:hAnsi="Arial" w:cs="Arial"/>
          <w:sz w:val="23"/>
          <w:szCs w:val="23"/>
        </w:rPr>
        <w:t xml:space="preserve">contados a partir del día siguiente de la notificación de la sentencia, deberá emitir un nuevo acuerdo, en el que se contemplen las siguientes reglas: </w:t>
      </w:r>
    </w:p>
    <w:p w14:paraId="6C646C78" w14:textId="77777777" w:rsidR="00C711FB" w:rsidRPr="00EF2AFA" w:rsidRDefault="00C711FB" w:rsidP="00313E50">
      <w:pPr>
        <w:pStyle w:val="Prrafodelista"/>
        <w:numPr>
          <w:ilvl w:val="0"/>
          <w:numId w:val="5"/>
        </w:numPr>
        <w:spacing w:before="240" w:after="240"/>
        <w:ind w:left="510" w:hanging="510"/>
        <w:contextualSpacing w:val="0"/>
        <w:jc w:val="both"/>
        <w:rPr>
          <w:rFonts w:ascii="Arial" w:hAnsi="Arial" w:cs="Arial"/>
          <w:sz w:val="23"/>
          <w:szCs w:val="23"/>
        </w:rPr>
      </w:pPr>
      <w:r w:rsidRPr="00EF2AFA">
        <w:rPr>
          <w:rFonts w:ascii="Arial" w:hAnsi="Arial" w:cs="Arial"/>
          <w:sz w:val="23"/>
          <w:szCs w:val="23"/>
        </w:rPr>
        <w:t xml:space="preserve">Establecer que la suspensión de derechos o prerrogativas ciudadanas aplicará única y exclusivamente lo que se encuentra previsto en el artículo 38 fracción VII de la Constitución Federal; </w:t>
      </w:r>
    </w:p>
    <w:p w14:paraId="63A21EB1" w14:textId="77777777" w:rsidR="00C711FB" w:rsidRPr="00EF2AFA" w:rsidRDefault="00C711FB" w:rsidP="00313E50">
      <w:pPr>
        <w:pStyle w:val="Prrafodelista"/>
        <w:numPr>
          <w:ilvl w:val="0"/>
          <w:numId w:val="5"/>
        </w:numPr>
        <w:spacing w:before="240" w:after="240"/>
        <w:ind w:left="510" w:hanging="510"/>
        <w:contextualSpacing w:val="0"/>
        <w:jc w:val="both"/>
        <w:rPr>
          <w:rFonts w:ascii="Arial" w:hAnsi="Arial" w:cs="Arial"/>
          <w:sz w:val="23"/>
          <w:szCs w:val="23"/>
        </w:rPr>
      </w:pPr>
      <w:r w:rsidRPr="00EF2AFA">
        <w:rPr>
          <w:rFonts w:ascii="Arial" w:hAnsi="Arial" w:cs="Arial"/>
          <w:sz w:val="23"/>
          <w:szCs w:val="23"/>
        </w:rPr>
        <w:t>La verificación de los requisitos que se realicen a la solicitud de registros de candidaturas se ajustará estrictamente a los plazos previstos en el artículo 190 de la Ley Electoral; y</w:t>
      </w:r>
    </w:p>
    <w:p w14:paraId="5D806A1B" w14:textId="77777777" w:rsidR="00C711FB" w:rsidRPr="00EF2AFA" w:rsidRDefault="00C711FB" w:rsidP="00313E50">
      <w:pPr>
        <w:pStyle w:val="Prrafodelista"/>
        <w:numPr>
          <w:ilvl w:val="0"/>
          <w:numId w:val="5"/>
        </w:numPr>
        <w:spacing w:before="240" w:after="240"/>
        <w:ind w:left="510" w:hanging="510"/>
        <w:contextualSpacing w:val="0"/>
        <w:jc w:val="both"/>
        <w:rPr>
          <w:rFonts w:ascii="Arial" w:hAnsi="Arial" w:cs="Arial"/>
          <w:sz w:val="23"/>
          <w:szCs w:val="23"/>
        </w:rPr>
      </w:pPr>
      <w:r w:rsidRPr="00EF2AFA">
        <w:rPr>
          <w:rFonts w:ascii="Arial" w:hAnsi="Arial" w:cs="Arial"/>
          <w:sz w:val="23"/>
          <w:szCs w:val="23"/>
        </w:rPr>
        <w:t>Para el presente proceso electoral, en atención a los supuestos previstos en el artículo 38 fracción VII de la Constitución Federal las y los aspirantes a una candidatura podrán satisfacer mediante una manifestación bajo protesta o de buena fe de no encontrarse involucrados en las hipótesis señaladas en el citado artículo.</w:t>
      </w:r>
    </w:p>
    <w:p w14:paraId="227366AD" w14:textId="77777777" w:rsidR="00387786" w:rsidRPr="00EF2AFA" w:rsidRDefault="00387786" w:rsidP="00387786">
      <w:pPr>
        <w:rPr>
          <w:rFonts w:ascii="Arial" w:hAnsi="Arial" w:cs="Arial"/>
          <w:sz w:val="23"/>
          <w:szCs w:val="23"/>
        </w:rPr>
      </w:pPr>
      <w:r w:rsidRPr="00EF2AFA">
        <w:rPr>
          <w:rFonts w:ascii="Arial" w:hAnsi="Arial" w:cs="Arial"/>
          <w:sz w:val="23"/>
          <w:szCs w:val="23"/>
        </w:rPr>
        <w:t>Sobre la base de las consideraciones señaladas, este Consejo Estatal emite el siguiente:</w:t>
      </w:r>
    </w:p>
    <w:p w14:paraId="4036BEA8" w14:textId="77777777" w:rsidR="00387786" w:rsidRPr="0049597E" w:rsidRDefault="00387786" w:rsidP="009E2A99">
      <w:pPr>
        <w:pStyle w:val="Ttulo1"/>
      </w:pPr>
      <w:r w:rsidRPr="0049597E">
        <w:t>Acuerdo</w:t>
      </w:r>
    </w:p>
    <w:p w14:paraId="0F3D1BA2" w14:textId="77777777" w:rsidR="00DE4C96" w:rsidRPr="00EF2AFA" w:rsidRDefault="00387786" w:rsidP="00DE4C96">
      <w:pPr>
        <w:rPr>
          <w:rFonts w:ascii="Arial" w:hAnsi="Arial" w:cs="Arial"/>
          <w:sz w:val="23"/>
          <w:szCs w:val="23"/>
        </w:rPr>
      </w:pPr>
      <w:r w:rsidRPr="0049597E">
        <w:rPr>
          <w:rFonts w:ascii="Arial" w:hAnsi="Arial" w:cs="Arial"/>
          <w:b/>
          <w:bCs/>
          <w:sz w:val="23"/>
          <w:szCs w:val="23"/>
        </w:rPr>
        <w:t>Primero.</w:t>
      </w:r>
      <w:r w:rsidRPr="0049597E">
        <w:rPr>
          <w:rFonts w:ascii="Arial" w:hAnsi="Arial" w:cs="Arial"/>
          <w:sz w:val="23"/>
          <w:szCs w:val="23"/>
        </w:rPr>
        <w:t xml:space="preserve"> </w:t>
      </w:r>
      <w:r w:rsidR="007063FF" w:rsidRPr="0049597E">
        <w:rPr>
          <w:rFonts w:ascii="Arial" w:hAnsi="Arial" w:cs="Arial"/>
          <w:sz w:val="23"/>
          <w:szCs w:val="23"/>
        </w:rPr>
        <w:t xml:space="preserve">En cumplimiento a </w:t>
      </w:r>
      <w:r w:rsidRPr="0049597E">
        <w:rPr>
          <w:rFonts w:ascii="Arial" w:hAnsi="Arial" w:cs="Arial"/>
          <w:sz w:val="23"/>
          <w:szCs w:val="23"/>
        </w:rPr>
        <w:t xml:space="preserve">la sentencia </w:t>
      </w:r>
      <w:r w:rsidR="007063FF" w:rsidRPr="0049597E">
        <w:rPr>
          <w:rFonts w:ascii="Arial" w:hAnsi="Arial" w:cs="Arial"/>
          <w:sz w:val="23"/>
          <w:szCs w:val="23"/>
        </w:rPr>
        <w:t xml:space="preserve">de 30 de noviembre de la presente anualidad, </w:t>
      </w:r>
      <w:r w:rsidR="007063FF" w:rsidRPr="00EF2AFA">
        <w:rPr>
          <w:rFonts w:ascii="Arial" w:hAnsi="Arial" w:cs="Arial"/>
          <w:sz w:val="23"/>
          <w:szCs w:val="23"/>
        </w:rPr>
        <w:t xml:space="preserve">emitida por el Tribunal Electoral de Tabasco en el recurso de apelación TET-AP-18/2023-III se </w:t>
      </w:r>
      <w:r w:rsidRPr="00EF2AFA">
        <w:rPr>
          <w:rFonts w:ascii="Arial" w:hAnsi="Arial" w:cs="Arial"/>
          <w:sz w:val="23"/>
          <w:szCs w:val="23"/>
        </w:rPr>
        <w:t xml:space="preserve">establece que, </w:t>
      </w:r>
      <w:r w:rsidR="00DE4C96" w:rsidRPr="00EF2AFA">
        <w:rPr>
          <w:rFonts w:ascii="Arial" w:hAnsi="Arial" w:cs="Arial"/>
          <w:sz w:val="23"/>
          <w:szCs w:val="23"/>
        </w:rPr>
        <w:t>la suspensión de derechos o prerrogativas ciudadanas de las personas que se postulen a un cargo de elección popular con motivo del Proceso Electoral Local Ordinario 2023-2024 aplicará única y exclusivamente cuando se actualice cualquiera de los supuestos determinados en la fracción VII del artículo 38 de la Constitución Federal.</w:t>
      </w:r>
    </w:p>
    <w:p w14:paraId="3659DF35" w14:textId="77777777" w:rsidR="00387786" w:rsidRPr="00EF2AFA" w:rsidRDefault="00DE4C96" w:rsidP="00DE4C96">
      <w:pPr>
        <w:rPr>
          <w:rFonts w:ascii="Arial" w:hAnsi="Arial" w:cs="Arial"/>
          <w:sz w:val="23"/>
          <w:szCs w:val="23"/>
        </w:rPr>
      </w:pPr>
      <w:r w:rsidRPr="00EF2AFA">
        <w:rPr>
          <w:rFonts w:ascii="Arial" w:hAnsi="Arial" w:cs="Arial"/>
          <w:b/>
          <w:sz w:val="23"/>
          <w:szCs w:val="23"/>
        </w:rPr>
        <w:t xml:space="preserve">Segundo. </w:t>
      </w:r>
      <w:r w:rsidR="00387786" w:rsidRPr="00EF2AFA">
        <w:rPr>
          <w:rFonts w:ascii="Arial" w:hAnsi="Arial" w:cs="Arial"/>
          <w:sz w:val="23"/>
          <w:szCs w:val="23"/>
        </w:rPr>
        <w:t>La verificación de los requisitos que se realicen a la</w:t>
      </w:r>
      <w:r w:rsidR="00CD7B60" w:rsidRPr="00EF2AFA">
        <w:rPr>
          <w:rFonts w:ascii="Arial" w:hAnsi="Arial" w:cs="Arial"/>
          <w:sz w:val="23"/>
          <w:szCs w:val="23"/>
        </w:rPr>
        <w:t>s</w:t>
      </w:r>
      <w:r w:rsidR="00387786" w:rsidRPr="00EF2AFA">
        <w:rPr>
          <w:rFonts w:ascii="Arial" w:hAnsi="Arial" w:cs="Arial"/>
          <w:sz w:val="23"/>
          <w:szCs w:val="23"/>
        </w:rPr>
        <w:t xml:space="preserve"> solicitud</w:t>
      </w:r>
      <w:r w:rsidR="00CD7B60" w:rsidRPr="00EF2AFA">
        <w:rPr>
          <w:rFonts w:ascii="Arial" w:hAnsi="Arial" w:cs="Arial"/>
          <w:sz w:val="23"/>
          <w:szCs w:val="23"/>
        </w:rPr>
        <w:t>es</w:t>
      </w:r>
      <w:r w:rsidR="00387786" w:rsidRPr="00EF2AFA">
        <w:rPr>
          <w:rFonts w:ascii="Arial" w:hAnsi="Arial" w:cs="Arial"/>
          <w:sz w:val="23"/>
          <w:szCs w:val="23"/>
        </w:rPr>
        <w:t xml:space="preserve"> de registros de candidaturas se ajustará estrictamente a los plazos previstos en el art</w:t>
      </w:r>
      <w:r w:rsidR="00CF138A" w:rsidRPr="00EF2AFA">
        <w:rPr>
          <w:rFonts w:ascii="Arial" w:hAnsi="Arial" w:cs="Arial"/>
          <w:sz w:val="23"/>
          <w:szCs w:val="23"/>
        </w:rPr>
        <w:t>ículo 190 de la Ley Electoral.</w:t>
      </w:r>
    </w:p>
    <w:p w14:paraId="30D4C76D" w14:textId="77777777" w:rsidR="00CF138A" w:rsidRPr="00EF2AFA" w:rsidRDefault="00CF138A" w:rsidP="00CF138A">
      <w:pPr>
        <w:rPr>
          <w:rFonts w:ascii="Arial" w:hAnsi="Arial" w:cs="Arial"/>
          <w:sz w:val="23"/>
          <w:szCs w:val="23"/>
        </w:rPr>
      </w:pPr>
      <w:r w:rsidRPr="00EF2AFA">
        <w:rPr>
          <w:rFonts w:ascii="Arial" w:hAnsi="Arial" w:cs="Arial"/>
          <w:b/>
          <w:sz w:val="23"/>
          <w:szCs w:val="23"/>
        </w:rPr>
        <w:t>Tercero.</w:t>
      </w:r>
      <w:r w:rsidRPr="00EF2AFA">
        <w:rPr>
          <w:rFonts w:ascii="Arial" w:hAnsi="Arial" w:cs="Arial"/>
          <w:sz w:val="23"/>
          <w:szCs w:val="23"/>
        </w:rPr>
        <w:t xml:space="preserve"> Las personas que aspiren a una candidatura a un cargo de elección popular con motivo del Proceso Electoral Local Ordinario 2023-2024, para acreditar que no se ubican en alguno de los supuestos de la fracción VII del artículo 38 de la Constitución Federal, deberán presentar un escrito por el que manifiesten bajo protesta o de buena fe que no se encuentran el alguna de las hipótesis señaladas en el citado a</w:t>
      </w:r>
      <w:r w:rsidR="00AD638F" w:rsidRPr="00EF2AFA">
        <w:rPr>
          <w:rFonts w:ascii="Arial" w:hAnsi="Arial" w:cs="Arial"/>
          <w:sz w:val="23"/>
          <w:szCs w:val="23"/>
        </w:rPr>
        <w:t>rtículo, es decir, que</w:t>
      </w:r>
      <w:r w:rsidRPr="00EF2AFA">
        <w:rPr>
          <w:rFonts w:ascii="Arial" w:hAnsi="Arial" w:cs="Arial"/>
          <w:sz w:val="23"/>
          <w:szCs w:val="23"/>
        </w:rPr>
        <w:t xml:space="preserve"> </w:t>
      </w:r>
      <w:r w:rsidR="00AD638F" w:rsidRPr="00EF2AFA">
        <w:rPr>
          <w:rFonts w:ascii="Arial" w:hAnsi="Arial" w:cs="Arial"/>
          <w:sz w:val="23"/>
          <w:szCs w:val="23"/>
        </w:rPr>
        <w:t>no han sido condenadas o sancionadas mediante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haber sido declarada persona deudora alimentaria morosa.</w:t>
      </w:r>
    </w:p>
    <w:p w14:paraId="6DF36BE6" w14:textId="77777777" w:rsidR="00C6738F" w:rsidRPr="00EF2AFA" w:rsidRDefault="00C6738F" w:rsidP="00C6738F">
      <w:pPr>
        <w:rPr>
          <w:rFonts w:ascii="Arial" w:hAnsi="Arial" w:cs="Arial"/>
          <w:sz w:val="23"/>
          <w:szCs w:val="23"/>
        </w:rPr>
      </w:pPr>
      <w:r w:rsidRPr="00EF2AFA">
        <w:rPr>
          <w:rFonts w:ascii="Arial" w:hAnsi="Arial" w:cs="Arial"/>
          <w:b/>
          <w:sz w:val="23"/>
          <w:szCs w:val="23"/>
        </w:rPr>
        <w:t xml:space="preserve">Cuarto. </w:t>
      </w:r>
      <w:r w:rsidRPr="00EF2AFA">
        <w:rPr>
          <w:rFonts w:ascii="Arial" w:hAnsi="Arial" w:cs="Arial"/>
          <w:sz w:val="23"/>
          <w:szCs w:val="23"/>
        </w:rPr>
        <w:t>Se instruye a la Secretaría Ejecutiva para que, dentro del plazo establecido por el Tribunal Electoral de Tabasco, remita copia certificada del presente acuerdo, para los efectos legales correspondientes.</w:t>
      </w:r>
    </w:p>
    <w:p w14:paraId="2E7F4573" w14:textId="77777777" w:rsidR="00C6738F" w:rsidRPr="00EF2AFA" w:rsidRDefault="00C6738F" w:rsidP="00C6738F">
      <w:pPr>
        <w:rPr>
          <w:rFonts w:ascii="Arial" w:hAnsi="Arial" w:cs="Arial"/>
          <w:sz w:val="23"/>
          <w:szCs w:val="23"/>
        </w:rPr>
      </w:pPr>
      <w:r w:rsidRPr="00EF2AFA">
        <w:rPr>
          <w:rFonts w:ascii="Arial" w:hAnsi="Arial" w:cs="Arial"/>
          <w:b/>
          <w:sz w:val="23"/>
          <w:szCs w:val="23"/>
        </w:rPr>
        <w:t>Quinto.</w:t>
      </w:r>
      <w:r w:rsidRPr="00EF2AFA">
        <w:rPr>
          <w:rFonts w:ascii="Arial" w:hAnsi="Arial" w:cs="Arial"/>
          <w:sz w:val="23"/>
          <w:szCs w:val="23"/>
        </w:rPr>
        <w:t xml:space="preserve"> Asimismo, se instruye a la Secretaría Ejecutiva para que, por conducto de la Coordinación de Vinculación con el INE notifique el presente acuerdo al citado organismo nacional, a través de su Unidad Técnica de Vinculación con los Organismos Públicos Locales, para los efectos correspondientes.</w:t>
      </w:r>
    </w:p>
    <w:p w14:paraId="63982005" w14:textId="77777777" w:rsidR="00C6738F" w:rsidRPr="00EF2AFA" w:rsidRDefault="00063457" w:rsidP="00C6738F">
      <w:pPr>
        <w:rPr>
          <w:rFonts w:ascii="Arial" w:hAnsi="Arial" w:cs="Arial"/>
          <w:sz w:val="23"/>
          <w:szCs w:val="23"/>
        </w:rPr>
      </w:pPr>
      <w:r w:rsidRPr="00EF2AFA">
        <w:rPr>
          <w:rFonts w:ascii="Arial" w:hAnsi="Arial" w:cs="Arial"/>
          <w:b/>
          <w:bCs/>
          <w:sz w:val="23"/>
          <w:szCs w:val="23"/>
        </w:rPr>
        <w:t>Sexto</w:t>
      </w:r>
      <w:r w:rsidR="00C6738F" w:rsidRPr="00EF2AFA">
        <w:rPr>
          <w:rFonts w:ascii="Arial" w:hAnsi="Arial" w:cs="Arial"/>
          <w:b/>
          <w:bCs/>
          <w:sz w:val="23"/>
          <w:szCs w:val="23"/>
        </w:rPr>
        <w:t>.</w:t>
      </w:r>
      <w:r w:rsidR="00C6738F" w:rsidRPr="00EF2AFA">
        <w:rPr>
          <w:rFonts w:ascii="Arial" w:hAnsi="Arial" w:cs="Arial"/>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5E115873" w14:textId="4FAB500D" w:rsidR="00C6738F" w:rsidRPr="00EF2AFA" w:rsidRDefault="00C6738F" w:rsidP="00C6738F">
      <w:pPr>
        <w:rPr>
          <w:rFonts w:ascii="Arial" w:hAnsi="Arial" w:cs="Arial"/>
          <w:sz w:val="23"/>
          <w:szCs w:val="23"/>
        </w:rPr>
      </w:pPr>
      <w:r w:rsidRPr="00EF2AFA">
        <w:rPr>
          <w:rFonts w:ascii="Arial" w:hAnsi="Arial" w:cs="Arial"/>
          <w:sz w:val="23"/>
          <w:szCs w:val="23"/>
        </w:rPr>
        <w:t xml:space="preserve">El presente acuerdo fue </w:t>
      </w:r>
      <w:r w:rsidR="008A5905" w:rsidRPr="00EF2AFA">
        <w:rPr>
          <w:rFonts w:ascii="Arial" w:hAnsi="Arial" w:cs="Arial"/>
          <w:sz w:val="23"/>
          <w:szCs w:val="23"/>
        </w:rPr>
        <w:t xml:space="preserve">aprobado </w:t>
      </w:r>
      <w:r w:rsidRPr="00EF2AFA">
        <w:rPr>
          <w:rFonts w:ascii="Arial" w:hAnsi="Arial" w:cs="Arial"/>
          <w:sz w:val="23"/>
          <w:szCs w:val="23"/>
        </w:rPr>
        <w:t>en sesión</w:t>
      </w:r>
      <w:r w:rsidR="008A5905" w:rsidRPr="00EF2AFA">
        <w:rPr>
          <w:rFonts w:ascii="Arial" w:hAnsi="Arial" w:cs="Arial"/>
          <w:sz w:val="23"/>
          <w:szCs w:val="23"/>
        </w:rPr>
        <w:t xml:space="preserve"> extraordinaria </w:t>
      </w:r>
      <w:r w:rsidRPr="00EF2AFA">
        <w:rPr>
          <w:rFonts w:ascii="Arial" w:hAnsi="Arial" w:cs="Arial"/>
          <w:sz w:val="23"/>
          <w:szCs w:val="23"/>
        </w:rPr>
        <w:t xml:space="preserve">efectuada el </w:t>
      </w:r>
      <w:r w:rsidR="008A5905" w:rsidRPr="00EF2AFA">
        <w:rPr>
          <w:rFonts w:ascii="Arial" w:hAnsi="Arial" w:cs="Arial"/>
          <w:sz w:val="23"/>
          <w:szCs w:val="23"/>
        </w:rPr>
        <w:t>seis</w:t>
      </w:r>
      <w:r w:rsidRPr="00EF2AFA">
        <w:rPr>
          <w:rFonts w:ascii="Arial" w:hAnsi="Arial" w:cs="Arial"/>
          <w:sz w:val="23"/>
          <w:szCs w:val="23"/>
        </w:rPr>
        <w:t xml:space="preserve"> de </w:t>
      </w:r>
      <w:r w:rsidR="008A5905" w:rsidRPr="00EF2AFA">
        <w:rPr>
          <w:rFonts w:ascii="Arial" w:hAnsi="Arial" w:cs="Arial"/>
          <w:sz w:val="23"/>
          <w:szCs w:val="23"/>
        </w:rPr>
        <w:t>diciembre</w:t>
      </w:r>
      <w:r w:rsidRPr="00EF2AFA">
        <w:rPr>
          <w:rFonts w:ascii="Arial" w:hAnsi="Arial" w:cs="Arial"/>
          <w:sz w:val="23"/>
          <w:szCs w:val="23"/>
        </w:rPr>
        <w:t xml:space="preserve"> del año dos mil veintitrés, por votación </w:t>
      </w:r>
      <w:r w:rsidR="008A5905" w:rsidRPr="00EF2AFA">
        <w:rPr>
          <w:rFonts w:ascii="Arial" w:hAnsi="Arial" w:cs="Arial"/>
          <w:sz w:val="23"/>
          <w:szCs w:val="23"/>
        </w:rPr>
        <w:t xml:space="preserve">unánime </w:t>
      </w:r>
      <w:r w:rsidRPr="00EF2AFA">
        <w:rPr>
          <w:rFonts w:ascii="Arial" w:hAnsi="Arial" w:cs="Arial"/>
          <w:sz w:val="23"/>
          <w:szCs w:val="23"/>
        </w:rPr>
        <w:t xml:space="preserve">de las y los Consejeros Electorales del Consejo del Instituto Electoral y de Participación Ciudadana de Tabasco: </w:t>
      </w:r>
      <w:r w:rsidR="00063457" w:rsidRPr="00EF2AFA">
        <w:rPr>
          <w:rFonts w:ascii="Arial" w:hAnsi="Arial" w:cs="Arial"/>
          <w:sz w:val="23"/>
          <w:szCs w:val="23"/>
        </w:rPr>
        <w:t>Dra</w:t>
      </w:r>
      <w:r w:rsidRPr="00EF2AFA">
        <w:rPr>
          <w:rFonts w:ascii="Arial" w:hAnsi="Arial" w:cs="Arial"/>
          <w:sz w:val="23"/>
          <w:szCs w:val="23"/>
        </w:rPr>
        <w:t xml:space="preserve">. </w:t>
      </w:r>
      <w:proofErr w:type="spellStart"/>
      <w:r w:rsidRPr="00EF2AFA">
        <w:rPr>
          <w:rFonts w:ascii="Arial" w:hAnsi="Arial" w:cs="Arial"/>
          <w:sz w:val="23"/>
          <w:szCs w:val="23"/>
        </w:rPr>
        <w:t>Rosselvy</w:t>
      </w:r>
      <w:proofErr w:type="spellEnd"/>
      <w:r w:rsidRPr="00EF2AFA">
        <w:rPr>
          <w:rFonts w:ascii="Arial" w:hAnsi="Arial" w:cs="Arial"/>
          <w:sz w:val="23"/>
          <w:szCs w:val="23"/>
        </w:rPr>
        <w:t xml:space="preserve"> del Carmen Domínguez Arévalo, Licda. María Elvia Magaña Sandoval, Mtro. Juan Correa López, M.D. Víctor Humberto Mejía Naranjo, Lic. Hernán González Sala, Lic. Vladimir Hernández Venegas y la Consejera Presidenta, Mtra. Elizabeth Nava Gutiérrez.</w:t>
      </w:r>
    </w:p>
    <w:p w14:paraId="5A7B1E8D" w14:textId="77777777" w:rsidR="00C6738F" w:rsidRPr="00EF2AFA" w:rsidRDefault="003408DE" w:rsidP="003408DE">
      <w:pPr>
        <w:tabs>
          <w:tab w:val="left" w:pos="6298"/>
        </w:tabs>
        <w:rPr>
          <w:rFonts w:ascii="Arial" w:hAnsi="Arial" w:cs="Arial"/>
          <w:sz w:val="23"/>
          <w:szCs w:val="23"/>
        </w:rPr>
      </w:pPr>
      <w:r w:rsidRPr="00EF2AFA">
        <w:rPr>
          <w:rFonts w:ascii="Arial" w:hAnsi="Arial" w:cs="Arial"/>
          <w:sz w:val="23"/>
          <w:szCs w:val="23"/>
        </w:rPr>
        <w:tab/>
      </w:r>
      <w:bookmarkStart w:id="0" w:name="_GoBack"/>
      <w:bookmarkEnd w:id="0"/>
    </w:p>
    <w:p w14:paraId="404FDAD8" w14:textId="77777777" w:rsidR="00C6738F" w:rsidRPr="00EF2AFA" w:rsidRDefault="00C6738F" w:rsidP="00C6738F">
      <w:pPr>
        <w:rPr>
          <w:rFonts w:ascii="Arial" w:hAnsi="Arial" w:cs="Arial"/>
          <w:sz w:val="23"/>
          <w:szCs w:val="23"/>
        </w:rPr>
      </w:pPr>
    </w:p>
    <w:p w14:paraId="528B5F38" w14:textId="77777777" w:rsidR="00C6738F" w:rsidRPr="00EF2AFA" w:rsidRDefault="00C6738F" w:rsidP="00C6738F">
      <w:pPr>
        <w:rPr>
          <w:rFonts w:ascii="Arial" w:hAnsi="Arial" w:cs="Arial"/>
          <w:sz w:val="23"/>
          <w:szCs w:val="23"/>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297"/>
      </w:tblGrid>
      <w:tr w:rsidR="00C6738F" w:rsidRPr="00EF2AFA" w14:paraId="08DC831B" w14:textId="77777777" w:rsidTr="00DA0892">
        <w:tc>
          <w:tcPr>
            <w:tcW w:w="4248" w:type="dxa"/>
          </w:tcPr>
          <w:p w14:paraId="47D0BD83" w14:textId="77777777" w:rsidR="00C6738F" w:rsidRPr="00EF2AFA" w:rsidRDefault="00C6738F" w:rsidP="00DA0892">
            <w:pPr>
              <w:spacing w:before="0" w:after="0"/>
              <w:jc w:val="center"/>
              <w:rPr>
                <w:rFonts w:ascii="Arial Negrita" w:hAnsi="Arial Negrita" w:cs="Arial"/>
                <w:b/>
                <w:bCs/>
                <w:spacing w:val="-10"/>
                <w:sz w:val="23"/>
                <w:szCs w:val="23"/>
              </w:rPr>
            </w:pPr>
            <w:r w:rsidRPr="00EF2AFA">
              <w:rPr>
                <w:rFonts w:ascii="Arial Negrita" w:hAnsi="Arial Negrita" w:cs="Arial"/>
                <w:b/>
                <w:bCs/>
                <w:spacing w:val="-10"/>
                <w:sz w:val="23"/>
                <w:szCs w:val="23"/>
              </w:rPr>
              <w:t>MTRA. ELIZABETH NAVA GUTIÉRREZ</w:t>
            </w:r>
          </w:p>
          <w:p w14:paraId="2E032016" w14:textId="77777777" w:rsidR="00C6738F" w:rsidRPr="00EF2AFA" w:rsidRDefault="00C6738F" w:rsidP="00DA0892">
            <w:pPr>
              <w:spacing w:before="0" w:after="0"/>
              <w:jc w:val="center"/>
              <w:rPr>
                <w:rFonts w:ascii="Arial" w:hAnsi="Arial" w:cs="Arial"/>
                <w:b/>
                <w:bCs/>
                <w:sz w:val="23"/>
                <w:szCs w:val="23"/>
              </w:rPr>
            </w:pPr>
            <w:r w:rsidRPr="00EF2AFA">
              <w:rPr>
                <w:rFonts w:ascii="Arial Negrita" w:hAnsi="Arial Negrita" w:cs="Arial"/>
                <w:b/>
                <w:bCs/>
                <w:spacing w:val="-10"/>
                <w:sz w:val="23"/>
                <w:szCs w:val="23"/>
              </w:rPr>
              <w:t>CONSEJERA PRESIDENTA</w:t>
            </w:r>
          </w:p>
        </w:tc>
        <w:tc>
          <w:tcPr>
            <w:tcW w:w="283" w:type="dxa"/>
          </w:tcPr>
          <w:p w14:paraId="48F2A922" w14:textId="77777777" w:rsidR="00C6738F" w:rsidRPr="00EF2AFA" w:rsidRDefault="00C6738F" w:rsidP="00DA0892">
            <w:pPr>
              <w:spacing w:before="0" w:after="0"/>
              <w:rPr>
                <w:rFonts w:ascii="Arial" w:hAnsi="Arial" w:cs="Arial"/>
                <w:b/>
                <w:bCs/>
                <w:sz w:val="23"/>
                <w:szCs w:val="23"/>
              </w:rPr>
            </w:pPr>
          </w:p>
        </w:tc>
        <w:tc>
          <w:tcPr>
            <w:tcW w:w="4297" w:type="dxa"/>
          </w:tcPr>
          <w:p w14:paraId="204F5F96" w14:textId="77777777" w:rsidR="00C6738F" w:rsidRPr="00EF2AFA" w:rsidRDefault="00C6738F" w:rsidP="00DA0892">
            <w:pPr>
              <w:spacing w:before="0" w:after="0"/>
              <w:jc w:val="center"/>
              <w:rPr>
                <w:rFonts w:ascii="Arial Negrita" w:hAnsi="Arial Negrita" w:cs="Arial"/>
                <w:b/>
                <w:bCs/>
                <w:spacing w:val="-10"/>
                <w:sz w:val="23"/>
                <w:szCs w:val="23"/>
              </w:rPr>
            </w:pPr>
            <w:r w:rsidRPr="00EF2AFA">
              <w:rPr>
                <w:rFonts w:ascii="Arial Negrita" w:hAnsi="Arial Negrita" w:cs="Arial"/>
                <w:b/>
                <w:bCs/>
                <w:spacing w:val="-10"/>
                <w:sz w:val="23"/>
                <w:szCs w:val="23"/>
              </w:rPr>
              <w:t>LIC. JORGE ALBERTO ZAVALA FRÍAS</w:t>
            </w:r>
          </w:p>
          <w:p w14:paraId="2012B5FE" w14:textId="77777777" w:rsidR="00C6738F" w:rsidRPr="00EF2AFA" w:rsidRDefault="00C6738F" w:rsidP="00DA0892">
            <w:pPr>
              <w:spacing w:before="0" w:after="0"/>
              <w:jc w:val="center"/>
              <w:rPr>
                <w:rFonts w:ascii="Arial" w:hAnsi="Arial" w:cs="Arial"/>
                <w:b/>
                <w:bCs/>
                <w:sz w:val="23"/>
                <w:szCs w:val="23"/>
              </w:rPr>
            </w:pPr>
            <w:r w:rsidRPr="00EF2AFA">
              <w:rPr>
                <w:rFonts w:ascii="Arial Negrita" w:hAnsi="Arial Negrita" w:cs="Arial"/>
                <w:b/>
                <w:bCs/>
                <w:spacing w:val="-10"/>
                <w:sz w:val="23"/>
                <w:szCs w:val="23"/>
              </w:rPr>
              <w:t>SECRETARIO DEL CONSEJO</w:t>
            </w:r>
          </w:p>
        </w:tc>
      </w:tr>
    </w:tbl>
    <w:p w14:paraId="0E9E4E45" w14:textId="77777777" w:rsidR="002117E1" w:rsidRPr="00EF2AFA" w:rsidRDefault="002117E1" w:rsidP="00D23311">
      <w:pPr>
        <w:rPr>
          <w:rFonts w:ascii="Arial" w:hAnsi="Arial" w:cs="Arial"/>
          <w:sz w:val="23"/>
          <w:szCs w:val="23"/>
          <w:lang w:val="es-ES"/>
        </w:rPr>
      </w:pPr>
    </w:p>
    <w:sectPr w:rsidR="002117E1" w:rsidRPr="00EF2AFA" w:rsidSect="00172992">
      <w:headerReference w:type="default" r:id="rId7"/>
      <w:footerReference w:type="default" r:id="rId8"/>
      <w:pgSz w:w="12240" w:h="15840" w:code="1"/>
      <w:pgMar w:top="1418"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EBE9C" w14:textId="77777777" w:rsidR="009C268C" w:rsidRDefault="009C268C" w:rsidP="00763E38">
      <w:pPr>
        <w:spacing w:before="0" w:after="0" w:line="240" w:lineRule="auto"/>
      </w:pPr>
      <w:r>
        <w:separator/>
      </w:r>
    </w:p>
  </w:endnote>
  <w:endnote w:type="continuationSeparator" w:id="0">
    <w:p w14:paraId="69E6BB89" w14:textId="77777777" w:rsidR="009C268C" w:rsidRDefault="009C268C" w:rsidP="00763E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bCs/>
        <w:color w:val="993366"/>
        <w:sz w:val="20"/>
        <w:szCs w:val="20"/>
      </w:rPr>
      <w:id w:val="-1769616900"/>
      <w:docPartObj>
        <w:docPartGallery w:val="Page Numbers (Top of Page)"/>
        <w:docPartUnique/>
      </w:docPartObj>
    </w:sdtPr>
    <w:sdtEndPr/>
    <w:sdtContent>
      <w:p w14:paraId="46A14A54" w14:textId="2B6582FD" w:rsidR="00C6738F" w:rsidRPr="00143AA8" w:rsidRDefault="00C6738F" w:rsidP="00C6738F">
        <w:pPr>
          <w:pStyle w:val="Piedepgina"/>
          <w:jc w:val="right"/>
          <w:rPr>
            <w:rFonts w:ascii="Arial" w:hAnsi="Arial" w:cs="Arial"/>
            <w:b/>
            <w:bCs/>
            <w:color w:val="993366"/>
            <w:sz w:val="20"/>
            <w:szCs w:val="20"/>
          </w:rPr>
        </w:pPr>
        <w:r w:rsidRPr="00143AA8">
          <w:rPr>
            <w:rFonts w:ascii="Arial" w:hAnsi="Arial" w:cs="Arial"/>
            <w:b/>
            <w:bCs/>
            <w:color w:val="993366"/>
            <w:sz w:val="20"/>
            <w:szCs w:val="20"/>
          </w:rPr>
          <w:t xml:space="preserve">Página </w:t>
        </w:r>
        <w:r w:rsidRPr="00143AA8">
          <w:rPr>
            <w:rFonts w:ascii="Arial" w:hAnsi="Arial" w:cs="Arial"/>
            <w:b/>
            <w:bCs/>
            <w:color w:val="993366"/>
            <w:sz w:val="20"/>
            <w:szCs w:val="20"/>
          </w:rPr>
          <w:fldChar w:fldCharType="begin"/>
        </w:r>
        <w:r w:rsidRPr="00143AA8">
          <w:rPr>
            <w:rFonts w:ascii="Arial" w:hAnsi="Arial" w:cs="Arial"/>
            <w:b/>
            <w:bCs/>
            <w:color w:val="993366"/>
            <w:sz w:val="20"/>
            <w:szCs w:val="20"/>
          </w:rPr>
          <w:instrText>PAGE</w:instrText>
        </w:r>
        <w:r w:rsidRPr="00143AA8">
          <w:rPr>
            <w:rFonts w:ascii="Arial" w:hAnsi="Arial" w:cs="Arial"/>
            <w:b/>
            <w:bCs/>
            <w:color w:val="993366"/>
            <w:sz w:val="20"/>
            <w:szCs w:val="20"/>
          </w:rPr>
          <w:fldChar w:fldCharType="separate"/>
        </w:r>
        <w:r w:rsidR="00EF2AFA">
          <w:rPr>
            <w:rFonts w:ascii="Arial" w:hAnsi="Arial" w:cs="Arial"/>
            <w:b/>
            <w:bCs/>
            <w:noProof/>
            <w:color w:val="993366"/>
            <w:sz w:val="20"/>
            <w:szCs w:val="20"/>
          </w:rPr>
          <w:t>11</w:t>
        </w:r>
        <w:r w:rsidRPr="00143AA8">
          <w:rPr>
            <w:rFonts w:ascii="Arial" w:hAnsi="Arial" w:cs="Arial"/>
            <w:b/>
            <w:bCs/>
            <w:color w:val="993366"/>
            <w:sz w:val="20"/>
            <w:szCs w:val="20"/>
          </w:rPr>
          <w:fldChar w:fldCharType="end"/>
        </w:r>
        <w:r w:rsidRPr="00143AA8">
          <w:rPr>
            <w:rFonts w:ascii="Arial" w:hAnsi="Arial" w:cs="Arial"/>
            <w:b/>
            <w:bCs/>
            <w:color w:val="993366"/>
            <w:sz w:val="20"/>
            <w:szCs w:val="20"/>
          </w:rPr>
          <w:t xml:space="preserve"> de </w:t>
        </w:r>
        <w:r w:rsidRPr="00143AA8">
          <w:rPr>
            <w:rFonts w:ascii="Arial" w:hAnsi="Arial" w:cs="Arial"/>
            <w:b/>
            <w:bCs/>
            <w:color w:val="993366"/>
            <w:sz w:val="20"/>
            <w:szCs w:val="20"/>
          </w:rPr>
          <w:fldChar w:fldCharType="begin"/>
        </w:r>
        <w:r w:rsidRPr="00143AA8">
          <w:rPr>
            <w:rFonts w:ascii="Arial" w:hAnsi="Arial" w:cs="Arial"/>
            <w:b/>
            <w:bCs/>
            <w:color w:val="993366"/>
            <w:sz w:val="20"/>
            <w:szCs w:val="20"/>
          </w:rPr>
          <w:instrText>NUMPAGES</w:instrText>
        </w:r>
        <w:r w:rsidRPr="00143AA8">
          <w:rPr>
            <w:rFonts w:ascii="Arial" w:hAnsi="Arial" w:cs="Arial"/>
            <w:b/>
            <w:bCs/>
            <w:color w:val="993366"/>
            <w:sz w:val="20"/>
            <w:szCs w:val="20"/>
          </w:rPr>
          <w:fldChar w:fldCharType="separate"/>
        </w:r>
        <w:r w:rsidR="00EF2AFA">
          <w:rPr>
            <w:rFonts w:ascii="Arial" w:hAnsi="Arial" w:cs="Arial"/>
            <w:b/>
            <w:bCs/>
            <w:noProof/>
            <w:color w:val="993366"/>
            <w:sz w:val="20"/>
            <w:szCs w:val="20"/>
          </w:rPr>
          <w:t>11</w:t>
        </w:r>
        <w:r w:rsidRPr="00143AA8">
          <w:rPr>
            <w:rFonts w:ascii="Arial" w:hAnsi="Arial" w:cs="Arial"/>
            <w:b/>
            <w:bCs/>
            <w:color w:val="993366"/>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2EEE3" w14:textId="77777777" w:rsidR="009C268C" w:rsidRDefault="009C268C" w:rsidP="00763E38">
      <w:pPr>
        <w:spacing w:before="0" w:after="0" w:line="240" w:lineRule="auto"/>
      </w:pPr>
      <w:r>
        <w:separator/>
      </w:r>
    </w:p>
  </w:footnote>
  <w:footnote w:type="continuationSeparator" w:id="0">
    <w:p w14:paraId="44B61AE3" w14:textId="77777777" w:rsidR="009C268C" w:rsidRDefault="009C268C" w:rsidP="00763E38">
      <w:pPr>
        <w:spacing w:before="0" w:after="0" w:line="240" w:lineRule="auto"/>
      </w:pPr>
      <w:r>
        <w:continuationSeparator/>
      </w:r>
    </w:p>
  </w:footnote>
  <w:footnote w:id="1">
    <w:p w14:paraId="091B037B" w14:textId="77777777" w:rsidR="00763E38" w:rsidRPr="00387786" w:rsidRDefault="00763E38" w:rsidP="00387786">
      <w:pPr>
        <w:pStyle w:val="Prrafodelista"/>
        <w:tabs>
          <w:tab w:val="left" w:pos="426"/>
        </w:tabs>
        <w:spacing w:after="0" w:line="240" w:lineRule="auto"/>
        <w:ind w:left="-142"/>
        <w:jc w:val="both"/>
        <w:rPr>
          <w:rFonts w:ascii="Calibri Light" w:hAnsi="Calibri Light" w:cs="Calibri Light"/>
          <w:sz w:val="14"/>
          <w:szCs w:val="16"/>
          <w:lang w:val="es-ES"/>
        </w:rPr>
      </w:pPr>
      <w:r w:rsidRPr="00387786">
        <w:rPr>
          <w:rStyle w:val="Refdenotaalpie"/>
          <w:rFonts w:ascii="Calibri Light" w:hAnsi="Calibri Light" w:cs="Calibri Light"/>
          <w:sz w:val="14"/>
          <w:szCs w:val="16"/>
        </w:rPr>
        <w:footnoteRef/>
      </w:r>
      <w:r w:rsidRPr="00387786">
        <w:rPr>
          <w:rFonts w:ascii="Calibri Light" w:hAnsi="Calibri Light" w:cs="Calibri Light"/>
          <w:sz w:val="14"/>
          <w:szCs w:val="16"/>
        </w:rPr>
        <w:t xml:space="preserve"> Conforme a la Tesis LXXVI/2001 de rubro: </w:t>
      </w:r>
      <w:r w:rsidRPr="00387786">
        <w:rPr>
          <w:rFonts w:ascii="Calibri Light" w:hAnsi="Calibri Light" w:cs="Calibri Light"/>
          <w:b/>
          <w:bCs/>
          <w:sz w:val="14"/>
          <w:szCs w:val="16"/>
        </w:rPr>
        <w:t>ELEGIBILIDAD. CUANDO SE TRATA DE REQUISITOS DE CARÁCTER NEGATIVO, LA CARGA DE LA PRUEBA CORRESPONDE A QUIEN AFIRME NO SE SATISFACEN.</w:t>
      </w:r>
    </w:p>
    <w:p w14:paraId="6C6140A6" w14:textId="77777777" w:rsidR="00763E38" w:rsidRPr="00387786" w:rsidRDefault="00763E38" w:rsidP="00387786">
      <w:pPr>
        <w:pStyle w:val="Textonotapie"/>
        <w:rPr>
          <w:rFonts w:ascii="Calibri Light" w:hAnsi="Calibri Light" w:cs="Calibri Light"/>
          <w:sz w:val="14"/>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C6738F" w:rsidRPr="00063338" w14:paraId="58482AF7" w14:textId="77777777" w:rsidTr="00DA0892">
      <w:tc>
        <w:tcPr>
          <w:tcW w:w="1418" w:type="dxa"/>
        </w:tcPr>
        <w:p w14:paraId="72D8C92E" w14:textId="77777777" w:rsidR="00C6738F" w:rsidRPr="00063338" w:rsidRDefault="00C6738F" w:rsidP="00C6738F">
          <w:pPr>
            <w:pStyle w:val="Encabezado"/>
            <w:ind w:left="-170"/>
          </w:pPr>
          <w:r>
            <w:rPr>
              <w:b/>
              <w:noProof/>
              <w:sz w:val="32"/>
              <w:lang w:eastAsia="es-MX"/>
            </w:rPr>
            <w:drawing>
              <wp:inline distT="0" distB="0" distL="0" distR="0" wp14:anchorId="75E58958" wp14:editId="01D2E84A">
                <wp:extent cx="1014331" cy="1199403"/>
                <wp:effectExtent l="0" t="0" r="0" b="1270"/>
                <wp:docPr id="461878847" name="Imagen 461878847"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01AAD709" w14:textId="77777777" w:rsidR="00C6738F" w:rsidRPr="00C6738F" w:rsidRDefault="00C6738F" w:rsidP="00C6738F">
          <w:pPr>
            <w:pStyle w:val="Encabezado"/>
            <w:spacing w:before="720"/>
            <w:jc w:val="center"/>
            <w:rPr>
              <w:rFonts w:ascii="Arial" w:hAnsi="Arial" w:cs="Arial"/>
              <w:b/>
              <w:bCs/>
              <w:sz w:val="25"/>
              <w:szCs w:val="25"/>
            </w:rPr>
          </w:pPr>
          <w:r w:rsidRPr="00C6738F">
            <w:rPr>
              <w:rFonts w:ascii="Arial" w:hAnsi="Arial" w:cs="Arial"/>
              <w:b/>
              <w:bCs/>
              <w:sz w:val="25"/>
              <w:szCs w:val="25"/>
            </w:rPr>
            <w:t>INSTITUTO ELECTORAL Y DE PARTICIPACIÓN CIUDADANA DE TABASCO</w:t>
          </w:r>
        </w:p>
        <w:p w14:paraId="12082859" w14:textId="77777777" w:rsidR="00C6738F" w:rsidRPr="00063338" w:rsidRDefault="00C6738F" w:rsidP="00C6738F">
          <w:pPr>
            <w:pStyle w:val="Encabezado"/>
            <w:jc w:val="center"/>
          </w:pPr>
          <w:r w:rsidRPr="00C6738F">
            <w:rPr>
              <w:rFonts w:ascii="Arial" w:hAnsi="Arial" w:cs="Arial"/>
              <w:sz w:val="26"/>
              <w:szCs w:val="26"/>
            </w:rPr>
            <w:t>CONSEJO ESTATAL</w:t>
          </w:r>
        </w:p>
      </w:tc>
      <w:tc>
        <w:tcPr>
          <w:tcW w:w="1701" w:type="dxa"/>
        </w:tcPr>
        <w:p w14:paraId="5E009B06" w14:textId="77777777" w:rsidR="00C6738F" w:rsidRPr="00063338" w:rsidRDefault="00C6738F" w:rsidP="00C6738F">
          <w:pPr>
            <w:pStyle w:val="Encabezado"/>
            <w:spacing w:before="480"/>
          </w:pPr>
          <w:r w:rsidRPr="00063338">
            <w:rPr>
              <w:noProof/>
              <w:lang w:eastAsia="es-MX"/>
            </w:rPr>
            <w:drawing>
              <wp:inline distT="0" distB="0" distL="0" distR="0" wp14:anchorId="132600FA" wp14:editId="3400431A">
                <wp:extent cx="921600" cy="756000"/>
                <wp:effectExtent l="0" t="0" r="0" b="6350"/>
                <wp:docPr id="1909815508" name="Imagen 190981550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63A5343F" w14:textId="06FAE400" w:rsidR="00C6738F" w:rsidRDefault="00EF2AFA" w:rsidP="00EF2AFA">
    <w:pPr>
      <w:pStyle w:val="Encabezado"/>
      <w:jc w:val="right"/>
      <w:rPr>
        <w:rFonts w:ascii="Arial" w:hAnsi="Arial" w:cs="Arial"/>
        <w:b/>
        <w:lang w:val="es-ES"/>
      </w:rPr>
    </w:pPr>
    <w:r w:rsidRPr="00EF2AFA">
      <w:rPr>
        <w:rFonts w:ascii="Arial" w:hAnsi="Arial" w:cs="Arial"/>
        <w:b/>
        <w:lang w:val="es-ES"/>
      </w:rPr>
      <w:t>CE/2023/053</w:t>
    </w:r>
  </w:p>
  <w:p w14:paraId="62099290" w14:textId="77777777" w:rsidR="00EF2AFA" w:rsidRPr="00EF2AFA" w:rsidRDefault="00EF2AFA" w:rsidP="00EF2AFA">
    <w:pPr>
      <w:pStyle w:val="Encabezado"/>
      <w:jc w:val="right"/>
      <w:rPr>
        <w:rFonts w:ascii="Arial" w:hAnsi="Arial" w:cs="Arial"/>
        <w:b/>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26C4"/>
    <w:multiLevelType w:val="hybridMultilevel"/>
    <w:tmpl w:val="ADF4ECC8"/>
    <w:lvl w:ilvl="0" w:tplc="E2DA5A1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2D5516"/>
    <w:multiLevelType w:val="hybridMultilevel"/>
    <w:tmpl w:val="ED3E1A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21B56AF"/>
    <w:multiLevelType w:val="multilevel"/>
    <w:tmpl w:val="6DD893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44D4F1A"/>
    <w:multiLevelType w:val="multilevel"/>
    <w:tmpl w:val="05F871B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b/>
        <w:bCs/>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79811614"/>
    <w:multiLevelType w:val="hybridMultilevel"/>
    <w:tmpl w:val="51EC4C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7E1"/>
    <w:rsid w:val="00042FE9"/>
    <w:rsid w:val="00063457"/>
    <w:rsid w:val="00143AA8"/>
    <w:rsid w:val="00147157"/>
    <w:rsid w:val="00172992"/>
    <w:rsid w:val="002117E1"/>
    <w:rsid w:val="00271FF8"/>
    <w:rsid w:val="002944AC"/>
    <w:rsid w:val="002D35B9"/>
    <w:rsid w:val="00313E50"/>
    <w:rsid w:val="003408DE"/>
    <w:rsid w:val="00387786"/>
    <w:rsid w:val="003D2C88"/>
    <w:rsid w:val="0049597E"/>
    <w:rsid w:val="00503AB3"/>
    <w:rsid w:val="00654F84"/>
    <w:rsid w:val="00702C9E"/>
    <w:rsid w:val="007063FF"/>
    <w:rsid w:val="00763E38"/>
    <w:rsid w:val="008614B2"/>
    <w:rsid w:val="008A5905"/>
    <w:rsid w:val="0093365B"/>
    <w:rsid w:val="009C268C"/>
    <w:rsid w:val="009E2A99"/>
    <w:rsid w:val="00A21588"/>
    <w:rsid w:val="00AA5A5C"/>
    <w:rsid w:val="00AD638F"/>
    <w:rsid w:val="00B57D87"/>
    <w:rsid w:val="00B83585"/>
    <w:rsid w:val="00BC3D8F"/>
    <w:rsid w:val="00C36F5B"/>
    <w:rsid w:val="00C6738F"/>
    <w:rsid w:val="00C711FB"/>
    <w:rsid w:val="00C76D40"/>
    <w:rsid w:val="00CA69DC"/>
    <w:rsid w:val="00CD7B60"/>
    <w:rsid w:val="00CF138A"/>
    <w:rsid w:val="00D23311"/>
    <w:rsid w:val="00D34E49"/>
    <w:rsid w:val="00DE4C96"/>
    <w:rsid w:val="00E05202"/>
    <w:rsid w:val="00EF2AFA"/>
    <w:rsid w:val="00F24208"/>
    <w:rsid w:val="00F730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B756B"/>
  <w15:chartTrackingRefBased/>
  <w15:docId w15:val="{9EDC9833-D195-4B58-88A7-512323E3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7E1"/>
    <w:pPr>
      <w:spacing w:before="240" w:after="240" w:line="288" w:lineRule="auto"/>
      <w:jc w:val="both"/>
    </w:pPr>
    <w:rPr>
      <w:rFonts w:asciiTheme="majorHAnsi" w:hAnsiTheme="majorHAnsi" w:cstheme="majorHAnsi"/>
      <w:kern w:val="2"/>
      <w:sz w:val="24"/>
      <w:szCs w:val="24"/>
      <w14:ligatures w14:val="standardContextual"/>
    </w:rPr>
  </w:style>
  <w:style w:type="paragraph" w:styleId="Ttulo1">
    <w:name w:val="heading 1"/>
    <w:basedOn w:val="Normal"/>
    <w:next w:val="Normal"/>
    <w:link w:val="Ttulo1Car"/>
    <w:uiPriority w:val="9"/>
    <w:qFormat/>
    <w:rsid w:val="009E2A99"/>
    <w:pPr>
      <w:keepNext/>
      <w:keepLines/>
      <w:numPr>
        <w:numId w:val="1"/>
      </w:numPr>
      <w:spacing w:before="480"/>
      <w:jc w:val="center"/>
      <w:outlineLvl w:val="0"/>
    </w:pPr>
    <w:rPr>
      <w:rFonts w:ascii="Arial" w:eastAsiaTheme="majorEastAsia" w:hAnsi="Arial" w:cs="Arial"/>
      <w:b/>
      <w:bCs/>
      <w:szCs w:val="23"/>
    </w:rPr>
  </w:style>
  <w:style w:type="paragraph" w:styleId="Ttulo2">
    <w:name w:val="heading 2"/>
    <w:basedOn w:val="Normal"/>
    <w:next w:val="Normal"/>
    <w:link w:val="Ttulo2Car"/>
    <w:uiPriority w:val="9"/>
    <w:unhideWhenUsed/>
    <w:qFormat/>
    <w:rsid w:val="009E2A99"/>
    <w:pPr>
      <w:keepNext/>
      <w:keepLines/>
      <w:numPr>
        <w:ilvl w:val="1"/>
        <w:numId w:val="1"/>
      </w:numPr>
      <w:spacing w:before="480"/>
      <w:outlineLvl w:val="1"/>
    </w:pPr>
    <w:rPr>
      <w:rFonts w:ascii="Arial" w:eastAsiaTheme="majorEastAsia" w:hAnsi="Arial" w:cs="Arial"/>
      <w:b/>
      <w:bCs/>
      <w:szCs w:val="23"/>
    </w:rPr>
  </w:style>
  <w:style w:type="paragraph" w:styleId="Ttulo3">
    <w:name w:val="heading 3"/>
    <w:basedOn w:val="Normal"/>
    <w:next w:val="Normal"/>
    <w:link w:val="Ttulo3Car"/>
    <w:uiPriority w:val="9"/>
    <w:unhideWhenUsed/>
    <w:qFormat/>
    <w:rsid w:val="002117E1"/>
    <w:pPr>
      <w:keepNext/>
      <w:keepLines/>
      <w:numPr>
        <w:ilvl w:val="2"/>
        <w:numId w:val="1"/>
      </w:numPr>
      <w:spacing w:before="480"/>
      <w:outlineLvl w:val="2"/>
    </w:pPr>
    <w:rPr>
      <w:rFonts w:eastAsiaTheme="majorEastAsia" w:cstheme="majorBidi"/>
      <w:b/>
      <w:bCs/>
      <w:color w:val="993366"/>
    </w:rPr>
  </w:style>
  <w:style w:type="paragraph" w:styleId="Ttulo4">
    <w:name w:val="heading 4"/>
    <w:basedOn w:val="Normal"/>
    <w:next w:val="Normal"/>
    <w:link w:val="Ttulo4Car"/>
    <w:uiPriority w:val="9"/>
    <w:unhideWhenUsed/>
    <w:qFormat/>
    <w:rsid w:val="002117E1"/>
    <w:pPr>
      <w:keepNext/>
      <w:keepLines/>
      <w:numPr>
        <w:ilvl w:val="3"/>
        <w:numId w:val="1"/>
      </w:numPr>
      <w:spacing w:before="360"/>
      <w:ind w:left="862" w:hanging="862"/>
      <w:outlineLvl w:val="3"/>
    </w:pPr>
    <w:rPr>
      <w:rFonts w:eastAsiaTheme="majorEastAsia" w:cstheme="majorBidi"/>
      <w:color w:val="993366"/>
    </w:rPr>
  </w:style>
  <w:style w:type="paragraph" w:styleId="Ttulo5">
    <w:name w:val="heading 5"/>
    <w:basedOn w:val="Normal"/>
    <w:next w:val="Normal"/>
    <w:link w:val="Ttulo5Car"/>
    <w:uiPriority w:val="9"/>
    <w:semiHidden/>
    <w:unhideWhenUsed/>
    <w:qFormat/>
    <w:rsid w:val="002117E1"/>
    <w:pPr>
      <w:keepNext/>
      <w:keepLines/>
      <w:numPr>
        <w:ilvl w:val="4"/>
        <w:numId w:val="1"/>
      </w:numPr>
      <w:spacing w:before="40" w:after="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17E1"/>
    <w:pPr>
      <w:keepNext/>
      <w:keepLines/>
      <w:numPr>
        <w:ilvl w:val="5"/>
        <w:numId w:val="1"/>
      </w:numPr>
      <w:spacing w:before="40" w:after="0"/>
      <w:outlineLvl w:val="5"/>
    </w:pPr>
    <w:rPr>
      <w:rFonts w:eastAsiaTheme="majorEastAsia" w:cstheme="majorBidi"/>
      <w:color w:val="1F4D78" w:themeColor="accent1" w:themeShade="7F"/>
    </w:rPr>
  </w:style>
  <w:style w:type="paragraph" w:styleId="Ttulo7">
    <w:name w:val="heading 7"/>
    <w:basedOn w:val="Normal"/>
    <w:next w:val="Normal"/>
    <w:link w:val="Ttulo7Car"/>
    <w:uiPriority w:val="9"/>
    <w:semiHidden/>
    <w:unhideWhenUsed/>
    <w:qFormat/>
    <w:rsid w:val="002117E1"/>
    <w:pPr>
      <w:keepNext/>
      <w:keepLines/>
      <w:numPr>
        <w:ilvl w:val="6"/>
        <w:numId w:val="1"/>
      </w:numPr>
      <w:spacing w:before="40" w:after="0"/>
      <w:outlineLvl w:val="6"/>
    </w:pPr>
    <w:rPr>
      <w:rFonts w:eastAsiaTheme="majorEastAsia" w:cstheme="majorBidi"/>
      <w:i/>
      <w:iCs/>
      <w:color w:val="1F4D78" w:themeColor="accent1" w:themeShade="7F"/>
    </w:rPr>
  </w:style>
  <w:style w:type="paragraph" w:styleId="Ttulo8">
    <w:name w:val="heading 8"/>
    <w:basedOn w:val="Normal"/>
    <w:next w:val="Normal"/>
    <w:link w:val="Ttulo8Car"/>
    <w:uiPriority w:val="9"/>
    <w:semiHidden/>
    <w:unhideWhenUsed/>
    <w:qFormat/>
    <w:rsid w:val="002117E1"/>
    <w:pPr>
      <w:keepNext/>
      <w:keepLines/>
      <w:numPr>
        <w:ilvl w:val="7"/>
        <w:numId w:val="1"/>
      </w:numPr>
      <w:spacing w:before="40" w:after="0"/>
      <w:outlineLvl w:val="7"/>
    </w:pPr>
    <w:rPr>
      <w:rFonts w:eastAsiaTheme="majorEastAsia"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117E1"/>
    <w:pPr>
      <w:keepNext/>
      <w:keepLines/>
      <w:numPr>
        <w:ilvl w:val="8"/>
        <w:numId w:val="1"/>
      </w:numPr>
      <w:spacing w:before="40" w:after="0"/>
      <w:outlineLvl w:val="8"/>
    </w:pPr>
    <w:rPr>
      <w:rFonts w:eastAsiaTheme="majorEastAsia"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E2A99"/>
    <w:rPr>
      <w:rFonts w:ascii="Arial" w:eastAsiaTheme="majorEastAsia" w:hAnsi="Arial" w:cs="Arial"/>
      <w:b/>
      <w:bCs/>
      <w:kern w:val="2"/>
      <w:sz w:val="24"/>
      <w:szCs w:val="23"/>
      <w14:ligatures w14:val="standardContextual"/>
    </w:rPr>
  </w:style>
  <w:style w:type="character" w:customStyle="1" w:styleId="Ttulo2Car">
    <w:name w:val="Título 2 Car"/>
    <w:basedOn w:val="Fuentedeprrafopredeter"/>
    <w:link w:val="Ttulo2"/>
    <w:uiPriority w:val="9"/>
    <w:rsid w:val="009E2A99"/>
    <w:rPr>
      <w:rFonts w:ascii="Arial" w:eastAsiaTheme="majorEastAsia" w:hAnsi="Arial" w:cs="Arial"/>
      <w:b/>
      <w:bCs/>
      <w:kern w:val="2"/>
      <w:sz w:val="24"/>
      <w:szCs w:val="23"/>
      <w14:ligatures w14:val="standardContextual"/>
    </w:rPr>
  </w:style>
  <w:style w:type="character" w:customStyle="1" w:styleId="Ttulo3Car">
    <w:name w:val="Título 3 Car"/>
    <w:basedOn w:val="Fuentedeprrafopredeter"/>
    <w:link w:val="Ttulo3"/>
    <w:uiPriority w:val="9"/>
    <w:rsid w:val="002117E1"/>
    <w:rPr>
      <w:rFonts w:asciiTheme="majorHAnsi" w:eastAsiaTheme="majorEastAsia" w:hAnsiTheme="majorHAnsi" w:cstheme="majorBidi"/>
      <w:b/>
      <w:bCs/>
      <w:color w:val="993366"/>
      <w:kern w:val="2"/>
      <w:sz w:val="24"/>
      <w:szCs w:val="24"/>
      <w14:ligatures w14:val="standardContextual"/>
    </w:rPr>
  </w:style>
  <w:style w:type="character" w:customStyle="1" w:styleId="Ttulo4Car">
    <w:name w:val="Título 4 Car"/>
    <w:basedOn w:val="Fuentedeprrafopredeter"/>
    <w:link w:val="Ttulo4"/>
    <w:uiPriority w:val="9"/>
    <w:rsid w:val="002117E1"/>
    <w:rPr>
      <w:rFonts w:asciiTheme="majorHAnsi" w:eastAsiaTheme="majorEastAsia" w:hAnsiTheme="majorHAnsi" w:cstheme="majorBidi"/>
      <w:color w:val="993366"/>
      <w:kern w:val="2"/>
      <w:sz w:val="24"/>
      <w:szCs w:val="24"/>
      <w14:ligatures w14:val="standardContextual"/>
    </w:rPr>
  </w:style>
  <w:style w:type="character" w:customStyle="1" w:styleId="Ttulo5Car">
    <w:name w:val="Título 5 Car"/>
    <w:basedOn w:val="Fuentedeprrafopredeter"/>
    <w:link w:val="Ttulo5"/>
    <w:uiPriority w:val="9"/>
    <w:semiHidden/>
    <w:rsid w:val="002117E1"/>
    <w:rPr>
      <w:rFonts w:asciiTheme="majorHAnsi" w:eastAsiaTheme="majorEastAsia" w:hAnsiTheme="majorHAnsi" w:cstheme="majorBidi"/>
      <w:color w:val="2E74B5" w:themeColor="accent1" w:themeShade="BF"/>
      <w:kern w:val="2"/>
      <w:sz w:val="24"/>
      <w:szCs w:val="24"/>
      <w14:ligatures w14:val="standardContextual"/>
    </w:rPr>
  </w:style>
  <w:style w:type="character" w:customStyle="1" w:styleId="Ttulo6Car">
    <w:name w:val="Título 6 Car"/>
    <w:basedOn w:val="Fuentedeprrafopredeter"/>
    <w:link w:val="Ttulo6"/>
    <w:uiPriority w:val="9"/>
    <w:semiHidden/>
    <w:rsid w:val="002117E1"/>
    <w:rPr>
      <w:rFonts w:asciiTheme="majorHAnsi" w:eastAsiaTheme="majorEastAsia" w:hAnsiTheme="majorHAnsi" w:cstheme="majorBidi"/>
      <w:color w:val="1F4D78" w:themeColor="accent1" w:themeShade="7F"/>
      <w:kern w:val="2"/>
      <w:sz w:val="24"/>
      <w:szCs w:val="24"/>
      <w14:ligatures w14:val="standardContextual"/>
    </w:rPr>
  </w:style>
  <w:style w:type="character" w:customStyle="1" w:styleId="Ttulo7Car">
    <w:name w:val="Título 7 Car"/>
    <w:basedOn w:val="Fuentedeprrafopredeter"/>
    <w:link w:val="Ttulo7"/>
    <w:uiPriority w:val="9"/>
    <w:semiHidden/>
    <w:rsid w:val="002117E1"/>
    <w:rPr>
      <w:rFonts w:asciiTheme="majorHAnsi" w:eastAsiaTheme="majorEastAsia" w:hAnsiTheme="majorHAnsi" w:cstheme="majorBidi"/>
      <w:i/>
      <w:iCs/>
      <w:color w:val="1F4D78" w:themeColor="accent1" w:themeShade="7F"/>
      <w:kern w:val="2"/>
      <w:sz w:val="24"/>
      <w:szCs w:val="24"/>
      <w14:ligatures w14:val="standardContextual"/>
    </w:rPr>
  </w:style>
  <w:style w:type="character" w:customStyle="1" w:styleId="Ttulo8Car">
    <w:name w:val="Título 8 Car"/>
    <w:basedOn w:val="Fuentedeprrafopredeter"/>
    <w:link w:val="Ttulo8"/>
    <w:uiPriority w:val="9"/>
    <w:semiHidden/>
    <w:rsid w:val="002117E1"/>
    <w:rPr>
      <w:rFonts w:asciiTheme="majorHAnsi" w:eastAsiaTheme="majorEastAsia" w:hAnsiTheme="majorHAnsi" w:cstheme="majorBidi"/>
      <w:color w:val="272727" w:themeColor="text1" w:themeTint="D8"/>
      <w:kern w:val="2"/>
      <w:sz w:val="21"/>
      <w:szCs w:val="21"/>
      <w14:ligatures w14:val="standardContextual"/>
    </w:rPr>
  </w:style>
  <w:style w:type="character" w:customStyle="1" w:styleId="Ttulo9Car">
    <w:name w:val="Título 9 Car"/>
    <w:basedOn w:val="Fuentedeprrafopredeter"/>
    <w:link w:val="Ttulo9"/>
    <w:uiPriority w:val="9"/>
    <w:semiHidden/>
    <w:rsid w:val="002117E1"/>
    <w:rPr>
      <w:rFonts w:asciiTheme="majorHAnsi" w:eastAsiaTheme="majorEastAsia" w:hAnsiTheme="majorHAnsi" w:cstheme="majorBidi"/>
      <w:i/>
      <w:iCs/>
      <w:color w:val="272727" w:themeColor="text1" w:themeTint="D8"/>
      <w:kern w:val="2"/>
      <w:sz w:val="21"/>
      <w:szCs w:val="21"/>
      <w14:ligatures w14:val="standardContextual"/>
    </w:rPr>
  </w:style>
  <w:style w:type="paragraph" w:styleId="Prrafodelista">
    <w:name w:val="List Paragraph"/>
    <w:aliases w:val="CNBV Parrafo1,Parrafo 1,Párrafo de lista1,Lista multicolor - Énfasis 11,Lista vistosa - Énfasis 11,Cuadrícula media 1 - Énfasis 21,Cita texto,List Paragraph-Thesis,Cuadrícula media 1 - Énfasis 211,TEXTO GENERAL SENTENCIAS,Footnote,lp1"/>
    <w:basedOn w:val="Normal"/>
    <w:link w:val="PrrafodelistaCar"/>
    <w:uiPriority w:val="34"/>
    <w:qFormat/>
    <w:rsid w:val="00D23311"/>
    <w:pPr>
      <w:spacing w:before="0" w:after="160" w:line="259" w:lineRule="auto"/>
      <w:ind w:left="720"/>
      <w:contextualSpacing/>
      <w:jc w:val="left"/>
    </w:pPr>
    <w:rPr>
      <w:rFonts w:asciiTheme="minorHAnsi" w:hAnsiTheme="minorHAnsi" w:cstheme="minorBidi"/>
      <w:kern w:val="0"/>
      <w:sz w:val="22"/>
      <w:szCs w:val="22"/>
      <w14:ligatures w14:val="none"/>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unhideWhenUsed/>
    <w:qFormat/>
    <w:rsid w:val="00763E38"/>
    <w:pPr>
      <w:spacing w:before="0" w:after="0" w:line="240" w:lineRule="auto"/>
      <w:ind w:right="-851"/>
      <w:jc w:val="right"/>
    </w:pPr>
    <w:rPr>
      <w:rFonts w:ascii="Calibri" w:eastAsia="Calibri" w:hAnsi="Calibri" w:cs="Calibri"/>
      <w:kern w:val="0"/>
      <w:sz w:val="20"/>
      <w:szCs w:val="20"/>
      <w:lang w:eastAsia="es-MX"/>
      <w14:ligatures w14:val="none"/>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763E38"/>
    <w:rPr>
      <w:rFonts w:ascii="Calibri" w:eastAsia="Calibri" w:hAnsi="Calibri" w:cs="Calibri"/>
      <w:sz w:val="20"/>
      <w:szCs w:val="20"/>
      <w:lang w:eastAsia="es-MX"/>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ftref,julio,Ref"/>
    <w:basedOn w:val="Fuentedeprrafopredeter"/>
    <w:link w:val="4GChar"/>
    <w:uiPriority w:val="99"/>
    <w:unhideWhenUsed/>
    <w:qFormat/>
    <w:rsid w:val="00763E3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63E38"/>
    <w:pPr>
      <w:spacing w:before="0" w:after="0" w:line="240" w:lineRule="auto"/>
    </w:pPr>
    <w:rPr>
      <w:rFonts w:asciiTheme="minorHAnsi" w:hAnsiTheme="minorHAnsi" w:cstheme="minorBidi"/>
      <w:kern w:val="0"/>
      <w:sz w:val="22"/>
      <w:szCs w:val="22"/>
      <w:vertAlign w:val="superscript"/>
      <w14:ligatures w14:val="none"/>
    </w:rPr>
  </w:style>
  <w:style w:type="character" w:customStyle="1" w:styleId="PrrafodelistaCar">
    <w:name w:val="Párrafo de lista Car"/>
    <w:aliases w:val="CNBV Parrafo1 Car,Parrafo 1 Car,Párrafo de lista1 Car,Lista multicolor - Énfasis 11 Car,Lista vistosa - Énfasis 11 Car,Cuadrícula media 1 - Énfasis 21 Car,Cita texto Car,List Paragraph-Thesis Car,Cuadrícula media 1 - Énfasis 211 Car"/>
    <w:link w:val="Prrafodelista"/>
    <w:uiPriority w:val="34"/>
    <w:qFormat/>
    <w:locked/>
    <w:rsid w:val="00763E38"/>
  </w:style>
  <w:style w:type="table" w:styleId="Tablaconcuadrcula">
    <w:name w:val="Table Grid"/>
    <w:basedOn w:val="Tablanormal"/>
    <w:uiPriority w:val="39"/>
    <w:rsid w:val="00C6738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6738F"/>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C6738F"/>
    <w:rPr>
      <w:rFonts w:asciiTheme="majorHAnsi" w:hAnsiTheme="majorHAnsi" w:cstheme="majorHAnsi"/>
      <w:kern w:val="2"/>
      <w:sz w:val="24"/>
      <w:szCs w:val="24"/>
      <w14:ligatures w14:val="standardContextual"/>
    </w:rPr>
  </w:style>
  <w:style w:type="paragraph" w:styleId="Piedepgina">
    <w:name w:val="footer"/>
    <w:basedOn w:val="Normal"/>
    <w:link w:val="PiedepginaCar"/>
    <w:uiPriority w:val="99"/>
    <w:unhideWhenUsed/>
    <w:rsid w:val="00C6738F"/>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C6738F"/>
    <w:rPr>
      <w:rFonts w:asciiTheme="majorHAnsi" w:hAnsiTheme="majorHAnsi" w:cstheme="majorHAns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11</Pages>
  <Words>3247</Words>
  <Characters>17861</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30</cp:revision>
  <dcterms:created xsi:type="dcterms:W3CDTF">2023-12-04T15:32:00Z</dcterms:created>
  <dcterms:modified xsi:type="dcterms:W3CDTF">2023-12-06T21:34:00Z</dcterms:modified>
</cp:coreProperties>
</file>