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95F2E5" w14:textId="30D60FA1" w:rsidR="00BB7A30" w:rsidRDefault="00305E84" w:rsidP="006715B5">
      <w:pPr>
        <w:pStyle w:val="Ttulo"/>
        <w:spacing w:before="0"/>
        <w:rPr>
          <w:sz w:val="24"/>
          <w:szCs w:val="24"/>
        </w:rPr>
      </w:pPr>
      <w:r w:rsidRPr="004E338C">
        <w:rPr>
          <w:sz w:val="24"/>
          <w:szCs w:val="24"/>
        </w:rPr>
        <w:t>ACUERDO QUE EMITE EL CONSEJO ESTATAL DEL INSTITUTO ELECTORAL Y DE PARTICIPACIÓN CIUDADANA DE TABASCO, MEDIANTE EL CUAL</w:t>
      </w:r>
      <w:r>
        <w:rPr>
          <w:sz w:val="24"/>
          <w:szCs w:val="24"/>
        </w:rPr>
        <w:t xml:space="preserve">, EN CUMPLIMIENTO AL ACUERDO </w:t>
      </w:r>
      <w:r w:rsidRPr="00BB7A30">
        <w:rPr>
          <w:sz w:val="24"/>
          <w:szCs w:val="24"/>
        </w:rPr>
        <w:t>INE/CG232/2023</w:t>
      </w:r>
      <w:r>
        <w:rPr>
          <w:sz w:val="24"/>
          <w:szCs w:val="24"/>
        </w:rPr>
        <w:t xml:space="preserve"> APROBADO POR EL CONSEJO GENERAL DEL INSTITUTO NACIONAL ELECTORAL SE INSTRUYE LA RETENCIÓN DEL REMANENTE A REINTEGRAR DE LAS MINISTRACIONES MENSUALES QUE POR FINANCIAMIENTO PÚBLICO LOCAL CORRESPONDE AL PARTIDO MORENA</w:t>
      </w:r>
    </w:p>
    <w:p w14:paraId="5BAC7FAE" w14:textId="77777777" w:rsidR="00B106A6" w:rsidRPr="00220C00" w:rsidRDefault="00B106A6" w:rsidP="00B106A6">
      <w:pPr>
        <w:spacing w:line="288" w:lineRule="auto"/>
        <w:rPr>
          <w:sz w:val="23"/>
          <w:szCs w:val="23"/>
        </w:rPr>
      </w:pPr>
      <w:r w:rsidRPr="00220C00">
        <w:rPr>
          <w:sz w:val="23"/>
          <w:szCs w:val="23"/>
        </w:rPr>
        <w:t>Para efectos del presente acuerdo se usarán las abreviaturas y definiciones siguientes:</w:t>
      </w:r>
    </w:p>
    <w:tbl>
      <w:tblPr>
        <w:tblW w:w="4162" w:type="pct"/>
        <w:jc w:val="center"/>
        <w:tblBorders>
          <w:top w:val="single" w:sz="4" w:space="0" w:color="993366"/>
          <w:left w:val="single" w:sz="4" w:space="0" w:color="993366"/>
          <w:bottom w:val="single" w:sz="4" w:space="0" w:color="993366"/>
          <w:right w:val="single" w:sz="4" w:space="0" w:color="993366"/>
          <w:insideH w:val="single" w:sz="4" w:space="0" w:color="993366"/>
          <w:insideV w:val="single" w:sz="4" w:space="0" w:color="993366"/>
        </w:tblBorders>
        <w:tblLook w:val="04A0" w:firstRow="1" w:lastRow="0" w:firstColumn="1" w:lastColumn="0" w:noHBand="0" w:noVBand="1"/>
      </w:tblPr>
      <w:tblGrid>
        <w:gridCol w:w="3001"/>
        <w:gridCol w:w="4347"/>
      </w:tblGrid>
      <w:tr w:rsidR="00925A66" w:rsidRPr="00220C00" w14:paraId="336A148E" w14:textId="77777777" w:rsidTr="00E81481">
        <w:trPr>
          <w:trHeight w:val="624"/>
          <w:jc w:val="center"/>
        </w:trPr>
        <w:tc>
          <w:tcPr>
            <w:tcW w:w="2042" w:type="pct"/>
            <w:shd w:val="clear" w:color="auto" w:fill="auto"/>
            <w:vAlign w:val="center"/>
          </w:tcPr>
          <w:p w14:paraId="79EEC2B6" w14:textId="77777777" w:rsidR="00925A66" w:rsidRPr="00305E84" w:rsidRDefault="00925A66" w:rsidP="000A0507">
            <w:pPr>
              <w:spacing w:before="60" w:after="60" w:line="288" w:lineRule="auto"/>
              <w:ind w:left="57"/>
              <w:jc w:val="right"/>
              <w:rPr>
                <w:b/>
                <w:sz w:val="20"/>
                <w:szCs w:val="20"/>
              </w:rPr>
            </w:pPr>
            <w:r w:rsidRPr="00305E84">
              <w:rPr>
                <w:b/>
                <w:sz w:val="20"/>
                <w:szCs w:val="20"/>
              </w:rPr>
              <w:t>Consejo Estatal:</w:t>
            </w:r>
          </w:p>
        </w:tc>
        <w:tc>
          <w:tcPr>
            <w:tcW w:w="2958" w:type="pct"/>
            <w:shd w:val="clear" w:color="auto" w:fill="auto"/>
            <w:vAlign w:val="center"/>
          </w:tcPr>
          <w:p w14:paraId="57B0C45D" w14:textId="77777777" w:rsidR="00925A66" w:rsidRPr="00305E84" w:rsidRDefault="00925A66" w:rsidP="000A0507">
            <w:pPr>
              <w:spacing w:before="60" w:after="60" w:line="288" w:lineRule="auto"/>
              <w:ind w:left="57"/>
              <w:rPr>
                <w:sz w:val="20"/>
                <w:szCs w:val="20"/>
              </w:rPr>
            </w:pPr>
            <w:r w:rsidRPr="00305E84">
              <w:rPr>
                <w:sz w:val="20"/>
                <w:szCs w:val="20"/>
              </w:rPr>
              <w:t>Consejo Estatal del Instituto Electoral y de Participación Ciudadana de Tabasco.</w:t>
            </w:r>
          </w:p>
        </w:tc>
      </w:tr>
      <w:tr w:rsidR="00925A66" w:rsidRPr="00220C00" w14:paraId="217C0DC6" w14:textId="77777777" w:rsidTr="00E81481">
        <w:trPr>
          <w:trHeight w:val="624"/>
          <w:jc w:val="center"/>
        </w:trPr>
        <w:tc>
          <w:tcPr>
            <w:tcW w:w="2042" w:type="pct"/>
            <w:shd w:val="clear" w:color="auto" w:fill="auto"/>
            <w:vAlign w:val="center"/>
          </w:tcPr>
          <w:p w14:paraId="07A34D3A" w14:textId="77777777" w:rsidR="00925A66" w:rsidRPr="00305E84" w:rsidRDefault="00925A66" w:rsidP="000A0507">
            <w:pPr>
              <w:spacing w:before="60" w:after="60" w:line="288" w:lineRule="auto"/>
              <w:ind w:left="57"/>
              <w:jc w:val="right"/>
              <w:rPr>
                <w:b/>
                <w:sz w:val="20"/>
                <w:szCs w:val="20"/>
              </w:rPr>
            </w:pPr>
            <w:r w:rsidRPr="00305E84">
              <w:rPr>
                <w:b/>
                <w:sz w:val="20"/>
                <w:szCs w:val="20"/>
              </w:rPr>
              <w:t>Constitución Federal:</w:t>
            </w:r>
          </w:p>
        </w:tc>
        <w:tc>
          <w:tcPr>
            <w:tcW w:w="2958" w:type="pct"/>
            <w:shd w:val="clear" w:color="auto" w:fill="auto"/>
            <w:vAlign w:val="center"/>
          </w:tcPr>
          <w:p w14:paraId="1ED6620B" w14:textId="77777777" w:rsidR="00925A66" w:rsidRPr="00305E84" w:rsidRDefault="00925A66" w:rsidP="000A0507">
            <w:pPr>
              <w:spacing w:before="60" w:after="60" w:line="288" w:lineRule="auto"/>
              <w:ind w:left="57"/>
              <w:rPr>
                <w:sz w:val="20"/>
                <w:szCs w:val="20"/>
              </w:rPr>
            </w:pPr>
            <w:r w:rsidRPr="00305E84">
              <w:rPr>
                <w:sz w:val="20"/>
                <w:szCs w:val="20"/>
              </w:rPr>
              <w:t>Constitución Política de los Estados Unidos Mexicanos.</w:t>
            </w:r>
          </w:p>
        </w:tc>
      </w:tr>
      <w:tr w:rsidR="00925A66" w:rsidRPr="00220C00" w14:paraId="322C7C23" w14:textId="77777777" w:rsidTr="00E81481">
        <w:trPr>
          <w:trHeight w:val="624"/>
          <w:jc w:val="center"/>
        </w:trPr>
        <w:tc>
          <w:tcPr>
            <w:tcW w:w="2042" w:type="pct"/>
            <w:shd w:val="clear" w:color="auto" w:fill="auto"/>
            <w:vAlign w:val="center"/>
          </w:tcPr>
          <w:p w14:paraId="2F292D3D" w14:textId="77777777" w:rsidR="00925A66" w:rsidRPr="00305E84" w:rsidRDefault="00925A66" w:rsidP="000A0507">
            <w:pPr>
              <w:spacing w:before="60" w:after="60" w:line="288" w:lineRule="auto"/>
              <w:ind w:left="57"/>
              <w:jc w:val="right"/>
              <w:rPr>
                <w:b/>
                <w:sz w:val="20"/>
                <w:szCs w:val="20"/>
              </w:rPr>
            </w:pPr>
            <w:r w:rsidRPr="00305E84">
              <w:rPr>
                <w:b/>
                <w:sz w:val="20"/>
                <w:szCs w:val="20"/>
              </w:rPr>
              <w:t>Constitución Local:</w:t>
            </w:r>
          </w:p>
        </w:tc>
        <w:tc>
          <w:tcPr>
            <w:tcW w:w="2958" w:type="pct"/>
            <w:shd w:val="clear" w:color="auto" w:fill="auto"/>
            <w:vAlign w:val="center"/>
          </w:tcPr>
          <w:p w14:paraId="59B93B80" w14:textId="77777777" w:rsidR="00925A66" w:rsidRPr="00305E84" w:rsidRDefault="00925A66" w:rsidP="000A0507">
            <w:pPr>
              <w:spacing w:before="60" w:after="60" w:line="288" w:lineRule="auto"/>
              <w:ind w:left="57"/>
              <w:rPr>
                <w:sz w:val="20"/>
                <w:szCs w:val="20"/>
              </w:rPr>
            </w:pPr>
            <w:r w:rsidRPr="00305E84">
              <w:rPr>
                <w:sz w:val="20"/>
                <w:szCs w:val="20"/>
              </w:rPr>
              <w:t>Constitución Política del Estado Libre y Soberano de Tabasco.</w:t>
            </w:r>
          </w:p>
        </w:tc>
      </w:tr>
      <w:tr w:rsidR="00925A66" w:rsidRPr="00220C00" w14:paraId="5210955A" w14:textId="77777777" w:rsidTr="00E81481">
        <w:trPr>
          <w:trHeight w:val="624"/>
          <w:jc w:val="center"/>
        </w:trPr>
        <w:tc>
          <w:tcPr>
            <w:tcW w:w="2042" w:type="pct"/>
            <w:shd w:val="clear" w:color="auto" w:fill="auto"/>
            <w:vAlign w:val="center"/>
          </w:tcPr>
          <w:p w14:paraId="6FA30DFF" w14:textId="77777777" w:rsidR="00925A66" w:rsidRPr="00305E84" w:rsidRDefault="00925A66" w:rsidP="000A0507">
            <w:pPr>
              <w:spacing w:before="60" w:after="60" w:line="288" w:lineRule="auto"/>
              <w:ind w:left="57"/>
              <w:jc w:val="right"/>
              <w:rPr>
                <w:b/>
                <w:sz w:val="20"/>
                <w:szCs w:val="20"/>
              </w:rPr>
            </w:pPr>
            <w:r w:rsidRPr="00305E84">
              <w:rPr>
                <w:b/>
                <w:sz w:val="20"/>
                <w:szCs w:val="20"/>
              </w:rPr>
              <w:t>INE:</w:t>
            </w:r>
          </w:p>
        </w:tc>
        <w:tc>
          <w:tcPr>
            <w:tcW w:w="2958" w:type="pct"/>
            <w:shd w:val="clear" w:color="auto" w:fill="auto"/>
            <w:vAlign w:val="center"/>
          </w:tcPr>
          <w:p w14:paraId="5D5CF42F" w14:textId="77777777" w:rsidR="00925A66" w:rsidRPr="00305E84" w:rsidRDefault="00925A66" w:rsidP="000A0507">
            <w:pPr>
              <w:spacing w:before="60" w:after="60" w:line="288" w:lineRule="auto"/>
              <w:ind w:left="57"/>
              <w:rPr>
                <w:sz w:val="20"/>
                <w:szCs w:val="20"/>
              </w:rPr>
            </w:pPr>
            <w:r w:rsidRPr="00305E84">
              <w:rPr>
                <w:sz w:val="20"/>
                <w:szCs w:val="20"/>
              </w:rPr>
              <w:t>Instituto Nacional Electoral.</w:t>
            </w:r>
          </w:p>
        </w:tc>
      </w:tr>
      <w:tr w:rsidR="00925A66" w:rsidRPr="00220C00" w14:paraId="4FD0B9D4" w14:textId="77777777" w:rsidTr="00E81481">
        <w:trPr>
          <w:trHeight w:val="624"/>
          <w:jc w:val="center"/>
        </w:trPr>
        <w:tc>
          <w:tcPr>
            <w:tcW w:w="2042" w:type="pct"/>
            <w:shd w:val="clear" w:color="auto" w:fill="auto"/>
            <w:vAlign w:val="center"/>
          </w:tcPr>
          <w:p w14:paraId="613E7536" w14:textId="77777777" w:rsidR="00925A66" w:rsidRPr="00305E84" w:rsidRDefault="00925A66" w:rsidP="000A0507">
            <w:pPr>
              <w:spacing w:before="60" w:after="60" w:line="288" w:lineRule="auto"/>
              <w:ind w:left="57"/>
              <w:jc w:val="right"/>
              <w:rPr>
                <w:b/>
                <w:sz w:val="20"/>
                <w:szCs w:val="20"/>
              </w:rPr>
            </w:pPr>
            <w:r w:rsidRPr="00305E84">
              <w:rPr>
                <w:b/>
                <w:sz w:val="20"/>
                <w:szCs w:val="20"/>
              </w:rPr>
              <w:t>Instituto:</w:t>
            </w:r>
          </w:p>
        </w:tc>
        <w:tc>
          <w:tcPr>
            <w:tcW w:w="2958" w:type="pct"/>
            <w:shd w:val="clear" w:color="auto" w:fill="auto"/>
          </w:tcPr>
          <w:p w14:paraId="34237874" w14:textId="77777777" w:rsidR="00925A66" w:rsidRPr="00305E84" w:rsidRDefault="00925A66" w:rsidP="000A0507">
            <w:pPr>
              <w:spacing w:before="60" w:after="60" w:line="288" w:lineRule="auto"/>
              <w:ind w:left="57"/>
              <w:rPr>
                <w:sz w:val="20"/>
                <w:szCs w:val="20"/>
              </w:rPr>
            </w:pPr>
            <w:r w:rsidRPr="00305E84">
              <w:rPr>
                <w:sz w:val="20"/>
                <w:szCs w:val="20"/>
              </w:rPr>
              <w:t>Instituto Electoral y de Participación Ciudadana de Tabasco.</w:t>
            </w:r>
          </w:p>
        </w:tc>
      </w:tr>
      <w:tr w:rsidR="00925A66" w:rsidRPr="00220C00" w14:paraId="07B520BE" w14:textId="77777777" w:rsidTr="00E81481">
        <w:trPr>
          <w:trHeight w:val="624"/>
          <w:jc w:val="center"/>
        </w:trPr>
        <w:tc>
          <w:tcPr>
            <w:tcW w:w="2042" w:type="pct"/>
            <w:shd w:val="clear" w:color="auto" w:fill="auto"/>
            <w:vAlign w:val="center"/>
          </w:tcPr>
          <w:p w14:paraId="1575E2FE" w14:textId="77777777" w:rsidR="00925A66" w:rsidRPr="00305E84" w:rsidRDefault="00925A66" w:rsidP="000A0507">
            <w:pPr>
              <w:spacing w:before="60" w:after="60" w:line="288" w:lineRule="auto"/>
              <w:ind w:left="57"/>
              <w:jc w:val="right"/>
              <w:rPr>
                <w:b/>
                <w:sz w:val="20"/>
                <w:szCs w:val="20"/>
              </w:rPr>
            </w:pPr>
            <w:r w:rsidRPr="00305E84">
              <w:rPr>
                <w:b/>
                <w:sz w:val="20"/>
                <w:szCs w:val="20"/>
              </w:rPr>
              <w:t>Ley de Partidos:</w:t>
            </w:r>
          </w:p>
        </w:tc>
        <w:tc>
          <w:tcPr>
            <w:tcW w:w="2958" w:type="pct"/>
            <w:shd w:val="clear" w:color="auto" w:fill="auto"/>
            <w:vAlign w:val="center"/>
          </w:tcPr>
          <w:p w14:paraId="6691F01B" w14:textId="77777777" w:rsidR="00925A66" w:rsidRPr="00305E84" w:rsidRDefault="00925A66" w:rsidP="000A0507">
            <w:pPr>
              <w:spacing w:before="60" w:after="60" w:line="288" w:lineRule="auto"/>
              <w:ind w:left="57"/>
              <w:rPr>
                <w:sz w:val="20"/>
                <w:szCs w:val="20"/>
              </w:rPr>
            </w:pPr>
            <w:r w:rsidRPr="00305E84">
              <w:rPr>
                <w:sz w:val="20"/>
                <w:szCs w:val="20"/>
              </w:rPr>
              <w:t>Ley General de Partidos Políticos.</w:t>
            </w:r>
          </w:p>
        </w:tc>
      </w:tr>
      <w:tr w:rsidR="00925A66" w:rsidRPr="00220C00" w14:paraId="7D90B5D9" w14:textId="77777777" w:rsidTr="00E81481">
        <w:trPr>
          <w:trHeight w:val="624"/>
          <w:jc w:val="center"/>
        </w:trPr>
        <w:tc>
          <w:tcPr>
            <w:tcW w:w="2042" w:type="pct"/>
            <w:shd w:val="clear" w:color="auto" w:fill="auto"/>
            <w:vAlign w:val="center"/>
          </w:tcPr>
          <w:p w14:paraId="4AB5BFD6" w14:textId="77777777" w:rsidR="00925A66" w:rsidRPr="00305E84" w:rsidRDefault="00925A66" w:rsidP="000A0507">
            <w:pPr>
              <w:spacing w:before="60" w:after="60" w:line="288" w:lineRule="auto"/>
              <w:ind w:left="57"/>
              <w:jc w:val="right"/>
              <w:rPr>
                <w:b/>
                <w:sz w:val="20"/>
                <w:szCs w:val="20"/>
              </w:rPr>
            </w:pPr>
            <w:r w:rsidRPr="00305E84">
              <w:rPr>
                <w:b/>
                <w:sz w:val="20"/>
                <w:szCs w:val="20"/>
              </w:rPr>
              <w:t>Ley Electoral:</w:t>
            </w:r>
          </w:p>
        </w:tc>
        <w:tc>
          <w:tcPr>
            <w:tcW w:w="2958" w:type="pct"/>
            <w:shd w:val="clear" w:color="auto" w:fill="auto"/>
            <w:vAlign w:val="center"/>
          </w:tcPr>
          <w:p w14:paraId="398D5207" w14:textId="77777777" w:rsidR="00925A66" w:rsidRPr="00305E84" w:rsidRDefault="00925A66" w:rsidP="000A0507">
            <w:pPr>
              <w:spacing w:before="60" w:after="60" w:line="288" w:lineRule="auto"/>
              <w:ind w:left="57"/>
              <w:rPr>
                <w:sz w:val="20"/>
                <w:szCs w:val="20"/>
              </w:rPr>
            </w:pPr>
            <w:r w:rsidRPr="00305E84">
              <w:rPr>
                <w:sz w:val="20"/>
                <w:szCs w:val="20"/>
              </w:rPr>
              <w:t>Ley Electoral y de Partidos Políticos del Estado de Tabasco.</w:t>
            </w:r>
          </w:p>
        </w:tc>
      </w:tr>
      <w:tr w:rsidR="00925A66" w:rsidRPr="00220C00" w14:paraId="3D58FC30" w14:textId="77777777" w:rsidTr="00E81481">
        <w:trPr>
          <w:trHeight w:val="624"/>
          <w:jc w:val="center"/>
        </w:trPr>
        <w:tc>
          <w:tcPr>
            <w:tcW w:w="2042" w:type="pct"/>
            <w:shd w:val="clear" w:color="auto" w:fill="auto"/>
            <w:vAlign w:val="center"/>
          </w:tcPr>
          <w:p w14:paraId="339D47D5" w14:textId="77777777" w:rsidR="00925A66" w:rsidRPr="00305E84" w:rsidRDefault="00925A66" w:rsidP="000A0507">
            <w:pPr>
              <w:spacing w:before="60" w:after="60" w:line="288" w:lineRule="auto"/>
              <w:ind w:left="57"/>
              <w:jc w:val="right"/>
              <w:rPr>
                <w:b/>
                <w:sz w:val="20"/>
                <w:szCs w:val="20"/>
              </w:rPr>
            </w:pPr>
            <w:r w:rsidRPr="00305E84">
              <w:rPr>
                <w:b/>
                <w:sz w:val="20"/>
                <w:szCs w:val="20"/>
              </w:rPr>
              <w:t>Ley General:</w:t>
            </w:r>
          </w:p>
        </w:tc>
        <w:tc>
          <w:tcPr>
            <w:tcW w:w="2958" w:type="pct"/>
            <w:shd w:val="clear" w:color="auto" w:fill="auto"/>
            <w:vAlign w:val="center"/>
          </w:tcPr>
          <w:p w14:paraId="33D995EA" w14:textId="77777777" w:rsidR="00925A66" w:rsidRPr="00305E84" w:rsidRDefault="00925A66" w:rsidP="000A0507">
            <w:pPr>
              <w:spacing w:before="60" w:after="60" w:line="288" w:lineRule="auto"/>
              <w:ind w:left="57"/>
              <w:rPr>
                <w:sz w:val="20"/>
                <w:szCs w:val="20"/>
              </w:rPr>
            </w:pPr>
            <w:r w:rsidRPr="00305E84">
              <w:rPr>
                <w:sz w:val="20"/>
                <w:szCs w:val="20"/>
              </w:rPr>
              <w:t>Ley General de Instituciones y Procedimientos Electorales.</w:t>
            </w:r>
          </w:p>
        </w:tc>
      </w:tr>
      <w:tr w:rsidR="00925A66" w:rsidRPr="00220C00" w14:paraId="58B98476" w14:textId="77777777" w:rsidTr="00E81481">
        <w:trPr>
          <w:trHeight w:val="624"/>
          <w:jc w:val="center"/>
        </w:trPr>
        <w:tc>
          <w:tcPr>
            <w:tcW w:w="2042" w:type="pct"/>
            <w:shd w:val="clear" w:color="auto" w:fill="auto"/>
            <w:vAlign w:val="center"/>
          </w:tcPr>
          <w:p w14:paraId="19CF9089" w14:textId="77777777" w:rsidR="00925A66" w:rsidRPr="00305E84" w:rsidRDefault="00925A66" w:rsidP="000A0507">
            <w:pPr>
              <w:spacing w:before="60" w:after="60" w:line="288" w:lineRule="auto"/>
              <w:ind w:left="57"/>
              <w:jc w:val="right"/>
              <w:rPr>
                <w:b/>
                <w:sz w:val="20"/>
                <w:szCs w:val="20"/>
              </w:rPr>
            </w:pPr>
            <w:r w:rsidRPr="00305E84">
              <w:rPr>
                <w:b/>
                <w:sz w:val="20"/>
                <w:szCs w:val="20"/>
              </w:rPr>
              <w:t>Lineamientos:</w:t>
            </w:r>
          </w:p>
        </w:tc>
        <w:tc>
          <w:tcPr>
            <w:tcW w:w="2958" w:type="pct"/>
            <w:shd w:val="clear" w:color="auto" w:fill="auto"/>
            <w:vAlign w:val="center"/>
          </w:tcPr>
          <w:p w14:paraId="4AE89C1B" w14:textId="77777777" w:rsidR="00925A66" w:rsidRPr="00305E84" w:rsidRDefault="00925A66" w:rsidP="000A0507">
            <w:pPr>
              <w:spacing w:before="60" w:after="60" w:line="288" w:lineRule="auto"/>
              <w:ind w:left="57"/>
              <w:rPr>
                <w:sz w:val="20"/>
                <w:szCs w:val="20"/>
              </w:rPr>
            </w:pPr>
            <w:r w:rsidRPr="00305E84">
              <w:rPr>
                <w:sz w:val="20"/>
                <w:szCs w:val="20"/>
              </w:rPr>
              <w:t>Lineamientos para el registro, seguimiento y ejecución del cobro de sanciones impuestas por el Instituto Nacional Electoral y autoridades jurisdiccionales electorales del ámbito federal y local; así como para el registro y seguimiento del reintegro o retención de los remanentes no ejercidos del financiamiento público para gastos de campaña</w:t>
            </w:r>
          </w:p>
        </w:tc>
      </w:tr>
      <w:tr w:rsidR="00925A66" w:rsidRPr="00220C00" w14:paraId="1AF1A028" w14:textId="77777777" w:rsidTr="00E81481">
        <w:trPr>
          <w:trHeight w:val="624"/>
          <w:jc w:val="center"/>
        </w:trPr>
        <w:tc>
          <w:tcPr>
            <w:tcW w:w="2042" w:type="pct"/>
            <w:shd w:val="clear" w:color="auto" w:fill="auto"/>
            <w:vAlign w:val="center"/>
          </w:tcPr>
          <w:p w14:paraId="601B75BC" w14:textId="77777777" w:rsidR="00925A66" w:rsidRPr="00305E84" w:rsidRDefault="00925A66" w:rsidP="000A0507">
            <w:pPr>
              <w:spacing w:before="60" w:after="60" w:line="288" w:lineRule="auto"/>
              <w:ind w:left="57"/>
              <w:jc w:val="right"/>
              <w:rPr>
                <w:b/>
                <w:sz w:val="20"/>
                <w:szCs w:val="20"/>
              </w:rPr>
            </w:pPr>
            <w:r w:rsidRPr="00305E84">
              <w:rPr>
                <w:b/>
                <w:sz w:val="20"/>
                <w:szCs w:val="20"/>
              </w:rPr>
              <w:lastRenderedPageBreak/>
              <w:t>Organismo electoral:</w:t>
            </w:r>
          </w:p>
        </w:tc>
        <w:tc>
          <w:tcPr>
            <w:tcW w:w="2958" w:type="pct"/>
            <w:shd w:val="clear" w:color="auto" w:fill="auto"/>
            <w:vAlign w:val="center"/>
          </w:tcPr>
          <w:p w14:paraId="1880A975" w14:textId="77777777" w:rsidR="00925A66" w:rsidRPr="00305E84" w:rsidRDefault="00925A66" w:rsidP="000A0507">
            <w:pPr>
              <w:spacing w:before="60" w:after="60" w:line="288" w:lineRule="auto"/>
              <w:ind w:left="57"/>
              <w:rPr>
                <w:sz w:val="20"/>
                <w:szCs w:val="20"/>
              </w:rPr>
            </w:pPr>
            <w:r w:rsidRPr="00305E84">
              <w:rPr>
                <w:sz w:val="20"/>
                <w:szCs w:val="20"/>
              </w:rPr>
              <w:t xml:space="preserve">Organismo(s) público(s) local(es) electoral(es). </w:t>
            </w:r>
          </w:p>
        </w:tc>
      </w:tr>
      <w:tr w:rsidR="00925A66" w:rsidRPr="00220C00" w14:paraId="7CBA6F0E" w14:textId="77777777" w:rsidTr="00E81481">
        <w:trPr>
          <w:trHeight w:val="624"/>
          <w:jc w:val="center"/>
        </w:trPr>
        <w:tc>
          <w:tcPr>
            <w:tcW w:w="2042" w:type="pct"/>
            <w:shd w:val="clear" w:color="auto" w:fill="auto"/>
            <w:vAlign w:val="center"/>
          </w:tcPr>
          <w:p w14:paraId="3354778F" w14:textId="1B2C84B9" w:rsidR="00925A66" w:rsidRPr="00305E84" w:rsidRDefault="00925A66" w:rsidP="000A0507">
            <w:pPr>
              <w:spacing w:before="60" w:after="60" w:line="288" w:lineRule="auto"/>
              <w:ind w:left="57"/>
              <w:jc w:val="right"/>
              <w:rPr>
                <w:b/>
                <w:sz w:val="20"/>
                <w:szCs w:val="20"/>
              </w:rPr>
            </w:pPr>
            <w:r w:rsidRPr="00305E84">
              <w:rPr>
                <w:b/>
                <w:sz w:val="20"/>
                <w:szCs w:val="20"/>
              </w:rPr>
              <w:t>Reglamento de Fiscalización:</w:t>
            </w:r>
          </w:p>
        </w:tc>
        <w:tc>
          <w:tcPr>
            <w:tcW w:w="2958" w:type="pct"/>
            <w:shd w:val="clear" w:color="auto" w:fill="auto"/>
            <w:vAlign w:val="center"/>
          </w:tcPr>
          <w:p w14:paraId="4A7B7168" w14:textId="77777777" w:rsidR="00925A66" w:rsidRPr="00305E84" w:rsidRDefault="00925A66" w:rsidP="000A0507">
            <w:pPr>
              <w:spacing w:before="60" w:after="60" w:line="288" w:lineRule="auto"/>
              <w:ind w:left="57"/>
              <w:rPr>
                <w:sz w:val="20"/>
                <w:szCs w:val="20"/>
              </w:rPr>
            </w:pPr>
            <w:r w:rsidRPr="00305E84">
              <w:rPr>
                <w:sz w:val="20"/>
                <w:szCs w:val="20"/>
              </w:rPr>
              <w:t>Reglamento de Fiscalización del Instituto Nacional Electoral.</w:t>
            </w:r>
          </w:p>
        </w:tc>
      </w:tr>
      <w:tr w:rsidR="00925A66" w:rsidRPr="00220C00" w14:paraId="4D490DE0" w14:textId="77777777" w:rsidTr="00E81481">
        <w:trPr>
          <w:trHeight w:val="624"/>
          <w:jc w:val="center"/>
        </w:trPr>
        <w:tc>
          <w:tcPr>
            <w:tcW w:w="2042" w:type="pct"/>
            <w:shd w:val="clear" w:color="auto" w:fill="auto"/>
            <w:vAlign w:val="center"/>
          </w:tcPr>
          <w:p w14:paraId="174368D8" w14:textId="77777777" w:rsidR="00925A66" w:rsidRPr="00305E84" w:rsidRDefault="00925A66" w:rsidP="000A0507">
            <w:pPr>
              <w:spacing w:before="60" w:after="60" w:line="288" w:lineRule="auto"/>
              <w:ind w:left="57"/>
              <w:jc w:val="right"/>
              <w:rPr>
                <w:b/>
                <w:sz w:val="20"/>
                <w:szCs w:val="20"/>
              </w:rPr>
            </w:pPr>
            <w:r w:rsidRPr="00305E84">
              <w:rPr>
                <w:b/>
                <w:sz w:val="20"/>
                <w:szCs w:val="20"/>
              </w:rPr>
              <w:t>Secretaría Ejecutiva:</w:t>
            </w:r>
          </w:p>
        </w:tc>
        <w:tc>
          <w:tcPr>
            <w:tcW w:w="2958" w:type="pct"/>
            <w:shd w:val="clear" w:color="auto" w:fill="auto"/>
            <w:vAlign w:val="center"/>
          </w:tcPr>
          <w:p w14:paraId="1019EA95" w14:textId="77777777" w:rsidR="00925A66" w:rsidRPr="00305E84" w:rsidRDefault="00925A66" w:rsidP="000A0507">
            <w:pPr>
              <w:spacing w:before="60" w:after="60" w:line="288" w:lineRule="auto"/>
              <w:ind w:left="57"/>
              <w:rPr>
                <w:sz w:val="20"/>
                <w:szCs w:val="20"/>
              </w:rPr>
            </w:pPr>
            <w:r w:rsidRPr="00305E84">
              <w:rPr>
                <w:sz w:val="20"/>
                <w:szCs w:val="20"/>
              </w:rPr>
              <w:t>Secretaría Ejecutiva del Instituto Electoral y de Participación Ciudadana de Tabasco.</w:t>
            </w:r>
          </w:p>
        </w:tc>
      </w:tr>
    </w:tbl>
    <w:p w14:paraId="2508CA06" w14:textId="77777777" w:rsidR="00B106A6" w:rsidRPr="00220C00" w:rsidRDefault="00B106A6" w:rsidP="00B106A6"/>
    <w:p w14:paraId="295D96A8" w14:textId="5FA9F028" w:rsidR="0004782D" w:rsidRPr="00305E84" w:rsidRDefault="0004782D" w:rsidP="00CF2001">
      <w:pPr>
        <w:pStyle w:val="Ttulo1"/>
        <w:rPr>
          <w:sz w:val="24"/>
          <w:szCs w:val="24"/>
        </w:rPr>
      </w:pPr>
      <w:r w:rsidRPr="00305E84">
        <w:rPr>
          <w:sz w:val="24"/>
          <w:szCs w:val="24"/>
        </w:rPr>
        <w:t>Antecedentes</w:t>
      </w:r>
    </w:p>
    <w:p w14:paraId="6D6EB69B" w14:textId="77777777" w:rsidR="006659B7" w:rsidRPr="00305E84" w:rsidRDefault="006659B7" w:rsidP="006659B7">
      <w:pPr>
        <w:pStyle w:val="Ttulo2"/>
        <w:rPr>
          <w:sz w:val="23"/>
          <w:szCs w:val="23"/>
        </w:rPr>
      </w:pPr>
      <w:r w:rsidRPr="00305E84">
        <w:rPr>
          <w:sz w:val="23"/>
          <w:szCs w:val="23"/>
        </w:rPr>
        <w:t>Determinación y distribución del financiamiento público local para el ejercicio 2023</w:t>
      </w:r>
    </w:p>
    <w:p w14:paraId="56C24BC8" w14:textId="4B604268" w:rsidR="006659B7" w:rsidRPr="00305E84" w:rsidRDefault="006659B7" w:rsidP="006659B7">
      <w:pPr>
        <w:rPr>
          <w:sz w:val="23"/>
          <w:szCs w:val="23"/>
        </w:rPr>
      </w:pPr>
      <w:r w:rsidRPr="00305E84">
        <w:rPr>
          <w:sz w:val="23"/>
          <w:szCs w:val="23"/>
        </w:rPr>
        <w:t xml:space="preserve">El 15 de septiembre de 2022, el Consejo Estatal mediante acuerdo CE/2022/27 determinó y distribuyó el monto de financiamiento público local que correspondió a los partidos políticos </w:t>
      </w:r>
      <w:r w:rsidRPr="00305E84">
        <w:rPr>
          <w:b/>
          <w:sz w:val="23"/>
          <w:szCs w:val="23"/>
        </w:rPr>
        <w:t>Revolucionario Institucional, de la Revolución Democrática, Verde Ecologista de México, Movimiento Ciudadano y Morena</w:t>
      </w:r>
      <w:r w:rsidRPr="00305E84">
        <w:rPr>
          <w:sz w:val="23"/>
          <w:szCs w:val="23"/>
        </w:rPr>
        <w:t xml:space="preserve"> para el sostenimiento de sus actividades ordinarias permanentes y específicas para el presente ejercicio dos mil veintitrés</w:t>
      </w:r>
    </w:p>
    <w:p w14:paraId="315158D3" w14:textId="6F7E32D4" w:rsidR="00B51FD9" w:rsidRPr="00305E84" w:rsidRDefault="002E7AAE" w:rsidP="00AE733B">
      <w:pPr>
        <w:pStyle w:val="Ttulo2"/>
        <w:rPr>
          <w:sz w:val="23"/>
          <w:szCs w:val="23"/>
        </w:rPr>
      </w:pPr>
      <w:r w:rsidRPr="00305E84">
        <w:rPr>
          <w:sz w:val="23"/>
          <w:szCs w:val="23"/>
        </w:rPr>
        <w:t>Determinación de los remanentes</w:t>
      </w:r>
    </w:p>
    <w:p w14:paraId="2DEF44A8" w14:textId="5229B0FC" w:rsidR="002E7AAE" w:rsidRPr="00305E84" w:rsidRDefault="002E7AAE" w:rsidP="00164F4D">
      <w:pPr>
        <w:rPr>
          <w:sz w:val="23"/>
          <w:szCs w:val="23"/>
        </w:rPr>
      </w:pPr>
      <w:r w:rsidRPr="00305E84">
        <w:rPr>
          <w:sz w:val="23"/>
          <w:szCs w:val="23"/>
        </w:rPr>
        <w:t>El 30 de marzo de 2023, el Consejo General del INE</w:t>
      </w:r>
      <w:r w:rsidR="00085523" w:rsidRPr="00305E84">
        <w:rPr>
          <w:sz w:val="23"/>
          <w:szCs w:val="23"/>
        </w:rPr>
        <w:t xml:space="preserve">, mediante acuerdo </w:t>
      </w:r>
      <w:r w:rsidR="00B87349" w:rsidRPr="00305E84">
        <w:rPr>
          <w:sz w:val="23"/>
          <w:szCs w:val="23"/>
        </w:rPr>
        <w:t>INE/CG232/2023,</w:t>
      </w:r>
      <w:r w:rsidRPr="00305E84">
        <w:rPr>
          <w:sz w:val="23"/>
          <w:szCs w:val="23"/>
        </w:rPr>
        <w:t xml:space="preserve"> determinó los remanentes de financiamiento público de campaña no ejercidos durante el Proceso Electoral Federal y Locales concurrentes 2020 – 2021 que deberán reintegrarse a la tesorería de la federación o su equivalente en el ámbito local, así como los saldos de los pasivos no liquidados.</w:t>
      </w:r>
    </w:p>
    <w:p w14:paraId="1E7426D8" w14:textId="2DEB9B5D" w:rsidR="00FD2965" w:rsidRPr="00305E84" w:rsidRDefault="00FD2965" w:rsidP="00164F4D">
      <w:pPr>
        <w:rPr>
          <w:b/>
          <w:bCs/>
          <w:sz w:val="23"/>
          <w:szCs w:val="23"/>
        </w:rPr>
      </w:pPr>
      <w:r w:rsidRPr="00305E84">
        <w:rPr>
          <w:sz w:val="23"/>
          <w:szCs w:val="23"/>
        </w:rPr>
        <w:t>En lo que respecta a</w:t>
      </w:r>
      <w:r w:rsidR="00D65B48" w:rsidRPr="00305E84">
        <w:rPr>
          <w:sz w:val="23"/>
          <w:szCs w:val="23"/>
        </w:rPr>
        <w:t>l estado de Tabasco</w:t>
      </w:r>
      <w:r w:rsidRPr="00305E84">
        <w:rPr>
          <w:sz w:val="23"/>
          <w:szCs w:val="23"/>
        </w:rPr>
        <w:t xml:space="preserve">, el INE determinó que el Partido Morena debe reintegrar un remanente por la cantidad de </w:t>
      </w:r>
      <w:r w:rsidRPr="00305E84">
        <w:rPr>
          <w:b/>
          <w:bCs/>
          <w:sz w:val="23"/>
          <w:szCs w:val="23"/>
        </w:rPr>
        <w:t>$</w:t>
      </w:r>
      <w:bookmarkStart w:id="0" w:name="OLE_LINK2"/>
      <w:r w:rsidRPr="00305E84">
        <w:rPr>
          <w:b/>
          <w:bCs/>
          <w:sz w:val="23"/>
          <w:szCs w:val="23"/>
        </w:rPr>
        <w:t xml:space="preserve">1’815,684.75 </w:t>
      </w:r>
      <w:bookmarkEnd w:id="0"/>
      <w:r w:rsidRPr="00305E84">
        <w:rPr>
          <w:b/>
          <w:bCs/>
          <w:sz w:val="23"/>
          <w:szCs w:val="23"/>
        </w:rPr>
        <w:t>(un millón ochocientos quince mil seiscientos ochenta y cuatro pesos 75/100 moneda nacional).</w:t>
      </w:r>
    </w:p>
    <w:p w14:paraId="2FC02E87" w14:textId="08CA5309" w:rsidR="003D1E94" w:rsidRPr="00305E84" w:rsidRDefault="003D1E94" w:rsidP="003D1E94">
      <w:pPr>
        <w:pStyle w:val="Ttulo2"/>
        <w:rPr>
          <w:sz w:val="23"/>
          <w:szCs w:val="23"/>
        </w:rPr>
      </w:pPr>
      <w:r w:rsidRPr="00305E84">
        <w:rPr>
          <w:sz w:val="23"/>
          <w:szCs w:val="23"/>
        </w:rPr>
        <w:lastRenderedPageBreak/>
        <w:t>Requerimiento al Partido Morena</w:t>
      </w:r>
    </w:p>
    <w:p w14:paraId="54BEB13A" w14:textId="7B6305E4" w:rsidR="003D1E94" w:rsidRPr="00305E84" w:rsidRDefault="00AF0D10" w:rsidP="003D1E94">
      <w:pPr>
        <w:rPr>
          <w:sz w:val="23"/>
          <w:szCs w:val="23"/>
        </w:rPr>
      </w:pPr>
      <w:r w:rsidRPr="00305E84">
        <w:rPr>
          <w:sz w:val="23"/>
          <w:szCs w:val="23"/>
        </w:rPr>
        <w:t>El 30 de agosto de 2023, m</w:t>
      </w:r>
      <w:r w:rsidR="003C1AFC" w:rsidRPr="00305E84">
        <w:rPr>
          <w:sz w:val="23"/>
          <w:szCs w:val="23"/>
        </w:rPr>
        <w:t>ediante oficio OTF/</w:t>
      </w:r>
      <w:r w:rsidR="00FB7DA4" w:rsidRPr="00305E84">
        <w:rPr>
          <w:sz w:val="23"/>
          <w:szCs w:val="23"/>
        </w:rPr>
        <w:t>075/</w:t>
      </w:r>
      <w:r w:rsidR="003C1AFC" w:rsidRPr="00305E84">
        <w:rPr>
          <w:sz w:val="23"/>
          <w:szCs w:val="23"/>
        </w:rPr>
        <w:t>2025, el titular del Órgano Técnico de Fiscalización requirió al Partido Morena por conducto de la Secretaria de Finanzas del Comité Ejecutivo Estatal, el reintegro de la cantidad mencionada</w:t>
      </w:r>
      <w:r w:rsidR="0035687F" w:rsidRPr="00305E84">
        <w:rPr>
          <w:sz w:val="23"/>
          <w:szCs w:val="23"/>
        </w:rPr>
        <w:t>. P</w:t>
      </w:r>
      <w:r w:rsidR="003C1AFC" w:rsidRPr="00305E84">
        <w:rPr>
          <w:sz w:val="23"/>
          <w:szCs w:val="23"/>
        </w:rPr>
        <w:t xml:space="preserve">ara tales efectos, </w:t>
      </w:r>
      <w:r w:rsidR="0035687F" w:rsidRPr="00305E84">
        <w:rPr>
          <w:sz w:val="23"/>
          <w:szCs w:val="23"/>
        </w:rPr>
        <w:t xml:space="preserve">se </w:t>
      </w:r>
      <w:r w:rsidR="003C1AFC" w:rsidRPr="00305E84">
        <w:rPr>
          <w:sz w:val="23"/>
          <w:szCs w:val="23"/>
        </w:rPr>
        <w:t xml:space="preserve">hizo de su conocimiento el nombre </w:t>
      </w:r>
      <w:r w:rsidR="0035687F" w:rsidRPr="00305E84">
        <w:rPr>
          <w:sz w:val="23"/>
          <w:szCs w:val="23"/>
        </w:rPr>
        <w:t>del beneficiario</w:t>
      </w:r>
      <w:r w:rsidR="003C1AFC" w:rsidRPr="00305E84">
        <w:rPr>
          <w:sz w:val="23"/>
          <w:szCs w:val="23"/>
        </w:rPr>
        <w:t>, la cuenta y CLABE e institución bancaria</w:t>
      </w:r>
      <w:r w:rsidR="006B44F5" w:rsidRPr="00305E84">
        <w:rPr>
          <w:sz w:val="23"/>
          <w:szCs w:val="23"/>
        </w:rPr>
        <w:t xml:space="preserve"> </w:t>
      </w:r>
      <w:r w:rsidR="00131E02" w:rsidRPr="00305E84">
        <w:rPr>
          <w:sz w:val="23"/>
          <w:szCs w:val="23"/>
        </w:rPr>
        <w:t xml:space="preserve">para que </w:t>
      </w:r>
      <w:r w:rsidR="0035687F" w:rsidRPr="00305E84">
        <w:rPr>
          <w:sz w:val="23"/>
          <w:szCs w:val="23"/>
        </w:rPr>
        <w:t>cumpli</w:t>
      </w:r>
      <w:r w:rsidR="006B44F5" w:rsidRPr="00305E84">
        <w:rPr>
          <w:sz w:val="23"/>
          <w:szCs w:val="23"/>
        </w:rPr>
        <w:t>era</w:t>
      </w:r>
      <w:r w:rsidR="0035687F" w:rsidRPr="00305E84">
        <w:rPr>
          <w:sz w:val="23"/>
          <w:szCs w:val="23"/>
        </w:rPr>
        <w:t xml:space="preserve"> con lo determinado por el INE.</w:t>
      </w:r>
    </w:p>
    <w:p w14:paraId="770FD943" w14:textId="40010967" w:rsidR="006F044C" w:rsidRPr="00305E84" w:rsidRDefault="00AA3739" w:rsidP="00AE733B">
      <w:pPr>
        <w:pStyle w:val="Ttulo2"/>
        <w:rPr>
          <w:sz w:val="23"/>
          <w:szCs w:val="23"/>
        </w:rPr>
      </w:pPr>
      <w:r w:rsidRPr="00305E84">
        <w:rPr>
          <w:sz w:val="23"/>
          <w:szCs w:val="23"/>
        </w:rPr>
        <w:t>Solicitud de ejecución</w:t>
      </w:r>
    </w:p>
    <w:p w14:paraId="58C6B4FE" w14:textId="13E69C0C" w:rsidR="00AA3739" w:rsidRPr="00305E84" w:rsidRDefault="004E3BD9" w:rsidP="006F044C">
      <w:pPr>
        <w:rPr>
          <w:sz w:val="23"/>
          <w:szCs w:val="23"/>
        </w:rPr>
      </w:pPr>
      <w:r w:rsidRPr="00305E84">
        <w:rPr>
          <w:sz w:val="23"/>
          <w:szCs w:val="23"/>
        </w:rPr>
        <w:t>Concluido el período para el reintegro correspondiente y ante la omisión del Partido Morena</w:t>
      </w:r>
      <w:r w:rsidR="00AF0D10" w:rsidRPr="00305E84">
        <w:rPr>
          <w:sz w:val="23"/>
          <w:szCs w:val="23"/>
        </w:rPr>
        <w:t xml:space="preserve"> de reintegrar el monto requerido</w:t>
      </w:r>
      <w:r w:rsidRPr="00305E84">
        <w:rPr>
          <w:sz w:val="23"/>
          <w:szCs w:val="23"/>
        </w:rPr>
        <w:t>, mediante oficio OTF/079/2023 de fecha</w:t>
      </w:r>
      <w:r w:rsidR="00AA3739" w:rsidRPr="00305E84">
        <w:rPr>
          <w:sz w:val="23"/>
          <w:szCs w:val="23"/>
        </w:rPr>
        <w:t xml:space="preserve"> 11 de septiembre de 2023, el titular del Órgano Técnico de Fiscalización</w:t>
      </w:r>
      <w:r w:rsidRPr="00305E84">
        <w:rPr>
          <w:sz w:val="23"/>
          <w:szCs w:val="23"/>
        </w:rPr>
        <w:t xml:space="preserve"> </w:t>
      </w:r>
      <w:r w:rsidR="00AA3739" w:rsidRPr="00305E84">
        <w:rPr>
          <w:sz w:val="23"/>
          <w:szCs w:val="23"/>
        </w:rPr>
        <w:t xml:space="preserve">solicitó a la Secretaría Ejecutiva se procediera con la retención del remanente a reintegrar de las ministraciones mensuales que por financiamiento público local corresponde al </w:t>
      </w:r>
      <w:r w:rsidR="003C4FBD" w:rsidRPr="00305E84">
        <w:rPr>
          <w:sz w:val="23"/>
          <w:szCs w:val="23"/>
        </w:rPr>
        <w:t>dicho p</w:t>
      </w:r>
      <w:r w:rsidR="00AA3739" w:rsidRPr="00305E84">
        <w:rPr>
          <w:sz w:val="23"/>
          <w:szCs w:val="23"/>
        </w:rPr>
        <w:t>artido determinado por el Consejo General del INE mediante acuerdo INE/CG232/2023.</w:t>
      </w:r>
    </w:p>
    <w:p w14:paraId="536C227C" w14:textId="40F755D4" w:rsidR="00AF51ED" w:rsidRPr="00305E84" w:rsidRDefault="00AF51ED" w:rsidP="00AF51ED">
      <w:pPr>
        <w:pStyle w:val="Ttulo2"/>
        <w:rPr>
          <w:sz w:val="23"/>
          <w:szCs w:val="23"/>
        </w:rPr>
      </w:pPr>
      <w:r w:rsidRPr="00305E84">
        <w:rPr>
          <w:sz w:val="23"/>
          <w:szCs w:val="23"/>
        </w:rPr>
        <w:t>Redistribución de financiamiento público local</w:t>
      </w:r>
    </w:p>
    <w:p w14:paraId="6BA48625" w14:textId="54BEE620" w:rsidR="00AF51ED" w:rsidRPr="00305E84" w:rsidRDefault="00AF51ED" w:rsidP="006F044C">
      <w:pPr>
        <w:rPr>
          <w:sz w:val="23"/>
          <w:szCs w:val="23"/>
        </w:rPr>
      </w:pPr>
      <w:r w:rsidRPr="00305E84">
        <w:rPr>
          <w:sz w:val="23"/>
          <w:szCs w:val="23"/>
        </w:rPr>
        <w:t xml:space="preserve">El </w:t>
      </w:r>
      <w:r w:rsidR="00C019D5" w:rsidRPr="00305E84">
        <w:rPr>
          <w:sz w:val="23"/>
          <w:szCs w:val="23"/>
        </w:rPr>
        <w:t>6</w:t>
      </w:r>
      <w:r w:rsidRPr="00305E84">
        <w:rPr>
          <w:sz w:val="23"/>
          <w:szCs w:val="23"/>
        </w:rPr>
        <w:t xml:space="preserve"> de octubre de la presente anualidad, en virtud de la acreditación de los partidos políticos Acción Nacional y del Trabajo, </w:t>
      </w:r>
      <w:r w:rsidR="000762FB" w:rsidRPr="00305E84">
        <w:rPr>
          <w:sz w:val="23"/>
          <w:szCs w:val="23"/>
        </w:rPr>
        <w:t>este Consejo Estatal</w:t>
      </w:r>
      <w:r w:rsidR="000F7C76" w:rsidRPr="00305E84">
        <w:rPr>
          <w:sz w:val="23"/>
          <w:szCs w:val="23"/>
        </w:rPr>
        <w:t xml:space="preserve"> </w:t>
      </w:r>
      <w:r w:rsidRPr="00305E84">
        <w:rPr>
          <w:sz w:val="23"/>
          <w:szCs w:val="23"/>
        </w:rPr>
        <w:t>redistribuyó el financiamiento público local asignado para el ejercicio 2023 que corresponde a los partidos políticos nacionales.</w:t>
      </w:r>
    </w:p>
    <w:p w14:paraId="74A1D549" w14:textId="77777777" w:rsidR="00740B50" w:rsidRPr="00305E84" w:rsidRDefault="00740B50" w:rsidP="003F04C3">
      <w:pPr>
        <w:pStyle w:val="Ttulo1"/>
        <w:rPr>
          <w:sz w:val="24"/>
          <w:szCs w:val="24"/>
        </w:rPr>
      </w:pPr>
      <w:r w:rsidRPr="00305E84">
        <w:rPr>
          <w:sz w:val="24"/>
          <w:szCs w:val="24"/>
        </w:rPr>
        <w:t>Considerando</w:t>
      </w:r>
    </w:p>
    <w:p w14:paraId="7F8052D8" w14:textId="37F08DD9" w:rsidR="00740B50" w:rsidRPr="00305E84" w:rsidRDefault="00740B50" w:rsidP="00AE733B">
      <w:pPr>
        <w:pStyle w:val="Ttulo2"/>
        <w:rPr>
          <w:sz w:val="23"/>
          <w:szCs w:val="23"/>
        </w:rPr>
      </w:pPr>
      <w:r w:rsidRPr="00305E84">
        <w:rPr>
          <w:sz w:val="23"/>
          <w:szCs w:val="23"/>
        </w:rPr>
        <w:t xml:space="preserve">Fines del Instituto </w:t>
      </w:r>
    </w:p>
    <w:p w14:paraId="78F71616" w14:textId="227E816B" w:rsidR="00740B50" w:rsidRPr="00305E84" w:rsidRDefault="00740B50" w:rsidP="00164F4D">
      <w:pPr>
        <w:rPr>
          <w:sz w:val="23"/>
          <w:szCs w:val="23"/>
        </w:rPr>
      </w:pPr>
      <w:r w:rsidRPr="00305E84">
        <w:rPr>
          <w:sz w:val="23"/>
          <w:szCs w:val="23"/>
        </w:rPr>
        <w:t xml:space="preserve">Que, de conformidad con los artículos 9, apartado C, fracción I, de la Constitución Local, 3 numeral 3, 100 y 102 numeral 1, de la Ley Electoral, el Instituto es un organismo público local de carácter permanente, autónomo en su funcionamiento, independiente en sus decisiones y profesional en su desempeño, dotado de personalidad jurídica y patrimonio propio, cuyas actuaciones se rigen por los principios de certeza, legalidad, independencia, inclusión, imparcialidad, máxima publicidad, transparencia, rendición de </w:t>
      </w:r>
      <w:r w:rsidRPr="00305E84">
        <w:rPr>
          <w:sz w:val="23"/>
          <w:szCs w:val="23"/>
        </w:rPr>
        <w:lastRenderedPageBreak/>
        <w:t>cuentas, objetividad, paridad, interculturalidad y las realizarán con perspectiva de género y enfoque de derechos humanos.</w:t>
      </w:r>
    </w:p>
    <w:p w14:paraId="3A17404E" w14:textId="776C0E65" w:rsidR="00740B50" w:rsidRPr="00305E84" w:rsidRDefault="00740B50" w:rsidP="00164F4D">
      <w:pPr>
        <w:rPr>
          <w:sz w:val="23"/>
          <w:szCs w:val="23"/>
        </w:rPr>
      </w:pPr>
      <w:r w:rsidRPr="00305E84">
        <w:rPr>
          <w:sz w:val="23"/>
          <w:szCs w:val="23"/>
        </w:rPr>
        <w:t xml:space="preserve">De acuerdo con el artículo 101 de la Ley Electoral, el Instituto tiene como finalidades: contribuir al desarrollo de la vida pública y democrática en el estado de Tabasco; preservar el fortalecimiento del régimen de partidos políticos; asegurar a las ciudadanas y ciudadanos el ejercicio de sus derechos políticos electorales y vigilar el cumplimiento de sus obligaciones; garantizar la celebración periódica y pacífica de las elecciones para renovar a los integrantes de los poderes Legislativo, Ejecutivo y los </w:t>
      </w:r>
      <w:r w:rsidR="0033792E" w:rsidRPr="00305E84">
        <w:rPr>
          <w:sz w:val="23"/>
          <w:szCs w:val="23"/>
        </w:rPr>
        <w:t>A</w:t>
      </w:r>
      <w:r w:rsidRPr="00305E84">
        <w:rPr>
          <w:sz w:val="23"/>
          <w:szCs w:val="23"/>
        </w:rPr>
        <w:t>yuntamientos del Estado; velar por la autenticidad y efectividad del voto; llevar a cabo la promoción del voto y coadyuvar en la difusión de la educación cívica y de la cultura democrática; garantizar la paridad de género y el respeto de los derechos humanos de las mujeres en el ámbito político y electoral; y, organizar o coadyuvar a la realización de los ejercicios de consultas populares y demás formas de participación ciudadana, de conformidad con lo que dispongan las leyes.</w:t>
      </w:r>
    </w:p>
    <w:p w14:paraId="290AC2FC" w14:textId="76D6C564" w:rsidR="00740B50" w:rsidRPr="00305E84" w:rsidRDefault="00740B50" w:rsidP="00AE733B">
      <w:pPr>
        <w:pStyle w:val="Ttulo2"/>
        <w:rPr>
          <w:sz w:val="23"/>
          <w:szCs w:val="23"/>
        </w:rPr>
      </w:pPr>
      <w:r w:rsidRPr="00305E84">
        <w:rPr>
          <w:sz w:val="23"/>
          <w:szCs w:val="23"/>
        </w:rPr>
        <w:t xml:space="preserve">Órganos Centrales del Instituto </w:t>
      </w:r>
    </w:p>
    <w:p w14:paraId="1CE6FE70" w14:textId="285F85BD" w:rsidR="00740B50" w:rsidRPr="00305E84" w:rsidRDefault="00740B50" w:rsidP="00164F4D">
      <w:pPr>
        <w:rPr>
          <w:sz w:val="23"/>
          <w:szCs w:val="23"/>
        </w:rPr>
      </w:pPr>
      <w:r w:rsidRPr="00305E84">
        <w:rPr>
          <w:sz w:val="23"/>
          <w:szCs w:val="23"/>
        </w:rPr>
        <w:t>Que, el artículo 105 de la Ley Electoral, señala que el Consejo Estatal; la Presidencia del Consejo Estatal; la Junta Estatal Ejecutiva, la Secretaría Ejecutiva y el Órgano Técnico de Fiscalización, constituyen los órganos centrales del Instituto.</w:t>
      </w:r>
    </w:p>
    <w:p w14:paraId="64BBCDB3" w14:textId="49A20EEC" w:rsidR="00740B50" w:rsidRPr="00305E84" w:rsidRDefault="00740B50" w:rsidP="00AE733B">
      <w:pPr>
        <w:pStyle w:val="Ttulo2"/>
        <w:rPr>
          <w:sz w:val="23"/>
          <w:szCs w:val="23"/>
        </w:rPr>
      </w:pPr>
      <w:r w:rsidRPr="00305E84">
        <w:rPr>
          <w:sz w:val="23"/>
          <w:szCs w:val="23"/>
        </w:rPr>
        <w:t xml:space="preserve">Órgano Superior de Dirección del Instituto </w:t>
      </w:r>
    </w:p>
    <w:p w14:paraId="13CF4304" w14:textId="739A799A" w:rsidR="00740B50" w:rsidRPr="00305E84" w:rsidRDefault="00740B50" w:rsidP="00164F4D">
      <w:pPr>
        <w:rPr>
          <w:sz w:val="23"/>
          <w:szCs w:val="23"/>
        </w:rPr>
      </w:pPr>
      <w:r w:rsidRPr="00305E84">
        <w:rPr>
          <w:sz w:val="23"/>
          <w:szCs w:val="23"/>
        </w:rPr>
        <w:t>Que, de acuerdo con el artículo 106 de la Ley Electoral, el Consejo Estatal es el órgano superior de dirección, responsable de vigilar el cumplimiento de las disposiciones constitucionales y legales en materia electoral, así como de velar porque los principios de certeza, legalidad, independencia, máxima publicidad, imparcialidad, objetividad y paridad de género, guíen todas las actividades del Instituto.</w:t>
      </w:r>
    </w:p>
    <w:p w14:paraId="1B202170" w14:textId="77777777" w:rsidR="00740B50" w:rsidRPr="00305E84" w:rsidRDefault="00740B50" w:rsidP="00AE733B">
      <w:pPr>
        <w:pStyle w:val="Ttulo2"/>
        <w:rPr>
          <w:sz w:val="23"/>
          <w:szCs w:val="23"/>
        </w:rPr>
      </w:pPr>
      <w:r w:rsidRPr="00305E84">
        <w:rPr>
          <w:sz w:val="23"/>
          <w:szCs w:val="23"/>
        </w:rPr>
        <w:t>Integración del Órgano de Dirección Superior</w:t>
      </w:r>
    </w:p>
    <w:p w14:paraId="3AAF98EF" w14:textId="77777777" w:rsidR="00740B50" w:rsidRPr="00305E84" w:rsidRDefault="00740B50" w:rsidP="00164F4D">
      <w:pPr>
        <w:rPr>
          <w:sz w:val="23"/>
          <w:szCs w:val="23"/>
        </w:rPr>
      </w:pPr>
      <w:r w:rsidRPr="00305E84">
        <w:rPr>
          <w:sz w:val="23"/>
          <w:szCs w:val="23"/>
        </w:rPr>
        <w:t xml:space="preserve">Que, los artículos 99 de la Ley General y 107, numeral 1 de la Ley Electoral, disponen que el Consejo Estatal se integrará por una Consejera o un Consejero Presidente y seis consejeras y consejeros electorales, con voz y voto; la Secretaria o el Secretario </w:t>
      </w:r>
      <w:r w:rsidRPr="00305E84">
        <w:rPr>
          <w:sz w:val="23"/>
          <w:szCs w:val="23"/>
        </w:rPr>
        <w:lastRenderedPageBreak/>
        <w:t>Ejecutivo y una o un representante por cada partido político con registro nacional o estatal, quienes concurrirán a las sesiones sólo con derecho a voz.</w:t>
      </w:r>
    </w:p>
    <w:p w14:paraId="7D8ADB18" w14:textId="77777777" w:rsidR="00740B50" w:rsidRPr="00305E84" w:rsidRDefault="00740B50" w:rsidP="00AE733B">
      <w:pPr>
        <w:pStyle w:val="Ttulo2"/>
        <w:rPr>
          <w:sz w:val="23"/>
          <w:szCs w:val="23"/>
        </w:rPr>
      </w:pPr>
      <w:r w:rsidRPr="00305E84">
        <w:rPr>
          <w:sz w:val="23"/>
          <w:szCs w:val="23"/>
        </w:rPr>
        <w:t xml:space="preserve">Competencia del Consejo Estatal </w:t>
      </w:r>
    </w:p>
    <w:p w14:paraId="2ED5797E" w14:textId="7C728077" w:rsidR="00505CFD" w:rsidRPr="00305E84" w:rsidRDefault="00740B50" w:rsidP="006F044C">
      <w:pPr>
        <w:rPr>
          <w:sz w:val="23"/>
          <w:szCs w:val="23"/>
        </w:rPr>
      </w:pPr>
      <w:r w:rsidRPr="00305E84">
        <w:rPr>
          <w:sz w:val="23"/>
          <w:szCs w:val="23"/>
        </w:rPr>
        <w:t xml:space="preserve">Que, de conformidad con </w:t>
      </w:r>
      <w:r w:rsidR="00C01498" w:rsidRPr="00305E84">
        <w:rPr>
          <w:sz w:val="23"/>
          <w:szCs w:val="23"/>
        </w:rPr>
        <w:t xml:space="preserve">el artículo 115 numeral 1 fracciones </w:t>
      </w:r>
      <w:r w:rsidR="003C4FBD" w:rsidRPr="00305E84">
        <w:rPr>
          <w:sz w:val="23"/>
          <w:szCs w:val="23"/>
        </w:rPr>
        <w:t>I y</w:t>
      </w:r>
      <w:r w:rsidR="00AB2E30" w:rsidRPr="00305E84">
        <w:rPr>
          <w:sz w:val="23"/>
          <w:szCs w:val="23"/>
        </w:rPr>
        <w:t xml:space="preserve"> </w:t>
      </w:r>
      <w:r w:rsidR="006F044C" w:rsidRPr="00305E84">
        <w:rPr>
          <w:sz w:val="23"/>
          <w:szCs w:val="23"/>
        </w:rPr>
        <w:t xml:space="preserve">X </w:t>
      </w:r>
      <w:r w:rsidR="008F0665" w:rsidRPr="00305E84">
        <w:rPr>
          <w:sz w:val="23"/>
          <w:szCs w:val="23"/>
        </w:rPr>
        <w:t>de la Ley Electoral, el Consejo Estatal es competente para</w:t>
      </w:r>
      <w:r w:rsidR="006F044C" w:rsidRPr="00305E84">
        <w:rPr>
          <w:sz w:val="23"/>
          <w:szCs w:val="23"/>
        </w:rPr>
        <w:t xml:space="preserve"> </w:t>
      </w:r>
      <w:r w:rsidR="00AB2E30" w:rsidRPr="00305E84">
        <w:rPr>
          <w:sz w:val="23"/>
          <w:szCs w:val="23"/>
        </w:rPr>
        <w:t xml:space="preserve">aplicar las disposiciones generales, reglas, lineamientos, criterios y formatos que, en ejercicio de sus facultades, establezca el INE; así como para </w:t>
      </w:r>
      <w:r w:rsidR="006F044C" w:rsidRPr="00305E84">
        <w:rPr>
          <w:sz w:val="23"/>
          <w:szCs w:val="23"/>
        </w:rPr>
        <w:t>garantizar la ministración oportuna del financiamiento público a que tienen derechos los partidos políticos nacionales y locales</w:t>
      </w:r>
      <w:r w:rsidR="00AB2E30" w:rsidRPr="00305E84">
        <w:rPr>
          <w:sz w:val="23"/>
          <w:szCs w:val="23"/>
        </w:rPr>
        <w:t>;</w:t>
      </w:r>
      <w:r w:rsidR="006F044C" w:rsidRPr="00305E84">
        <w:rPr>
          <w:sz w:val="23"/>
          <w:szCs w:val="23"/>
        </w:rPr>
        <w:t xml:space="preserve"> </w:t>
      </w:r>
      <w:r w:rsidR="00AB2E30" w:rsidRPr="00305E84">
        <w:rPr>
          <w:sz w:val="23"/>
          <w:szCs w:val="23"/>
        </w:rPr>
        <w:t xml:space="preserve">y, </w:t>
      </w:r>
      <w:r w:rsidR="006F044C" w:rsidRPr="00305E84">
        <w:rPr>
          <w:sz w:val="23"/>
          <w:szCs w:val="23"/>
        </w:rPr>
        <w:t>los derechos y el acceso a las prerrogativas de los partidos políticos</w:t>
      </w:r>
      <w:r w:rsidR="00AB2E30" w:rsidRPr="00305E84">
        <w:rPr>
          <w:sz w:val="23"/>
          <w:szCs w:val="23"/>
        </w:rPr>
        <w:t xml:space="preserve"> </w:t>
      </w:r>
      <w:r w:rsidR="006F044C" w:rsidRPr="00305E84">
        <w:rPr>
          <w:sz w:val="23"/>
          <w:szCs w:val="23"/>
        </w:rPr>
        <w:t>en estricto apego a la Ley</w:t>
      </w:r>
      <w:r w:rsidR="00505CFD" w:rsidRPr="00305E84">
        <w:rPr>
          <w:sz w:val="23"/>
          <w:szCs w:val="23"/>
        </w:rPr>
        <w:t>.</w:t>
      </w:r>
    </w:p>
    <w:p w14:paraId="5E463F78" w14:textId="77777777" w:rsidR="00740B50" w:rsidRPr="00305E84" w:rsidRDefault="00740B50" w:rsidP="00164F4D">
      <w:pPr>
        <w:rPr>
          <w:sz w:val="23"/>
          <w:szCs w:val="23"/>
        </w:rPr>
      </w:pPr>
      <w:r w:rsidRPr="00305E84">
        <w:rPr>
          <w:sz w:val="23"/>
          <w:szCs w:val="23"/>
        </w:rPr>
        <w:t>Acorde a lo anterior, el artículo 115, numeral 2 de la Ley Electoral, señala que, para el debido ejercicio de las facultades y atribuciones del Instituto Estatal, derivados de caso fortuito o causa de fuerza mayor; o en situaciones de falta o insuficiencia de previsión normativa o reglamentaria, el Consejo Estatal podrá dictar los acuerdos necesarios que resulten pertinentes para garantizar el oportuno y adecuado cumplimiento de las funciones que corresponda, siempre en apego a sus facultades y a los principios rectores de la función electoral.</w:t>
      </w:r>
    </w:p>
    <w:p w14:paraId="5DE54955" w14:textId="637230BC" w:rsidR="00390D86" w:rsidRPr="00305E84" w:rsidRDefault="008A286B" w:rsidP="00AE733B">
      <w:pPr>
        <w:pStyle w:val="Ttulo2"/>
        <w:rPr>
          <w:sz w:val="23"/>
          <w:szCs w:val="23"/>
        </w:rPr>
      </w:pPr>
      <w:r w:rsidRPr="00305E84">
        <w:rPr>
          <w:sz w:val="23"/>
          <w:szCs w:val="23"/>
        </w:rPr>
        <w:t>Fines de los p</w:t>
      </w:r>
      <w:r w:rsidR="00390D86" w:rsidRPr="00305E84">
        <w:rPr>
          <w:sz w:val="23"/>
          <w:szCs w:val="23"/>
        </w:rPr>
        <w:t>artidos políticos</w:t>
      </w:r>
    </w:p>
    <w:p w14:paraId="273AC6D1" w14:textId="53DD1F77" w:rsidR="00B7643C" w:rsidRPr="00305E84" w:rsidRDefault="00B7643C" w:rsidP="00164F4D">
      <w:pPr>
        <w:rPr>
          <w:sz w:val="23"/>
          <w:szCs w:val="23"/>
        </w:rPr>
      </w:pPr>
      <w:r w:rsidRPr="00305E84">
        <w:rPr>
          <w:sz w:val="23"/>
          <w:szCs w:val="23"/>
        </w:rPr>
        <w:t xml:space="preserve">Que, de conformidad con los artículos 41, </w:t>
      </w:r>
      <w:r w:rsidR="00AE1822" w:rsidRPr="00305E84">
        <w:rPr>
          <w:sz w:val="23"/>
          <w:szCs w:val="23"/>
        </w:rPr>
        <w:t>B</w:t>
      </w:r>
      <w:r w:rsidRPr="00305E84">
        <w:rPr>
          <w:sz w:val="23"/>
          <w:szCs w:val="23"/>
        </w:rPr>
        <w:t>ase I de la Constitución Federal, 9 apartado “A”, fracción I, párrafo segundo de la Constitución Local, 3, numeral 1 de la Ley de Partidos y 33 numeral 4, de la Ley Electoral, los partidos políticos son entidades de interés público que tienen como fin promover la participación del pueblo en la vida democrática, fomentar el principio de paridad de género, contribuir a la integración de los órganos de representación política, y como organizaciones ciudadanas, hacer posible su acceso al ejercicio del poder público, de acuerdo con los programas, principios e ideas que postulan y mediante el sufragio universal, libre, secreto y directo, así como con las reglas que marque la ley electoral para garantizar la paridad de género, en las candidaturas a los distintos cargos de elección popular.</w:t>
      </w:r>
    </w:p>
    <w:p w14:paraId="45842564" w14:textId="1A2FD799" w:rsidR="008A286B" w:rsidRPr="00305E84" w:rsidRDefault="008A286B" w:rsidP="00167801">
      <w:pPr>
        <w:rPr>
          <w:sz w:val="23"/>
          <w:szCs w:val="23"/>
        </w:rPr>
      </w:pPr>
      <w:r w:rsidRPr="00305E84">
        <w:rPr>
          <w:sz w:val="23"/>
          <w:szCs w:val="23"/>
        </w:rPr>
        <w:lastRenderedPageBreak/>
        <w:t>Además,</w:t>
      </w:r>
      <w:r w:rsidR="00167801" w:rsidRPr="00305E84">
        <w:rPr>
          <w:sz w:val="23"/>
          <w:szCs w:val="23"/>
        </w:rPr>
        <w:t xml:space="preserve"> conforme a lo dispuesto en la Base I del artículo 41 de la Constitución Federal y 23 numeral 1, inciso b) de la Ley </w:t>
      </w:r>
      <w:r w:rsidR="009038DB" w:rsidRPr="00305E84">
        <w:rPr>
          <w:sz w:val="23"/>
          <w:szCs w:val="23"/>
        </w:rPr>
        <w:t>de Partidos</w:t>
      </w:r>
      <w:r w:rsidR="00167801" w:rsidRPr="00305E84">
        <w:rPr>
          <w:sz w:val="23"/>
          <w:szCs w:val="23"/>
        </w:rPr>
        <w:t xml:space="preserve">, </w:t>
      </w:r>
      <w:r w:rsidRPr="00305E84">
        <w:rPr>
          <w:sz w:val="23"/>
          <w:szCs w:val="23"/>
        </w:rPr>
        <w:t>los partidos políticos nacionales tendrán derecho a participar en las elecciones de las entidades federativas y municipales.</w:t>
      </w:r>
    </w:p>
    <w:p w14:paraId="7293CCF4" w14:textId="2B702737" w:rsidR="00A318E3" w:rsidRPr="00305E84" w:rsidRDefault="00A318E3" w:rsidP="00AE733B">
      <w:pPr>
        <w:pStyle w:val="Ttulo2"/>
        <w:rPr>
          <w:sz w:val="23"/>
          <w:szCs w:val="23"/>
        </w:rPr>
      </w:pPr>
      <w:r w:rsidRPr="00305E84">
        <w:rPr>
          <w:sz w:val="23"/>
          <w:szCs w:val="23"/>
        </w:rPr>
        <w:t>Financiamiento a partidos políticos</w:t>
      </w:r>
    </w:p>
    <w:p w14:paraId="228B6571" w14:textId="5355DEB6" w:rsidR="0032118E" w:rsidRPr="00305E84" w:rsidRDefault="00A318E3" w:rsidP="00A318E3">
      <w:pPr>
        <w:rPr>
          <w:sz w:val="23"/>
          <w:szCs w:val="23"/>
        </w:rPr>
      </w:pPr>
      <w:r w:rsidRPr="00305E84">
        <w:rPr>
          <w:sz w:val="23"/>
          <w:szCs w:val="23"/>
        </w:rPr>
        <w:t xml:space="preserve">Que, los artículos 41 Base II, párrafo primero de la Constitución Federal y 9 apartado “A”, fracciones VII y VIII de la Constitución Local, establecen que </w:t>
      </w:r>
      <w:r w:rsidR="0032118E" w:rsidRPr="00305E84">
        <w:rPr>
          <w:sz w:val="23"/>
          <w:szCs w:val="23"/>
        </w:rPr>
        <w:t>la ley garantizará que los partidos políticos nacionales cuenten de manera equitativa con elementos para llevar a cabo sus actividades y señalará las reglas a que se sujetará el financiamiento de los propios partidos y sus campañas electorales, debiendo garantizar que los recursos públicos prevalezcan sobre los de origen privado.</w:t>
      </w:r>
    </w:p>
    <w:p w14:paraId="182074E1" w14:textId="2A7E42E8" w:rsidR="0032118E" w:rsidRPr="00305E84" w:rsidRDefault="0032118E" w:rsidP="00A318E3">
      <w:pPr>
        <w:rPr>
          <w:sz w:val="23"/>
          <w:szCs w:val="23"/>
        </w:rPr>
      </w:pPr>
      <w:r w:rsidRPr="00305E84">
        <w:rPr>
          <w:sz w:val="23"/>
          <w:szCs w:val="23"/>
        </w:rPr>
        <w:t xml:space="preserve">En ese tenor, el financiamiento público </w:t>
      </w:r>
      <w:r w:rsidR="00D42A3B" w:rsidRPr="00305E84">
        <w:rPr>
          <w:sz w:val="23"/>
          <w:szCs w:val="23"/>
        </w:rPr>
        <w:t xml:space="preserve">para los partidos políticos </w:t>
      </w:r>
      <w:r w:rsidRPr="00305E84">
        <w:rPr>
          <w:sz w:val="23"/>
          <w:szCs w:val="23"/>
        </w:rPr>
        <w:t>se compondrá de las ministraciones destinadas al sostenimiento de sus actividades ordinarias permanentes, las tendientes a la obtención del voto durante los procesos electorales y las de carácter específico.</w:t>
      </w:r>
    </w:p>
    <w:p w14:paraId="4B240058" w14:textId="0FE79CC1" w:rsidR="00A318E3" w:rsidRPr="00305E84" w:rsidRDefault="00A318E3" w:rsidP="00A318E3">
      <w:pPr>
        <w:rPr>
          <w:sz w:val="23"/>
          <w:szCs w:val="23"/>
        </w:rPr>
      </w:pPr>
      <w:r w:rsidRPr="00305E84">
        <w:rPr>
          <w:sz w:val="23"/>
          <w:szCs w:val="23"/>
        </w:rPr>
        <w:t xml:space="preserve">Acorde a </w:t>
      </w:r>
      <w:r w:rsidR="00BD6368" w:rsidRPr="00305E84">
        <w:rPr>
          <w:sz w:val="23"/>
          <w:szCs w:val="23"/>
        </w:rPr>
        <w:t xml:space="preserve">las disposiciones señaladas, </w:t>
      </w:r>
      <w:r w:rsidRPr="00305E84">
        <w:rPr>
          <w:sz w:val="23"/>
          <w:szCs w:val="23"/>
        </w:rPr>
        <w:t>los artículos 50, 51 y 5</w:t>
      </w:r>
      <w:r w:rsidR="00193EAA" w:rsidRPr="00305E84">
        <w:rPr>
          <w:sz w:val="23"/>
          <w:szCs w:val="23"/>
        </w:rPr>
        <w:t>3</w:t>
      </w:r>
      <w:r w:rsidRPr="00305E84">
        <w:rPr>
          <w:sz w:val="23"/>
          <w:szCs w:val="23"/>
        </w:rPr>
        <w:t xml:space="preserve"> de la Ley de Partidos y 70 numeral 1 de la Ley Electoral, establecen que, el régimen de financiamiento de los partidos políticos tendrá las modalidades de financiamiento público y financiamiento privado. </w:t>
      </w:r>
    </w:p>
    <w:p w14:paraId="0EAA51BB" w14:textId="1E89641B" w:rsidR="001D6D22" w:rsidRPr="00305E84" w:rsidRDefault="001D6D22" w:rsidP="001D6D22">
      <w:pPr>
        <w:pStyle w:val="Ttulo2"/>
        <w:rPr>
          <w:sz w:val="23"/>
          <w:szCs w:val="23"/>
        </w:rPr>
      </w:pPr>
      <w:r w:rsidRPr="00305E84">
        <w:rPr>
          <w:sz w:val="23"/>
          <w:szCs w:val="23"/>
        </w:rPr>
        <w:t xml:space="preserve">Fiscalización de los partidos políticos </w:t>
      </w:r>
    </w:p>
    <w:p w14:paraId="3869CC55" w14:textId="370E3DCA" w:rsidR="001D6D22" w:rsidRPr="00305E84" w:rsidRDefault="001D6D22" w:rsidP="001D6D22">
      <w:pPr>
        <w:rPr>
          <w:sz w:val="23"/>
          <w:szCs w:val="23"/>
        </w:rPr>
      </w:pPr>
      <w:r w:rsidRPr="00305E84">
        <w:rPr>
          <w:sz w:val="23"/>
          <w:szCs w:val="23"/>
        </w:rPr>
        <w:t>Que, de conformidad con lo preceptuado por los artículos 41, Base V, Apartado B, inciso a), numeral 6; 32 numeral 1, inciso a), fracción VI y 190, numeral 2 de la Ley General, es atribución del INE la fiscalización de los ingresos y egresos de los partidos políticos y candidaturas, correspondiendo al Consejo General del INE por conducto de su Comisión de Fiscalización.</w:t>
      </w:r>
    </w:p>
    <w:p w14:paraId="6D1903B0" w14:textId="77777777" w:rsidR="00DE548B" w:rsidRPr="00305E84" w:rsidRDefault="00DE548B" w:rsidP="00DE548B">
      <w:pPr>
        <w:pStyle w:val="Ttulo2"/>
        <w:rPr>
          <w:sz w:val="23"/>
          <w:szCs w:val="23"/>
        </w:rPr>
      </w:pPr>
      <w:r w:rsidRPr="00305E84">
        <w:rPr>
          <w:sz w:val="23"/>
          <w:szCs w:val="23"/>
        </w:rPr>
        <w:t>Procedimiento de Fiscalización</w:t>
      </w:r>
    </w:p>
    <w:p w14:paraId="73AF708B" w14:textId="77777777" w:rsidR="00DE548B" w:rsidRPr="00305E84" w:rsidRDefault="00DE548B" w:rsidP="00DE548B">
      <w:pPr>
        <w:rPr>
          <w:sz w:val="23"/>
          <w:szCs w:val="23"/>
        </w:rPr>
      </w:pPr>
      <w:r w:rsidRPr="00305E84">
        <w:rPr>
          <w:sz w:val="23"/>
          <w:szCs w:val="23"/>
        </w:rPr>
        <w:t xml:space="preserve">Que, de conformidad con el artículo 287 del Reglamento de Fiscalización, el procedimiento comprende el ejercicio de las funciones de comprobación, investigación, </w:t>
      </w:r>
      <w:r w:rsidRPr="00305E84">
        <w:rPr>
          <w:sz w:val="23"/>
          <w:szCs w:val="23"/>
        </w:rPr>
        <w:lastRenderedPageBreak/>
        <w:t>información y asesoramiento, que tiene por objeto verificar la veracidad de lo reportado por los sujetos obligados, así como el cumplimiento de las obligaciones que en materia de financiamiento y gasto establecen las leyes de la materia y, en su caso, la imposición de sanciones, de conformidad con la Ley de Partidos, Ley General y demás disposiciones.</w:t>
      </w:r>
    </w:p>
    <w:p w14:paraId="592F296D" w14:textId="7CDA328F" w:rsidR="008F286A" w:rsidRPr="00305E84" w:rsidRDefault="008F286A" w:rsidP="003816F2">
      <w:pPr>
        <w:pStyle w:val="Ttulo2"/>
        <w:rPr>
          <w:sz w:val="23"/>
          <w:szCs w:val="23"/>
        </w:rPr>
      </w:pPr>
      <w:r w:rsidRPr="00305E84">
        <w:rPr>
          <w:sz w:val="23"/>
          <w:szCs w:val="23"/>
        </w:rPr>
        <w:t>Reintegro del financiamiento de campaña</w:t>
      </w:r>
    </w:p>
    <w:p w14:paraId="00E44DBE" w14:textId="12585171" w:rsidR="008F286A" w:rsidRPr="00305E84" w:rsidRDefault="003816F2" w:rsidP="00D74DEA">
      <w:pPr>
        <w:rPr>
          <w:sz w:val="23"/>
          <w:szCs w:val="23"/>
        </w:rPr>
      </w:pPr>
      <w:r w:rsidRPr="00305E84">
        <w:rPr>
          <w:sz w:val="23"/>
          <w:szCs w:val="23"/>
        </w:rPr>
        <w:t xml:space="preserve">Que, </w:t>
      </w:r>
      <w:r w:rsidR="008F286A" w:rsidRPr="00305E84">
        <w:rPr>
          <w:sz w:val="23"/>
          <w:szCs w:val="23"/>
        </w:rPr>
        <w:t xml:space="preserve">el artículo 222 Bis </w:t>
      </w:r>
      <w:r w:rsidR="00D74DEA" w:rsidRPr="00305E84">
        <w:rPr>
          <w:sz w:val="23"/>
          <w:szCs w:val="23"/>
        </w:rPr>
        <w:t xml:space="preserve">numeral 1 </w:t>
      </w:r>
      <w:r w:rsidR="008F286A" w:rsidRPr="00305E84">
        <w:rPr>
          <w:sz w:val="23"/>
          <w:szCs w:val="23"/>
        </w:rPr>
        <w:t xml:space="preserve">del Reglamento de Fiscalización </w:t>
      </w:r>
      <w:r w:rsidR="00D74DEA" w:rsidRPr="00305E84">
        <w:rPr>
          <w:sz w:val="23"/>
          <w:szCs w:val="23"/>
        </w:rPr>
        <w:t>establece que, el financiamiento público que reciban los partidos políticos y candidaturas independientes para gastos de campaña, deberán ser utilizados exclusivamente para estos fines.</w:t>
      </w:r>
    </w:p>
    <w:p w14:paraId="6BBE9D10" w14:textId="249D85EE" w:rsidR="00D74DEA" w:rsidRPr="00305E84" w:rsidRDefault="00D74DEA" w:rsidP="00D74DEA">
      <w:pPr>
        <w:rPr>
          <w:sz w:val="23"/>
          <w:szCs w:val="23"/>
        </w:rPr>
      </w:pPr>
      <w:r w:rsidRPr="00305E84">
        <w:rPr>
          <w:sz w:val="23"/>
          <w:szCs w:val="23"/>
        </w:rPr>
        <w:t xml:space="preserve">Acorde a lo anterior, el numeral 2 de dicho artículo refiere que, los partidos políticos y candidatas </w:t>
      </w:r>
      <w:r w:rsidR="001A40DF" w:rsidRPr="00305E84">
        <w:rPr>
          <w:sz w:val="23"/>
          <w:szCs w:val="23"/>
        </w:rPr>
        <w:t>o</w:t>
      </w:r>
      <w:r w:rsidRPr="00305E84">
        <w:rPr>
          <w:sz w:val="23"/>
          <w:szCs w:val="23"/>
        </w:rPr>
        <w:t xml:space="preserve"> candidatos independientes deberán devolver al Instituto</w:t>
      </w:r>
      <w:r w:rsidR="001A40DF" w:rsidRPr="00305E84">
        <w:rPr>
          <w:sz w:val="23"/>
          <w:szCs w:val="23"/>
        </w:rPr>
        <w:t xml:space="preserve"> </w:t>
      </w:r>
      <w:r w:rsidRPr="00305E84">
        <w:rPr>
          <w:sz w:val="23"/>
          <w:szCs w:val="23"/>
        </w:rPr>
        <w:t xml:space="preserve">o </w:t>
      </w:r>
      <w:r w:rsidR="001A40DF" w:rsidRPr="00305E84">
        <w:rPr>
          <w:sz w:val="23"/>
          <w:szCs w:val="23"/>
        </w:rPr>
        <w:t>a</w:t>
      </w:r>
      <w:r w:rsidRPr="00305E84">
        <w:rPr>
          <w:sz w:val="23"/>
          <w:szCs w:val="23"/>
        </w:rPr>
        <w:t xml:space="preserve">l </w:t>
      </w:r>
      <w:r w:rsidR="001A40DF" w:rsidRPr="00305E84">
        <w:rPr>
          <w:sz w:val="23"/>
          <w:szCs w:val="23"/>
        </w:rPr>
        <w:t>o</w:t>
      </w:r>
      <w:r w:rsidRPr="00305E84">
        <w:rPr>
          <w:sz w:val="23"/>
          <w:szCs w:val="23"/>
        </w:rPr>
        <w:t xml:space="preserve">rganismo </w:t>
      </w:r>
      <w:r w:rsidR="001A40DF" w:rsidRPr="00305E84">
        <w:rPr>
          <w:sz w:val="23"/>
          <w:szCs w:val="23"/>
        </w:rPr>
        <w:t>electoral</w:t>
      </w:r>
      <w:r w:rsidRPr="00305E84">
        <w:rPr>
          <w:sz w:val="23"/>
          <w:szCs w:val="23"/>
        </w:rPr>
        <w:t>, el monto total del financiamiento público</w:t>
      </w:r>
      <w:r w:rsidR="001A40DF" w:rsidRPr="00305E84">
        <w:rPr>
          <w:sz w:val="23"/>
          <w:szCs w:val="23"/>
        </w:rPr>
        <w:t xml:space="preserve"> </w:t>
      </w:r>
      <w:r w:rsidRPr="00305E84">
        <w:rPr>
          <w:sz w:val="23"/>
          <w:szCs w:val="23"/>
        </w:rPr>
        <w:t xml:space="preserve">para campaña que hubieran recibido y que no </w:t>
      </w:r>
      <w:r w:rsidR="001A40DF" w:rsidRPr="00305E84">
        <w:rPr>
          <w:sz w:val="23"/>
          <w:szCs w:val="23"/>
        </w:rPr>
        <w:t xml:space="preserve">utilizaron </w:t>
      </w:r>
      <w:r w:rsidRPr="00305E84">
        <w:rPr>
          <w:sz w:val="23"/>
          <w:szCs w:val="23"/>
        </w:rPr>
        <w:t>en el Proceso Electoral</w:t>
      </w:r>
      <w:r w:rsidR="001A40DF" w:rsidRPr="00305E84">
        <w:rPr>
          <w:sz w:val="23"/>
          <w:szCs w:val="23"/>
        </w:rPr>
        <w:t xml:space="preserve"> </w:t>
      </w:r>
      <w:r w:rsidRPr="00305E84">
        <w:rPr>
          <w:sz w:val="23"/>
          <w:szCs w:val="23"/>
        </w:rPr>
        <w:t>correspondiente. El reintegro de los recursos deberá realizarse dentro de los 5</w:t>
      </w:r>
      <w:r w:rsidR="001A40DF" w:rsidRPr="00305E84">
        <w:rPr>
          <w:sz w:val="23"/>
          <w:szCs w:val="23"/>
        </w:rPr>
        <w:t xml:space="preserve"> </w:t>
      </w:r>
      <w:r w:rsidRPr="00305E84">
        <w:rPr>
          <w:sz w:val="23"/>
          <w:szCs w:val="23"/>
        </w:rPr>
        <w:t xml:space="preserve">días hábiles posteriores a que hubiera quedado firme el </w:t>
      </w:r>
      <w:r w:rsidR="001A40DF" w:rsidRPr="00305E84">
        <w:rPr>
          <w:sz w:val="23"/>
          <w:szCs w:val="23"/>
        </w:rPr>
        <w:t>d</w:t>
      </w:r>
      <w:r w:rsidRPr="00305E84">
        <w:rPr>
          <w:sz w:val="23"/>
          <w:szCs w:val="23"/>
        </w:rPr>
        <w:t>ictamen y la resolución</w:t>
      </w:r>
      <w:r w:rsidR="001A40DF" w:rsidRPr="00305E84">
        <w:rPr>
          <w:sz w:val="23"/>
          <w:szCs w:val="23"/>
        </w:rPr>
        <w:t xml:space="preserve"> </w:t>
      </w:r>
      <w:r w:rsidRPr="00305E84">
        <w:rPr>
          <w:sz w:val="23"/>
          <w:szCs w:val="23"/>
        </w:rPr>
        <w:t>correspondiente.</w:t>
      </w:r>
    </w:p>
    <w:p w14:paraId="2F1403D2" w14:textId="688C71C8" w:rsidR="00D74DEA" w:rsidRPr="00305E84" w:rsidRDefault="00FA726A" w:rsidP="00D74DEA">
      <w:pPr>
        <w:rPr>
          <w:sz w:val="23"/>
          <w:szCs w:val="23"/>
        </w:rPr>
      </w:pPr>
      <w:r w:rsidRPr="00305E84">
        <w:rPr>
          <w:sz w:val="23"/>
          <w:szCs w:val="23"/>
        </w:rPr>
        <w:t>Asimismo, e</w:t>
      </w:r>
      <w:r w:rsidR="00D74DEA" w:rsidRPr="00305E84">
        <w:rPr>
          <w:sz w:val="23"/>
          <w:szCs w:val="23"/>
        </w:rPr>
        <w:t>n caso de no cumplir con la obligación descrita, el Consejo</w:t>
      </w:r>
      <w:r w:rsidRPr="00305E84">
        <w:rPr>
          <w:sz w:val="23"/>
          <w:szCs w:val="23"/>
        </w:rPr>
        <w:t xml:space="preserve"> </w:t>
      </w:r>
      <w:r w:rsidR="00D74DEA" w:rsidRPr="00305E84">
        <w:rPr>
          <w:sz w:val="23"/>
          <w:szCs w:val="23"/>
        </w:rPr>
        <w:t xml:space="preserve">General del INE o del </w:t>
      </w:r>
      <w:r w:rsidRPr="00305E84">
        <w:rPr>
          <w:sz w:val="23"/>
          <w:szCs w:val="23"/>
        </w:rPr>
        <w:t>organismo electoral correspondiente</w:t>
      </w:r>
      <w:r w:rsidR="00D74DEA" w:rsidRPr="00305E84">
        <w:rPr>
          <w:sz w:val="23"/>
          <w:szCs w:val="23"/>
        </w:rPr>
        <w:t>, iniciará el</w:t>
      </w:r>
      <w:r w:rsidRPr="00305E84">
        <w:rPr>
          <w:sz w:val="23"/>
          <w:szCs w:val="23"/>
        </w:rPr>
        <w:t xml:space="preserve"> </w:t>
      </w:r>
      <w:r w:rsidR="00D74DEA" w:rsidRPr="00305E84">
        <w:rPr>
          <w:sz w:val="23"/>
          <w:szCs w:val="23"/>
        </w:rPr>
        <w:t>procedimiento atinente con la finalidad de hacer exigible la devolución.</w:t>
      </w:r>
    </w:p>
    <w:p w14:paraId="15E5BDDD" w14:textId="10CFF2A6" w:rsidR="003F5B4B" w:rsidRPr="00305E84" w:rsidRDefault="003F5B4B" w:rsidP="003F5B4B">
      <w:pPr>
        <w:rPr>
          <w:sz w:val="23"/>
          <w:szCs w:val="23"/>
        </w:rPr>
      </w:pPr>
      <w:r w:rsidRPr="00305E84">
        <w:rPr>
          <w:sz w:val="23"/>
          <w:szCs w:val="23"/>
        </w:rPr>
        <w:t xml:space="preserve">Cabe mencionar que, la obligación establecida en el artículo </w:t>
      </w:r>
      <w:r w:rsidR="003C4FBD" w:rsidRPr="00305E84">
        <w:rPr>
          <w:sz w:val="23"/>
          <w:szCs w:val="23"/>
        </w:rPr>
        <w:t>referido,</w:t>
      </w:r>
      <w:r w:rsidRPr="00305E84">
        <w:rPr>
          <w:sz w:val="23"/>
          <w:szCs w:val="23"/>
        </w:rPr>
        <w:t xml:space="preserve"> deviene de la obligación que tienen los poderes legislativo y judicial, los entes autónomos, las dependencias y demás entidades de devolver o reintegrar las erogaciones previstas en el presupuesto de egresos que no se encuentren devengadas al 31 de diciembre, de conformidad con los párrafos segundo y tercero del artículo 54 de la Ley Federal de Presupuesto y Responsabilidad Hacendaria</w:t>
      </w:r>
      <w:r w:rsidR="001D0533" w:rsidRPr="00305E84">
        <w:rPr>
          <w:sz w:val="23"/>
          <w:szCs w:val="23"/>
        </w:rPr>
        <w:t>; disposición que del mismo modo se encuentra prevista en el artículo 50 de la Ley de Presupuesto y Responsabilidad Hacendaria del Estado de Tabasco y sus municipios.</w:t>
      </w:r>
    </w:p>
    <w:p w14:paraId="33BCA8E1" w14:textId="24D9990B" w:rsidR="007015F4" w:rsidRPr="00305E84" w:rsidRDefault="007015F4" w:rsidP="007015F4">
      <w:pPr>
        <w:pStyle w:val="Ttulo2"/>
        <w:rPr>
          <w:sz w:val="23"/>
          <w:szCs w:val="23"/>
        </w:rPr>
      </w:pPr>
      <w:r w:rsidRPr="00305E84">
        <w:rPr>
          <w:sz w:val="23"/>
          <w:szCs w:val="23"/>
        </w:rPr>
        <w:lastRenderedPageBreak/>
        <w:t>Retención del reintegro de los remanentes no ejercidos</w:t>
      </w:r>
      <w:r w:rsidR="00C17B76" w:rsidRPr="00305E84">
        <w:rPr>
          <w:sz w:val="23"/>
          <w:szCs w:val="23"/>
        </w:rPr>
        <w:t xml:space="preserve"> tratándose de partidos políticos</w:t>
      </w:r>
    </w:p>
    <w:p w14:paraId="1A66E114" w14:textId="7CC37A20" w:rsidR="00813DA8" w:rsidRPr="00305E84" w:rsidRDefault="007015F4" w:rsidP="00C17B76">
      <w:pPr>
        <w:rPr>
          <w:sz w:val="23"/>
          <w:szCs w:val="23"/>
        </w:rPr>
      </w:pPr>
      <w:r w:rsidRPr="00305E84">
        <w:rPr>
          <w:sz w:val="23"/>
          <w:szCs w:val="23"/>
        </w:rPr>
        <w:t xml:space="preserve">Que, en términos del artículo </w:t>
      </w:r>
      <w:r w:rsidR="00C17B76" w:rsidRPr="00305E84">
        <w:rPr>
          <w:sz w:val="23"/>
          <w:szCs w:val="23"/>
        </w:rPr>
        <w:t>séptimo, fracción III</w:t>
      </w:r>
      <w:r w:rsidR="00E66C43" w:rsidRPr="00305E84">
        <w:rPr>
          <w:sz w:val="23"/>
          <w:szCs w:val="23"/>
        </w:rPr>
        <w:t>, inciso a) numeral 1</w:t>
      </w:r>
      <w:r w:rsidR="00C17B76" w:rsidRPr="00305E84">
        <w:rPr>
          <w:sz w:val="23"/>
          <w:szCs w:val="23"/>
        </w:rPr>
        <w:t xml:space="preserve"> de los Lineamientos, </w:t>
      </w:r>
      <w:r w:rsidR="00813DA8" w:rsidRPr="00305E84">
        <w:rPr>
          <w:sz w:val="23"/>
          <w:szCs w:val="23"/>
        </w:rPr>
        <w:t>cuando el INE o el organismo electoral, en el ámbito federal o local según corresponda, identifiquen en el Sistema Informático de Sanciones del INE, que no han devuelto el remanente, retendrán de la ministración mensual del financiamiento público, en orden preferente a la ejecución de las sanciones firmes a que se refiere este acuerdo, los remanentes no reintegrados por los sujetos obligados en los plazos establecidos para ello. Esto es, de existir remanentes y sanciones por aplicar a un partido político, primero será descontado el remanente y, una vez finiquitado, se procederá al cobro de sanciones.</w:t>
      </w:r>
    </w:p>
    <w:p w14:paraId="29937857" w14:textId="4C822EB8" w:rsidR="00E66C43" w:rsidRPr="00305E84" w:rsidRDefault="00E66C43" w:rsidP="00164F4D">
      <w:pPr>
        <w:rPr>
          <w:sz w:val="23"/>
          <w:szCs w:val="23"/>
        </w:rPr>
      </w:pPr>
      <w:r w:rsidRPr="00305E84">
        <w:rPr>
          <w:sz w:val="23"/>
          <w:szCs w:val="23"/>
        </w:rPr>
        <w:t>De acuerdo con el numeral 3 del artículo en cita, tratándose de partidos políticos nacionales con acreditación local y partidos políticos locales, el organismo electoral procederá a realizar la retención correspondiente.</w:t>
      </w:r>
    </w:p>
    <w:p w14:paraId="11390175" w14:textId="79F2A3B6" w:rsidR="00B64148" w:rsidRPr="00305E84" w:rsidRDefault="00B64148" w:rsidP="00B64148">
      <w:pPr>
        <w:pStyle w:val="Ttulo2"/>
        <w:rPr>
          <w:sz w:val="23"/>
          <w:szCs w:val="23"/>
        </w:rPr>
      </w:pPr>
      <w:r w:rsidRPr="00305E84">
        <w:rPr>
          <w:sz w:val="23"/>
          <w:szCs w:val="23"/>
        </w:rPr>
        <w:t>Porcentaje de retención del reintegro de los remanentes no ejercidos tratándose de partidos políticos</w:t>
      </w:r>
    </w:p>
    <w:p w14:paraId="49823F62" w14:textId="6E26F8BB" w:rsidR="00B64148" w:rsidRPr="00305E84" w:rsidRDefault="00B64148" w:rsidP="00B64148">
      <w:pPr>
        <w:rPr>
          <w:sz w:val="23"/>
          <w:szCs w:val="23"/>
        </w:rPr>
      </w:pPr>
      <w:r w:rsidRPr="00305E84">
        <w:rPr>
          <w:sz w:val="23"/>
          <w:szCs w:val="23"/>
        </w:rPr>
        <w:t>Que, el artículo séptimo, fracción III, inciso a) numeral 4 de los Lineamientos, en caso de que el remanente total a reintegrar sea superior al 50% de la ministración mensual del financiamiento público ordinario del partido político, el INE o el organismo electoral, según corresponda, deberán aplicar retenciones y reintegros mensuales sucesivos por el 50% del financiamiento público ordinario del partido político, hasta cubrir totalmente el remanente no erogado.</w:t>
      </w:r>
    </w:p>
    <w:p w14:paraId="0DFA5670" w14:textId="5D3D25AD" w:rsidR="00072DB8" w:rsidRPr="00305E84" w:rsidRDefault="003034DF" w:rsidP="00072DB8">
      <w:pPr>
        <w:pStyle w:val="Ttulo2"/>
        <w:rPr>
          <w:sz w:val="23"/>
          <w:szCs w:val="23"/>
        </w:rPr>
      </w:pPr>
      <w:r w:rsidRPr="00305E84">
        <w:rPr>
          <w:sz w:val="23"/>
          <w:szCs w:val="23"/>
        </w:rPr>
        <w:t xml:space="preserve">Informe mensual respecto a </w:t>
      </w:r>
      <w:r w:rsidR="00072DB8" w:rsidRPr="00305E84">
        <w:rPr>
          <w:sz w:val="23"/>
          <w:szCs w:val="23"/>
        </w:rPr>
        <w:t xml:space="preserve">las retenciones de reintegro de remanentes </w:t>
      </w:r>
    </w:p>
    <w:p w14:paraId="352A90E7" w14:textId="318E6EAE" w:rsidR="00B0331D" w:rsidRPr="00305E84" w:rsidRDefault="00072DB8" w:rsidP="00072DB8">
      <w:pPr>
        <w:rPr>
          <w:sz w:val="23"/>
          <w:szCs w:val="23"/>
        </w:rPr>
      </w:pPr>
      <w:r w:rsidRPr="00305E84">
        <w:rPr>
          <w:sz w:val="23"/>
          <w:szCs w:val="23"/>
        </w:rPr>
        <w:t xml:space="preserve">Que, </w:t>
      </w:r>
      <w:r w:rsidR="00B0331D" w:rsidRPr="00305E84">
        <w:rPr>
          <w:sz w:val="23"/>
          <w:szCs w:val="23"/>
        </w:rPr>
        <w:t xml:space="preserve">conforme al inciso c) del </w:t>
      </w:r>
      <w:r w:rsidRPr="00305E84">
        <w:rPr>
          <w:sz w:val="23"/>
          <w:szCs w:val="23"/>
        </w:rPr>
        <w:t>artículo séptimo, fracción III</w:t>
      </w:r>
      <w:r w:rsidR="00B0331D" w:rsidRPr="00305E84">
        <w:rPr>
          <w:sz w:val="23"/>
          <w:szCs w:val="23"/>
        </w:rPr>
        <w:t xml:space="preserve"> </w:t>
      </w:r>
      <w:r w:rsidRPr="00305E84">
        <w:rPr>
          <w:sz w:val="23"/>
          <w:szCs w:val="23"/>
        </w:rPr>
        <w:t xml:space="preserve">de los Lineamientos, </w:t>
      </w:r>
      <w:r w:rsidR="00B0331D" w:rsidRPr="00305E84">
        <w:rPr>
          <w:sz w:val="23"/>
          <w:szCs w:val="23"/>
        </w:rPr>
        <w:t>tratándose de recursos del ámbito local, una vez retenidos los remanentes no reintegrados, el organismo electoral deberá rendir, de forma mensual, un informe detallado a la Secretaría Ejecutiva del INE respecto de las retenciones realizadas.</w:t>
      </w:r>
    </w:p>
    <w:p w14:paraId="10F5C526" w14:textId="2C229CE5" w:rsidR="003034DF" w:rsidRPr="00305E84" w:rsidRDefault="003034DF" w:rsidP="003034DF">
      <w:pPr>
        <w:pStyle w:val="Ttulo2"/>
        <w:rPr>
          <w:sz w:val="23"/>
          <w:szCs w:val="23"/>
        </w:rPr>
      </w:pPr>
      <w:r w:rsidRPr="00305E84">
        <w:rPr>
          <w:sz w:val="23"/>
          <w:szCs w:val="23"/>
        </w:rPr>
        <w:lastRenderedPageBreak/>
        <w:t xml:space="preserve">Destino de los remanentes </w:t>
      </w:r>
    </w:p>
    <w:p w14:paraId="4BBCFD0A" w14:textId="3F7DCC5A" w:rsidR="003034DF" w:rsidRPr="00305E84" w:rsidRDefault="003034DF" w:rsidP="003034DF">
      <w:pPr>
        <w:rPr>
          <w:sz w:val="23"/>
          <w:szCs w:val="23"/>
        </w:rPr>
      </w:pPr>
      <w:r w:rsidRPr="00305E84">
        <w:rPr>
          <w:sz w:val="23"/>
          <w:szCs w:val="23"/>
        </w:rPr>
        <w:t>Que, de acuerdo con el artículo séptimo, fracción IV de los Lineamientos, por regla general los recursos retenidos a los sujetos obligados por parte de las autoridades electorales deberán devolverse a la Tesorería de la Federación y, en el caso local, a su similar en la entidad, según corresponda.</w:t>
      </w:r>
    </w:p>
    <w:p w14:paraId="4E14DB97" w14:textId="33650F72" w:rsidR="00B64148" w:rsidRPr="00305E84" w:rsidRDefault="00085523" w:rsidP="00085523">
      <w:pPr>
        <w:pStyle w:val="Ttulo2"/>
        <w:rPr>
          <w:sz w:val="23"/>
          <w:szCs w:val="23"/>
        </w:rPr>
      </w:pPr>
      <w:r w:rsidRPr="00305E84">
        <w:rPr>
          <w:sz w:val="23"/>
          <w:szCs w:val="23"/>
        </w:rPr>
        <w:t>Montos por retener al Partido Morena</w:t>
      </w:r>
    </w:p>
    <w:p w14:paraId="395F3B9F" w14:textId="04B28763" w:rsidR="00B87349" w:rsidRPr="00305E84" w:rsidRDefault="00085523" w:rsidP="00B87349">
      <w:pPr>
        <w:rPr>
          <w:sz w:val="23"/>
          <w:szCs w:val="23"/>
        </w:rPr>
      </w:pPr>
      <w:r w:rsidRPr="00305E84">
        <w:rPr>
          <w:sz w:val="23"/>
          <w:szCs w:val="23"/>
        </w:rPr>
        <w:t xml:space="preserve">Que, en términos del </w:t>
      </w:r>
      <w:r w:rsidR="00B87349" w:rsidRPr="00305E84">
        <w:rPr>
          <w:sz w:val="23"/>
          <w:szCs w:val="23"/>
        </w:rPr>
        <w:t xml:space="preserve">acuerdo INE/CG232/2023, el Consejo General del INE determinó que el Partido Morena debe reintegrar la cantidad de </w:t>
      </w:r>
      <w:bookmarkStart w:id="1" w:name="OLE_LINK1"/>
      <w:r w:rsidR="00B87349" w:rsidRPr="00305E84">
        <w:rPr>
          <w:b/>
          <w:bCs/>
          <w:sz w:val="23"/>
          <w:szCs w:val="23"/>
        </w:rPr>
        <w:t xml:space="preserve">$1’815,684.75 </w:t>
      </w:r>
      <w:bookmarkEnd w:id="1"/>
      <w:r w:rsidR="00B87349" w:rsidRPr="00305E84">
        <w:rPr>
          <w:b/>
          <w:bCs/>
          <w:sz w:val="23"/>
          <w:szCs w:val="23"/>
        </w:rPr>
        <w:t xml:space="preserve">(un millón ochocientos quince mil seiscientos ochenta y cuatro pesos 75/100 moneda nacional) </w:t>
      </w:r>
      <w:r w:rsidR="00B87349" w:rsidRPr="00305E84">
        <w:rPr>
          <w:sz w:val="23"/>
          <w:szCs w:val="23"/>
        </w:rPr>
        <w:t xml:space="preserve">por concepto de remanente del financiamiento público de campaña no ejercido durante el Proceso Electoral Local Ordinario 2020 – 2021. </w:t>
      </w:r>
    </w:p>
    <w:p w14:paraId="5F5D5D9A" w14:textId="00DC04DD" w:rsidR="00A03FD9" w:rsidRPr="00305E84" w:rsidRDefault="004A260F" w:rsidP="004A260F">
      <w:pPr>
        <w:rPr>
          <w:sz w:val="23"/>
          <w:szCs w:val="23"/>
        </w:rPr>
      </w:pPr>
      <w:r w:rsidRPr="00305E84">
        <w:rPr>
          <w:sz w:val="23"/>
          <w:szCs w:val="23"/>
        </w:rPr>
        <w:t xml:space="preserve">Al respecto, la Sala Superior </w:t>
      </w:r>
      <w:r w:rsidR="00A03FD9" w:rsidRPr="00305E84">
        <w:rPr>
          <w:sz w:val="23"/>
          <w:szCs w:val="23"/>
        </w:rPr>
        <w:t>estableció</w:t>
      </w:r>
      <w:r w:rsidR="00FC6D19" w:rsidRPr="00305E84">
        <w:rPr>
          <w:rStyle w:val="Refdenotaalpie"/>
          <w:sz w:val="23"/>
          <w:szCs w:val="23"/>
        </w:rPr>
        <w:footnoteReference w:id="1"/>
      </w:r>
      <w:r w:rsidR="00A03FD9" w:rsidRPr="00305E84">
        <w:rPr>
          <w:sz w:val="23"/>
          <w:szCs w:val="23"/>
        </w:rPr>
        <w:t xml:space="preserve"> </w:t>
      </w:r>
      <w:r w:rsidRPr="00305E84">
        <w:rPr>
          <w:sz w:val="23"/>
          <w:szCs w:val="23"/>
        </w:rPr>
        <w:t xml:space="preserve">que </w:t>
      </w:r>
      <w:r w:rsidR="00A03FD9" w:rsidRPr="00305E84">
        <w:rPr>
          <w:sz w:val="23"/>
          <w:szCs w:val="23"/>
        </w:rPr>
        <w:t xml:space="preserve">los partidos políticos </w:t>
      </w:r>
      <w:r w:rsidRPr="00305E84">
        <w:rPr>
          <w:sz w:val="23"/>
          <w:szCs w:val="23"/>
        </w:rPr>
        <w:t xml:space="preserve">tienen la obligación de reintegrar </w:t>
      </w:r>
      <w:r w:rsidR="00A03FD9" w:rsidRPr="00305E84">
        <w:rPr>
          <w:sz w:val="23"/>
          <w:szCs w:val="23"/>
        </w:rPr>
        <w:t>de forma</w:t>
      </w:r>
      <w:r w:rsidR="00B87349" w:rsidRPr="00305E84">
        <w:rPr>
          <w:sz w:val="23"/>
          <w:szCs w:val="23"/>
        </w:rPr>
        <w:t xml:space="preserve"> </w:t>
      </w:r>
      <w:r w:rsidR="00A03FD9" w:rsidRPr="00305E84">
        <w:rPr>
          <w:sz w:val="23"/>
          <w:szCs w:val="23"/>
        </w:rPr>
        <w:t>inmediata, al erario federal o local, los remanentes de financiamiento público</w:t>
      </w:r>
      <w:r w:rsidR="00B87349" w:rsidRPr="00305E84">
        <w:rPr>
          <w:sz w:val="23"/>
          <w:szCs w:val="23"/>
        </w:rPr>
        <w:t xml:space="preserve"> </w:t>
      </w:r>
      <w:r w:rsidR="00A03FD9" w:rsidRPr="00305E84">
        <w:rPr>
          <w:sz w:val="23"/>
          <w:szCs w:val="23"/>
        </w:rPr>
        <w:t>de campaña no erogado. En este sentido, y cuando el partido político no</w:t>
      </w:r>
      <w:r w:rsidR="00B87349" w:rsidRPr="00305E84">
        <w:rPr>
          <w:sz w:val="23"/>
          <w:szCs w:val="23"/>
        </w:rPr>
        <w:t xml:space="preserve"> </w:t>
      </w:r>
      <w:r w:rsidR="00A03FD9" w:rsidRPr="00305E84">
        <w:rPr>
          <w:sz w:val="23"/>
          <w:szCs w:val="23"/>
        </w:rPr>
        <w:t>reintegre voluntariamente el remanente, es procedente que la autoridad</w:t>
      </w:r>
      <w:r w:rsidR="00B87349" w:rsidRPr="00305E84">
        <w:rPr>
          <w:sz w:val="23"/>
          <w:szCs w:val="23"/>
        </w:rPr>
        <w:t xml:space="preserve"> </w:t>
      </w:r>
      <w:r w:rsidR="00A03FD9" w:rsidRPr="00305E84">
        <w:rPr>
          <w:sz w:val="23"/>
          <w:szCs w:val="23"/>
        </w:rPr>
        <w:t>administrativa proceda a realizar el reintegro de los remanentes de</w:t>
      </w:r>
      <w:r w:rsidR="00B87349" w:rsidRPr="00305E84">
        <w:rPr>
          <w:sz w:val="23"/>
          <w:szCs w:val="23"/>
        </w:rPr>
        <w:t xml:space="preserve"> </w:t>
      </w:r>
      <w:r w:rsidR="00A03FD9" w:rsidRPr="00305E84">
        <w:rPr>
          <w:sz w:val="23"/>
          <w:szCs w:val="23"/>
        </w:rPr>
        <w:t>financiamiento público de campaña no erogado, con cargo a las ministraciones</w:t>
      </w:r>
      <w:r w:rsidR="00B87349" w:rsidRPr="00305E84">
        <w:rPr>
          <w:sz w:val="23"/>
          <w:szCs w:val="23"/>
        </w:rPr>
        <w:t xml:space="preserve"> </w:t>
      </w:r>
      <w:r w:rsidR="00A03FD9" w:rsidRPr="00305E84">
        <w:rPr>
          <w:sz w:val="23"/>
          <w:szCs w:val="23"/>
        </w:rPr>
        <w:t>mensuales de financiamiento ordinario que correspondan al sujeto obligado.</w:t>
      </w:r>
    </w:p>
    <w:p w14:paraId="59FEC80C" w14:textId="57F76AB3" w:rsidR="009B503D" w:rsidRPr="00305E84" w:rsidRDefault="009B503D" w:rsidP="009B503D">
      <w:pPr>
        <w:rPr>
          <w:sz w:val="23"/>
          <w:szCs w:val="23"/>
        </w:rPr>
      </w:pPr>
      <w:r w:rsidRPr="00305E84">
        <w:rPr>
          <w:sz w:val="23"/>
          <w:szCs w:val="23"/>
        </w:rPr>
        <w:t xml:space="preserve">Conforme </w:t>
      </w:r>
      <w:r w:rsidR="00703383" w:rsidRPr="00305E84">
        <w:rPr>
          <w:sz w:val="23"/>
          <w:szCs w:val="23"/>
        </w:rPr>
        <w:t>a</w:t>
      </w:r>
      <w:r w:rsidR="00D902FA" w:rsidRPr="00305E84">
        <w:rPr>
          <w:sz w:val="23"/>
          <w:szCs w:val="23"/>
        </w:rPr>
        <w:t>l</w:t>
      </w:r>
      <w:r w:rsidR="00703383" w:rsidRPr="00305E84">
        <w:rPr>
          <w:sz w:val="23"/>
          <w:szCs w:val="23"/>
        </w:rPr>
        <w:t xml:space="preserve"> </w:t>
      </w:r>
      <w:r w:rsidR="00D902FA" w:rsidRPr="00305E84">
        <w:rPr>
          <w:sz w:val="23"/>
          <w:szCs w:val="23"/>
        </w:rPr>
        <w:t xml:space="preserve">criterio </w:t>
      </w:r>
      <w:r w:rsidR="00703383" w:rsidRPr="00305E84">
        <w:rPr>
          <w:sz w:val="23"/>
          <w:szCs w:val="23"/>
        </w:rPr>
        <w:t>juri</w:t>
      </w:r>
      <w:r w:rsidR="00D902FA" w:rsidRPr="00305E84">
        <w:rPr>
          <w:sz w:val="23"/>
          <w:szCs w:val="23"/>
        </w:rPr>
        <w:t>s</w:t>
      </w:r>
      <w:r w:rsidR="00703383" w:rsidRPr="00305E84">
        <w:rPr>
          <w:sz w:val="23"/>
          <w:szCs w:val="23"/>
        </w:rPr>
        <w:t>diccional</w:t>
      </w:r>
      <w:r w:rsidRPr="00305E84">
        <w:rPr>
          <w:sz w:val="23"/>
          <w:szCs w:val="23"/>
        </w:rPr>
        <w:t xml:space="preserve">, el reintegro de los remanentes tiene una naturaleza distinta a la de las sanciones derivadas de infracciones en materia de financiamiento y gasto, pues, la obligación de reintegrar los recursos públicos no erogados, o cuyo uso y destino no acreditan los partidos, constituye una obligación hacendaria en su carácter de entidades de interés público. </w:t>
      </w:r>
    </w:p>
    <w:p w14:paraId="78960C27" w14:textId="7E42110F" w:rsidR="009B503D" w:rsidRPr="00305E84" w:rsidRDefault="009B503D" w:rsidP="00216A4E">
      <w:pPr>
        <w:rPr>
          <w:sz w:val="23"/>
          <w:szCs w:val="23"/>
        </w:rPr>
      </w:pPr>
      <w:r w:rsidRPr="00305E84">
        <w:rPr>
          <w:sz w:val="23"/>
          <w:szCs w:val="23"/>
        </w:rPr>
        <w:t xml:space="preserve">Sobre esa base, este Consejo Estatal procede a establecer la forma en que el Partido Morena deberá reintegrar el monto previamente señalado, </w:t>
      </w:r>
      <w:r w:rsidR="00216A4E" w:rsidRPr="00305E84">
        <w:rPr>
          <w:sz w:val="23"/>
          <w:szCs w:val="23"/>
        </w:rPr>
        <w:t xml:space="preserve">sin que se advierta la aplicación del orden de preferencia que establece el artículo séptimo, fracción III, inciso </w:t>
      </w:r>
      <w:r w:rsidR="00216A4E" w:rsidRPr="00305E84">
        <w:rPr>
          <w:sz w:val="23"/>
          <w:szCs w:val="23"/>
        </w:rPr>
        <w:lastRenderedPageBreak/>
        <w:t xml:space="preserve">a) numeral 1 de los Lineamientos, en virtud de que dicho ente político no cuenta con </w:t>
      </w:r>
      <w:r w:rsidRPr="00305E84">
        <w:rPr>
          <w:sz w:val="23"/>
          <w:szCs w:val="23"/>
        </w:rPr>
        <w:t>multas o sanciones en proceso de ejecución</w:t>
      </w:r>
      <w:r w:rsidR="00216A4E" w:rsidRPr="00305E84">
        <w:rPr>
          <w:sz w:val="23"/>
          <w:szCs w:val="23"/>
        </w:rPr>
        <w:t>.</w:t>
      </w:r>
    </w:p>
    <w:p w14:paraId="506E31C5" w14:textId="38D00C2A" w:rsidR="00216A4E" w:rsidRPr="00305E84" w:rsidRDefault="00327334" w:rsidP="00216A4E">
      <w:pPr>
        <w:rPr>
          <w:sz w:val="23"/>
          <w:szCs w:val="23"/>
        </w:rPr>
      </w:pPr>
      <w:r w:rsidRPr="00305E84">
        <w:rPr>
          <w:sz w:val="23"/>
          <w:szCs w:val="23"/>
        </w:rPr>
        <w:t xml:space="preserve">En ese tenor, de acuerdo con la redistribución del financiamiento público determinada por este Consejo Estatal, en virtud de la acreditación de los Partidos Políticos: Acción Nacional y del Trabajo, </w:t>
      </w:r>
      <w:r w:rsidR="005E429D" w:rsidRPr="00305E84">
        <w:rPr>
          <w:sz w:val="23"/>
          <w:szCs w:val="23"/>
        </w:rPr>
        <w:t xml:space="preserve">al Partido Morena </w:t>
      </w:r>
      <w:r w:rsidR="00A525C0" w:rsidRPr="00305E84">
        <w:rPr>
          <w:sz w:val="23"/>
          <w:szCs w:val="23"/>
        </w:rPr>
        <w:t>por financiamiento público local ordinario</w:t>
      </w:r>
      <w:r w:rsidR="005E429D" w:rsidRPr="00305E84">
        <w:rPr>
          <w:sz w:val="23"/>
          <w:szCs w:val="23"/>
        </w:rPr>
        <w:t xml:space="preserve">, durante el período de octubre a diciembre del presente ejercicio, </w:t>
      </w:r>
      <w:r w:rsidR="00A525C0" w:rsidRPr="00305E84">
        <w:rPr>
          <w:sz w:val="23"/>
          <w:szCs w:val="23"/>
        </w:rPr>
        <w:t xml:space="preserve">le corresponde una ministración mensual de </w:t>
      </w:r>
      <w:r w:rsidR="005E429D" w:rsidRPr="00305E84">
        <w:rPr>
          <w:b/>
          <w:bCs/>
          <w:sz w:val="23"/>
          <w:szCs w:val="23"/>
        </w:rPr>
        <w:t>$</w:t>
      </w:r>
      <w:r w:rsidR="00A525C0" w:rsidRPr="00305E84">
        <w:rPr>
          <w:b/>
          <w:bCs/>
          <w:sz w:val="23"/>
          <w:szCs w:val="23"/>
        </w:rPr>
        <w:t>2’178,759.24 (dos millones ciento setenta y ocho mil setecientos cincuenta y nueve pesos 24/100 moneda nacional).</w:t>
      </w:r>
      <w:r w:rsidR="00A525C0" w:rsidRPr="00305E84">
        <w:rPr>
          <w:sz w:val="23"/>
          <w:szCs w:val="23"/>
        </w:rPr>
        <w:t xml:space="preserve"> </w:t>
      </w:r>
    </w:p>
    <w:p w14:paraId="30B92D0C" w14:textId="59F70BAC" w:rsidR="009777F8" w:rsidRDefault="005E1EA2" w:rsidP="00A03FD9">
      <w:pPr>
        <w:rPr>
          <w:sz w:val="23"/>
          <w:szCs w:val="23"/>
        </w:rPr>
      </w:pPr>
      <w:r w:rsidRPr="00305E84">
        <w:rPr>
          <w:sz w:val="23"/>
          <w:szCs w:val="23"/>
        </w:rPr>
        <w:t xml:space="preserve">Ahora bien, </w:t>
      </w:r>
      <w:r w:rsidR="009777F8" w:rsidRPr="00305E84">
        <w:rPr>
          <w:sz w:val="23"/>
          <w:szCs w:val="23"/>
        </w:rPr>
        <w:t xml:space="preserve">considerando que la cantidad de </w:t>
      </w:r>
      <w:r w:rsidR="009777F8" w:rsidRPr="00305E84">
        <w:rPr>
          <w:b/>
          <w:bCs/>
          <w:sz w:val="23"/>
          <w:szCs w:val="23"/>
        </w:rPr>
        <w:t xml:space="preserve">$1’815,684.75 (un millón ochocientos quince mil seiscientos ochenta y cuatro pesos 75/100 moneda nacional) </w:t>
      </w:r>
      <w:r w:rsidR="009777F8" w:rsidRPr="00305E84">
        <w:rPr>
          <w:sz w:val="23"/>
          <w:szCs w:val="23"/>
        </w:rPr>
        <w:t xml:space="preserve">excede el 50% (cincuenta por ciento) de la ministración mensual que por concepto de financiamiento público ordinario debe percibir el Partido Morena, la retención deberá realizarse aplicando dicho porcentaje, conforme </w:t>
      </w:r>
      <w:r w:rsidR="00F36F5B" w:rsidRPr="00305E84">
        <w:rPr>
          <w:sz w:val="23"/>
          <w:szCs w:val="23"/>
        </w:rPr>
        <w:t xml:space="preserve">a artículo séptimo, fracción III, inciso a) numeral 4 de los Lineamientos y derivado de </w:t>
      </w:r>
      <w:r w:rsidR="009777F8" w:rsidRPr="00305E84">
        <w:rPr>
          <w:sz w:val="23"/>
          <w:szCs w:val="23"/>
        </w:rPr>
        <w:t>las siguientes operaciones aritméticas:</w:t>
      </w:r>
    </w:p>
    <w:p w14:paraId="75879C19" w14:textId="77777777" w:rsidR="00305E84" w:rsidRPr="00305E84" w:rsidRDefault="00305E84" w:rsidP="00A03FD9">
      <w:pPr>
        <w:rPr>
          <w:sz w:val="23"/>
          <w:szCs w:val="23"/>
        </w:rPr>
      </w:pPr>
    </w:p>
    <w:tbl>
      <w:tblPr>
        <w:tblStyle w:val="Tablaconcuadrcula"/>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207"/>
        <w:gridCol w:w="2207"/>
        <w:gridCol w:w="2207"/>
        <w:gridCol w:w="2207"/>
      </w:tblGrid>
      <w:tr w:rsidR="009777F8" w:rsidRPr="00305E84" w14:paraId="03AF1316" w14:textId="77777777" w:rsidTr="00E61CD3">
        <w:tc>
          <w:tcPr>
            <w:tcW w:w="1250" w:type="pct"/>
            <w:tcBorders>
              <w:bottom w:val="single" w:sz="4" w:space="0" w:color="808080" w:themeColor="background1" w:themeShade="80"/>
            </w:tcBorders>
            <w:shd w:val="clear" w:color="auto" w:fill="993366"/>
            <w:vAlign w:val="center"/>
          </w:tcPr>
          <w:p w14:paraId="7DD48C80" w14:textId="09034751" w:rsidR="009777F8" w:rsidRPr="00305E84" w:rsidRDefault="009777F8" w:rsidP="009777F8">
            <w:pPr>
              <w:spacing w:before="60" w:after="60" w:line="264" w:lineRule="auto"/>
              <w:jc w:val="center"/>
              <w:rPr>
                <w:b/>
                <w:bCs/>
                <w:color w:val="FFFFFF" w:themeColor="background1"/>
                <w:sz w:val="20"/>
                <w:szCs w:val="20"/>
              </w:rPr>
            </w:pPr>
            <w:r w:rsidRPr="00305E84">
              <w:rPr>
                <w:b/>
                <w:bCs/>
                <w:color w:val="FFFFFF" w:themeColor="background1"/>
                <w:sz w:val="20"/>
                <w:szCs w:val="20"/>
              </w:rPr>
              <w:t>Remanente</w:t>
            </w:r>
          </w:p>
        </w:tc>
        <w:tc>
          <w:tcPr>
            <w:tcW w:w="1250" w:type="pct"/>
            <w:tcBorders>
              <w:bottom w:val="single" w:sz="4" w:space="0" w:color="808080" w:themeColor="background1" w:themeShade="80"/>
            </w:tcBorders>
            <w:shd w:val="clear" w:color="auto" w:fill="993366"/>
            <w:vAlign w:val="center"/>
          </w:tcPr>
          <w:p w14:paraId="5E1EF93E" w14:textId="275F891C" w:rsidR="009777F8" w:rsidRPr="00305E84" w:rsidRDefault="009777F8" w:rsidP="009777F8">
            <w:pPr>
              <w:spacing w:before="60" w:after="60" w:line="264" w:lineRule="auto"/>
              <w:jc w:val="center"/>
              <w:rPr>
                <w:b/>
                <w:bCs/>
                <w:color w:val="FFFFFF" w:themeColor="background1"/>
                <w:sz w:val="20"/>
                <w:szCs w:val="20"/>
              </w:rPr>
            </w:pPr>
            <w:r w:rsidRPr="00305E84">
              <w:rPr>
                <w:b/>
                <w:bCs/>
                <w:color w:val="FFFFFF" w:themeColor="background1"/>
                <w:sz w:val="20"/>
                <w:szCs w:val="20"/>
              </w:rPr>
              <w:t>Ministración mensual</w:t>
            </w:r>
          </w:p>
        </w:tc>
        <w:tc>
          <w:tcPr>
            <w:tcW w:w="1250" w:type="pct"/>
            <w:tcBorders>
              <w:bottom w:val="single" w:sz="4" w:space="0" w:color="808080" w:themeColor="background1" w:themeShade="80"/>
            </w:tcBorders>
            <w:shd w:val="clear" w:color="auto" w:fill="993366"/>
            <w:vAlign w:val="center"/>
          </w:tcPr>
          <w:p w14:paraId="654CAB58" w14:textId="4CDE6E61" w:rsidR="009777F8" w:rsidRPr="00305E84" w:rsidRDefault="009777F8" w:rsidP="009777F8">
            <w:pPr>
              <w:spacing w:before="60" w:after="60" w:line="264" w:lineRule="auto"/>
              <w:jc w:val="center"/>
              <w:rPr>
                <w:b/>
                <w:bCs/>
                <w:color w:val="FFFFFF" w:themeColor="background1"/>
                <w:sz w:val="20"/>
                <w:szCs w:val="20"/>
              </w:rPr>
            </w:pPr>
            <w:r w:rsidRPr="00305E84">
              <w:rPr>
                <w:b/>
                <w:bCs/>
                <w:color w:val="FFFFFF" w:themeColor="background1"/>
                <w:sz w:val="20"/>
                <w:szCs w:val="20"/>
              </w:rPr>
              <w:t>50% de la ministración mensual</w:t>
            </w:r>
            <w:r w:rsidR="00117100" w:rsidRPr="00305E84">
              <w:rPr>
                <w:rStyle w:val="Refdenotaalpie"/>
                <w:b/>
                <w:bCs/>
                <w:color w:val="FFFFFF" w:themeColor="background1"/>
                <w:sz w:val="20"/>
                <w:szCs w:val="20"/>
              </w:rPr>
              <w:footnoteReference w:id="2"/>
            </w:r>
          </w:p>
        </w:tc>
        <w:tc>
          <w:tcPr>
            <w:tcW w:w="1250" w:type="pct"/>
            <w:tcBorders>
              <w:bottom w:val="single" w:sz="4" w:space="0" w:color="808080" w:themeColor="background1" w:themeShade="80"/>
            </w:tcBorders>
            <w:shd w:val="clear" w:color="auto" w:fill="993366"/>
            <w:vAlign w:val="center"/>
          </w:tcPr>
          <w:p w14:paraId="4956376B" w14:textId="3AE88E64" w:rsidR="009777F8" w:rsidRPr="00305E84" w:rsidRDefault="009777F8" w:rsidP="009777F8">
            <w:pPr>
              <w:spacing w:before="60" w:after="60" w:line="264" w:lineRule="auto"/>
              <w:jc w:val="center"/>
              <w:rPr>
                <w:b/>
                <w:bCs/>
                <w:color w:val="FFFFFF" w:themeColor="background1"/>
                <w:sz w:val="20"/>
                <w:szCs w:val="20"/>
              </w:rPr>
            </w:pPr>
            <w:r w:rsidRPr="00305E84">
              <w:rPr>
                <w:b/>
                <w:bCs/>
                <w:color w:val="FFFFFF" w:themeColor="background1"/>
                <w:sz w:val="20"/>
                <w:szCs w:val="20"/>
              </w:rPr>
              <w:t>Saldo pendiente</w:t>
            </w:r>
          </w:p>
        </w:tc>
      </w:tr>
      <w:tr w:rsidR="009777F8" w:rsidRPr="00305E84" w14:paraId="1580DD4E" w14:textId="77777777" w:rsidTr="00E61CD3">
        <w:tc>
          <w:tcPr>
            <w:tcW w:w="125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3A53F15" w14:textId="244BF6F4" w:rsidR="009777F8" w:rsidRPr="00305E84" w:rsidRDefault="009777F8" w:rsidP="009777F8">
            <w:pPr>
              <w:spacing w:before="60" w:after="60" w:line="264" w:lineRule="auto"/>
              <w:jc w:val="center"/>
              <w:rPr>
                <w:sz w:val="20"/>
                <w:szCs w:val="20"/>
              </w:rPr>
            </w:pPr>
            <w:r w:rsidRPr="00305E84">
              <w:rPr>
                <w:sz w:val="20"/>
                <w:szCs w:val="20"/>
              </w:rPr>
              <w:t>Acuerdo INE/CG232/2023</w:t>
            </w:r>
            <w:r w:rsidR="009220C5" w:rsidRPr="00305E84">
              <w:rPr>
                <w:sz w:val="20"/>
                <w:szCs w:val="20"/>
              </w:rPr>
              <w:t xml:space="preserve"> (a)</w:t>
            </w:r>
          </w:p>
        </w:tc>
        <w:tc>
          <w:tcPr>
            <w:tcW w:w="125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5720A2F" w14:textId="1A373F88" w:rsidR="009777F8" w:rsidRPr="00305E84" w:rsidRDefault="00B308D0" w:rsidP="009220C5">
            <w:pPr>
              <w:spacing w:before="60" w:after="60" w:line="264" w:lineRule="auto"/>
              <w:jc w:val="center"/>
              <w:rPr>
                <w:sz w:val="20"/>
                <w:szCs w:val="20"/>
              </w:rPr>
            </w:pPr>
            <w:r w:rsidRPr="00305E84">
              <w:rPr>
                <w:sz w:val="20"/>
                <w:szCs w:val="20"/>
              </w:rPr>
              <w:t>(</w:t>
            </w:r>
            <w:r w:rsidR="009220C5" w:rsidRPr="00305E84">
              <w:rPr>
                <w:sz w:val="20"/>
                <w:szCs w:val="20"/>
              </w:rPr>
              <w:t>b</w:t>
            </w:r>
            <w:r w:rsidRPr="00305E84">
              <w:rPr>
                <w:sz w:val="20"/>
                <w:szCs w:val="20"/>
              </w:rPr>
              <w:t>)</w:t>
            </w:r>
          </w:p>
        </w:tc>
        <w:tc>
          <w:tcPr>
            <w:tcW w:w="125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2FD62CD" w14:textId="6244ADD1" w:rsidR="009777F8" w:rsidRPr="00305E84" w:rsidRDefault="00B308D0" w:rsidP="009220C5">
            <w:pPr>
              <w:spacing w:before="60" w:after="60" w:line="264" w:lineRule="auto"/>
              <w:jc w:val="center"/>
              <w:rPr>
                <w:sz w:val="20"/>
                <w:szCs w:val="20"/>
              </w:rPr>
            </w:pPr>
            <w:r w:rsidRPr="00305E84">
              <w:rPr>
                <w:sz w:val="20"/>
                <w:szCs w:val="20"/>
              </w:rPr>
              <w:t>(</w:t>
            </w:r>
            <w:r w:rsidR="009220C5" w:rsidRPr="00305E84">
              <w:rPr>
                <w:sz w:val="20"/>
                <w:szCs w:val="20"/>
              </w:rPr>
              <w:t>c</w:t>
            </w:r>
            <w:r w:rsidRPr="00305E84">
              <w:rPr>
                <w:sz w:val="20"/>
                <w:szCs w:val="20"/>
              </w:rPr>
              <w:t>)  = (a × 50%)</w:t>
            </w:r>
          </w:p>
        </w:tc>
        <w:tc>
          <w:tcPr>
            <w:tcW w:w="125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DC40F03" w14:textId="32921DB3" w:rsidR="009777F8" w:rsidRPr="00305E84" w:rsidRDefault="00B308D0" w:rsidP="009220C5">
            <w:pPr>
              <w:spacing w:before="60" w:after="60" w:line="264" w:lineRule="auto"/>
              <w:jc w:val="center"/>
              <w:rPr>
                <w:sz w:val="20"/>
                <w:szCs w:val="20"/>
              </w:rPr>
            </w:pPr>
            <w:r w:rsidRPr="00305E84">
              <w:rPr>
                <w:sz w:val="20"/>
                <w:szCs w:val="20"/>
              </w:rPr>
              <w:t>(</w:t>
            </w:r>
            <w:r w:rsidR="009220C5" w:rsidRPr="00305E84">
              <w:rPr>
                <w:sz w:val="20"/>
                <w:szCs w:val="20"/>
              </w:rPr>
              <w:t>d) = (a – c</w:t>
            </w:r>
            <w:r w:rsidRPr="00305E84">
              <w:rPr>
                <w:sz w:val="20"/>
                <w:szCs w:val="20"/>
              </w:rPr>
              <w:t>)</w:t>
            </w:r>
          </w:p>
        </w:tc>
      </w:tr>
      <w:tr w:rsidR="009777F8" w:rsidRPr="00305E84" w14:paraId="19055EB2" w14:textId="77777777" w:rsidTr="00E61CD3">
        <w:tc>
          <w:tcPr>
            <w:tcW w:w="125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77E96E8" w14:textId="7ACA3A32" w:rsidR="009777F8" w:rsidRPr="00305E84" w:rsidRDefault="009777F8" w:rsidP="009777F8">
            <w:pPr>
              <w:spacing w:before="60" w:after="60" w:line="264" w:lineRule="auto"/>
              <w:jc w:val="center"/>
              <w:rPr>
                <w:sz w:val="20"/>
                <w:szCs w:val="20"/>
              </w:rPr>
            </w:pPr>
            <w:r w:rsidRPr="00305E84">
              <w:rPr>
                <w:b/>
                <w:bCs/>
                <w:sz w:val="20"/>
                <w:szCs w:val="20"/>
              </w:rPr>
              <w:t>$1’815,684.75</w:t>
            </w:r>
          </w:p>
        </w:tc>
        <w:tc>
          <w:tcPr>
            <w:tcW w:w="125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E700FD4" w14:textId="563D52AC" w:rsidR="009777F8" w:rsidRPr="00305E84" w:rsidRDefault="009777F8" w:rsidP="00B308D0">
            <w:pPr>
              <w:spacing w:before="60" w:after="60" w:line="264" w:lineRule="auto"/>
              <w:jc w:val="center"/>
              <w:rPr>
                <w:sz w:val="20"/>
                <w:szCs w:val="20"/>
              </w:rPr>
            </w:pPr>
            <w:r w:rsidRPr="00305E84">
              <w:rPr>
                <w:b/>
                <w:bCs/>
                <w:sz w:val="20"/>
                <w:szCs w:val="20"/>
              </w:rPr>
              <w:t>$2’178,759.24</w:t>
            </w:r>
          </w:p>
        </w:tc>
        <w:tc>
          <w:tcPr>
            <w:tcW w:w="125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C1C3824" w14:textId="46D60F07" w:rsidR="009777F8" w:rsidRPr="00305E84" w:rsidRDefault="009777F8" w:rsidP="00B308D0">
            <w:pPr>
              <w:spacing w:before="60" w:after="60" w:line="264" w:lineRule="auto"/>
              <w:jc w:val="center"/>
              <w:rPr>
                <w:sz w:val="20"/>
                <w:szCs w:val="20"/>
              </w:rPr>
            </w:pPr>
            <w:r w:rsidRPr="00305E84">
              <w:rPr>
                <w:b/>
                <w:bCs/>
                <w:sz w:val="20"/>
                <w:szCs w:val="20"/>
              </w:rPr>
              <w:t>$1’089,379.62</w:t>
            </w:r>
          </w:p>
        </w:tc>
        <w:tc>
          <w:tcPr>
            <w:tcW w:w="125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1A2AE4C" w14:textId="04B73AF0" w:rsidR="009777F8" w:rsidRPr="00305E84" w:rsidRDefault="009777F8" w:rsidP="00B308D0">
            <w:pPr>
              <w:spacing w:before="60" w:after="60" w:line="264" w:lineRule="auto"/>
              <w:jc w:val="center"/>
              <w:rPr>
                <w:b/>
                <w:bCs/>
                <w:sz w:val="20"/>
                <w:szCs w:val="20"/>
              </w:rPr>
            </w:pPr>
            <w:r w:rsidRPr="00305E84">
              <w:rPr>
                <w:b/>
                <w:bCs/>
                <w:sz w:val="20"/>
                <w:szCs w:val="20"/>
              </w:rPr>
              <w:t>$726,305.13</w:t>
            </w:r>
          </w:p>
        </w:tc>
      </w:tr>
      <w:tr w:rsidR="00E61CD3" w:rsidRPr="00305E84" w14:paraId="6F97CEAF" w14:textId="77777777" w:rsidTr="00E61CD3">
        <w:tc>
          <w:tcPr>
            <w:tcW w:w="1" w:type="pct"/>
            <w:gridSpan w:val="4"/>
            <w:tcBorders>
              <w:top w:val="single" w:sz="4" w:space="0" w:color="808080" w:themeColor="background1" w:themeShade="80"/>
              <w:left w:val="nil"/>
              <w:bottom w:val="nil"/>
              <w:right w:val="nil"/>
            </w:tcBorders>
            <w:vAlign w:val="center"/>
          </w:tcPr>
          <w:p w14:paraId="12234EEE" w14:textId="643E23B4" w:rsidR="00E61CD3" w:rsidRPr="00305E84" w:rsidRDefault="00E61CD3" w:rsidP="00117100">
            <w:pPr>
              <w:spacing w:before="60" w:after="60" w:line="264" w:lineRule="auto"/>
              <w:jc w:val="left"/>
              <w:rPr>
                <w:bCs/>
                <w:sz w:val="23"/>
                <w:szCs w:val="23"/>
              </w:rPr>
            </w:pPr>
          </w:p>
        </w:tc>
      </w:tr>
    </w:tbl>
    <w:p w14:paraId="5AC2C1BB" w14:textId="291EF00F" w:rsidR="009777F8" w:rsidRDefault="00B308D0" w:rsidP="00A03FD9">
      <w:pPr>
        <w:rPr>
          <w:sz w:val="23"/>
          <w:szCs w:val="23"/>
        </w:rPr>
      </w:pPr>
      <w:r w:rsidRPr="00305E84">
        <w:rPr>
          <w:sz w:val="23"/>
          <w:szCs w:val="23"/>
        </w:rPr>
        <w:t>A partir del resultado de las operaciones señaladas, al Partido Morena del financiamiento público local para actividades ordinarias se le retendrá los siguientes importes de acuerdo con lo siguiente:</w:t>
      </w:r>
    </w:p>
    <w:p w14:paraId="22EC2686" w14:textId="77777777" w:rsidR="00305E84" w:rsidRPr="00305E84" w:rsidRDefault="00305E84" w:rsidP="00A03FD9">
      <w:pPr>
        <w:rPr>
          <w:sz w:val="23"/>
          <w:szCs w:val="23"/>
        </w:rPr>
      </w:pPr>
    </w:p>
    <w:tbl>
      <w:tblPr>
        <w:tblStyle w:val="Tablaconcuadrcula"/>
        <w:tblW w:w="2968"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689"/>
        <w:gridCol w:w="2551"/>
      </w:tblGrid>
      <w:tr w:rsidR="00B308D0" w14:paraId="4424CCF4" w14:textId="77777777" w:rsidTr="003F04C3">
        <w:trPr>
          <w:jc w:val="center"/>
        </w:trPr>
        <w:tc>
          <w:tcPr>
            <w:tcW w:w="2566" w:type="pct"/>
            <w:shd w:val="clear" w:color="auto" w:fill="993366"/>
            <w:vAlign w:val="center"/>
          </w:tcPr>
          <w:p w14:paraId="6ECCBB1E" w14:textId="3DF448BB" w:rsidR="00B308D0" w:rsidRPr="009777F8" w:rsidRDefault="00B308D0" w:rsidP="00AB3274">
            <w:pPr>
              <w:spacing w:before="60" w:after="60" w:line="264" w:lineRule="auto"/>
              <w:jc w:val="center"/>
              <w:rPr>
                <w:b/>
                <w:bCs/>
                <w:color w:val="FFFFFF" w:themeColor="background1"/>
                <w:sz w:val="16"/>
                <w:szCs w:val="16"/>
              </w:rPr>
            </w:pPr>
            <w:r>
              <w:rPr>
                <w:b/>
                <w:bCs/>
                <w:color w:val="FFFFFF" w:themeColor="background1"/>
                <w:sz w:val="16"/>
                <w:szCs w:val="16"/>
              </w:rPr>
              <w:lastRenderedPageBreak/>
              <w:t xml:space="preserve">Ministración correspondiente al mes de </w:t>
            </w:r>
          </w:p>
        </w:tc>
        <w:tc>
          <w:tcPr>
            <w:tcW w:w="2434" w:type="pct"/>
            <w:shd w:val="clear" w:color="auto" w:fill="993366"/>
            <w:vAlign w:val="center"/>
          </w:tcPr>
          <w:p w14:paraId="3F336F86" w14:textId="475D6D06" w:rsidR="00B308D0" w:rsidRPr="009777F8" w:rsidRDefault="00B308D0" w:rsidP="00AB3274">
            <w:pPr>
              <w:spacing w:before="60" w:after="60" w:line="264" w:lineRule="auto"/>
              <w:jc w:val="center"/>
              <w:rPr>
                <w:b/>
                <w:bCs/>
                <w:color w:val="FFFFFF" w:themeColor="background1"/>
                <w:sz w:val="16"/>
                <w:szCs w:val="16"/>
              </w:rPr>
            </w:pPr>
            <w:r>
              <w:rPr>
                <w:b/>
                <w:bCs/>
                <w:color w:val="FFFFFF" w:themeColor="background1"/>
                <w:sz w:val="16"/>
                <w:szCs w:val="16"/>
              </w:rPr>
              <w:t xml:space="preserve">Monto para retener </w:t>
            </w:r>
            <w:r w:rsidRPr="009777F8">
              <w:rPr>
                <w:b/>
                <w:bCs/>
                <w:color w:val="FFFFFF" w:themeColor="background1"/>
                <w:sz w:val="16"/>
                <w:szCs w:val="16"/>
              </w:rPr>
              <w:t>de la ministración mensual</w:t>
            </w:r>
          </w:p>
        </w:tc>
      </w:tr>
      <w:tr w:rsidR="00B308D0" w14:paraId="45E7F55F" w14:textId="77777777" w:rsidTr="003F04C3">
        <w:trPr>
          <w:jc w:val="center"/>
        </w:trPr>
        <w:tc>
          <w:tcPr>
            <w:tcW w:w="2566" w:type="pct"/>
            <w:vAlign w:val="center"/>
          </w:tcPr>
          <w:p w14:paraId="07FA4C37" w14:textId="4501E9CB" w:rsidR="00B308D0" w:rsidRPr="00B308D0" w:rsidRDefault="00B308D0" w:rsidP="00B308D0">
            <w:pPr>
              <w:spacing w:before="60" w:after="60" w:line="264" w:lineRule="auto"/>
              <w:ind w:left="170"/>
              <w:rPr>
                <w:sz w:val="20"/>
                <w:szCs w:val="20"/>
              </w:rPr>
            </w:pPr>
            <w:r w:rsidRPr="00B308D0">
              <w:rPr>
                <w:b/>
                <w:bCs/>
                <w:sz w:val="20"/>
                <w:szCs w:val="20"/>
              </w:rPr>
              <w:t>Octubre de 2023</w:t>
            </w:r>
          </w:p>
        </w:tc>
        <w:tc>
          <w:tcPr>
            <w:tcW w:w="2434" w:type="pct"/>
            <w:vAlign w:val="center"/>
          </w:tcPr>
          <w:p w14:paraId="284A9ED7" w14:textId="77777777" w:rsidR="00B308D0" w:rsidRPr="00B308D0" w:rsidRDefault="00B308D0" w:rsidP="00B308D0">
            <w:pPr>
              <w:spacing w:before="60" w:after="60" w:line="264" w:lineRule="auto"/>
              <w:ind w:right="170"/>
              <w:jc w:val="right"/>
              <w:rPr>
                <w:sz w:val="20"/>
                <w:szCs w:val="20"/>
              </w:rPr>
            </w:pPr>
            <w:r w:rsidRPr="00B308D0">
              <w:rPr>
                <w:b/>
                <w:bCs/>
                <w:sz w:val="20"/>
                <w:szCs w:val="20"/>
              </w:rPr>
              <w:t>$1’089,379.62</w:t>
            </w:r>
          </w:p>
        </w:tc>
      </w:tr>
      <w:tr w:rsidR="00B308D0" w14:paraId="59D982FD" w14:textId="77777777" w:rsidTr="003F04C3">
        <w:trPr>
          <w:jc w:val="center"/>
        </w:trPr>
        <w:tc>
          <w:tcPr>
            <w:tcW w:w="2566" w:type="pct"/>
            <w:vAlign w:val="center"/>
          </w:tcPr>
          <w:p w14:paraId="30733C20" w14:textId="22034FF4" w:rsidR="00B308D0" w:rsidRPr="00B308D0" w:rsidRDefault="00B308D0" w:rsidP="00B308D0">
            <w:pPr>
              <w:spacing w:before="60" w:after="60" w:line="264" w:lineRule="auto"/>
              <w:ind w:left="170"/>
              <w:rPr>
                <w:b/>
                <w:bCs/>
                <w:sz w:val="20"/>
                <w:szCs w:val="20"/>
              </w:rPr>
            </w:pPr>
            <w:r w:rsidRPr="00B308D0">
              <w:rPr>
                <w:b/>
                <w:bCs/>
                <w:sz w:val="20"/>
                <w:szCs w:val="20"/>
              </w:rPr>
              <w:t>Noviembre de 2023</w:t>
            </w:r>
          </w:p>
        </w:tc>
        <w:tc>
          <w:tcPr>
            <w:tcW w:w="2434" w:type="pct"/>
            <w:vAlign w:val="center"/>
          </w:tcPr>
          <w:p w14:paraId="4FD668C6" w14:textId="533D0AC9" w:rsidR="00B308D0" w:rsidRPr="00B308D0" w:rsidRDefault="00B308D0" w:rsidP="00B308D0">
            <w:pPr>
              <w:spacing w:before="60" w:after="60" w:line="264" w:lineRule="auto"/>
              <w:ind w:right="170"/>
              <w:jc w:val="right"/>
              <w:rPr>
                <w:b/>
                <w:bCs/>
                <w:sz w:val="20"/>
                <w:szCs w:val="20"/>
              </w:rPr>
            </w:pPr>
            <w:r w:rsidRPr="00B308D0">
              <w:rPr>
                <w:b/>
                <w:bCs/>
                <w:sz w:val="20"/>
                <w:szCs w:val="20"/>
              </w:rPr>
              <w:t>$726,305.13</w:t>
            </w:r>
          </w:p>
        </w:tc>
      </w:tr>
      <w:tr w:rsidR="00103203" w14:paraId="56C25D05" w14:textId="77777777" w:rsidTr="003F04C3">
        <w:trPr>
          <w:jc w:val="center"/>
        </w:trPr>
        <w:tc>
          <w:tcPr>
            <w:tcW w:w="2566" w:type="pct"/>
            <w:shd w:val="clear" w:color="auto" w:fill="BFBFBF" w:themeFill="background1" w:themeFillShade="BF"/>
            <w:vAlign w:val="center"/>
          </w:tcPr>
          <w:p w14:paraId="285FAED8" w14:textId="41DD1E61" w:rsidR="00103203" w:rsidRPr="00B308D0" w:rsidRDefault="00103203" w:rsidP="00103203">
            <w:pPr>
              <w:spacing w:before="60" w:after="60" w:line="264" w:lineRule="auto"/>
              <w:ind w:left="170"/>
              <w:jc w:val="right"/>
              <w:rPr>
                <w:b/>
                <w:bCs/>
                <w:sz w:val="20"/>
                <w:szCs w:val="20"/>
              </w:rPr>
            </w:pPr>
            <w:r>
              <w:rPr>
                <w:b/>
                <w:bCs/>
                <w:sz w:val="20"/>
                <w:szCs w:val="20"/>
              </w:rPr>
              <w:t>Total</w:t>
            </w:r>
          </w:p>
        </w:tc>
        <w:tc>
          <w:tcPr>
            <w:tcW w:w="2434" w:type="pct"/>
            <w:shd w:val="clear" w:color="auto" w:fill="BFBFBF" w:themeFill="background1" w:themeFillShade="BF"/>
            <w:vAlign w:val="center"/>
          </w:tcPr>
          <w:p w14:paraId="79C35C8C" w14:textId="35C3B635" w:rsidR="00103203" w:rsidRPr="00B308D0" w:rsidRDefault="00103203" w:rsidP="00B308D0">
            <w:pPr>
              <w:spacing w:before="60" w:after="60" w:line="264" w:lineRule="auto"/>
              <w:ind w:right="170"/>
              <w:jc w:val="right"/>
              <w:rPr>
                <w:b/>
                <w:bCs/>
                <w:sz w:val="20"/>
                <w:szCs w:val="20"/>
              </w:rPr>
            </w:pPr>
            <w:r w:rsidRPr="00B308D0">
              <w:rPr>
                <w:b/>
                <w:bCs/>
                <w:sz w:val="20"/>
                <w:szCs w:val="20"/>
              </w:rPr>
              <w:t>$1’815,684.75</w:t>
            </w:r>
          </w:p>
        </w:tc>
      </w:tr>
    </w:tbl>
    <w:p w14:paraId="6795007A" w14:textId="77777777" w:rsidR="00B87349" w:rsidRDefault="00B87349" w:rsidP="00B87349">
      <w:pPr>
        <w:rPr>
          <w:sz w:val="23"/>
          <w:szCs w:val="23"/>
        </w:rPr>
      </w:pPr>
      <w:r w:rsidRPr="00CF2001">
        <w:rPr>
          <w:sz w:val="23"/>
          <w:szCs w:val="23"/>
        </w:rPr>
        <w:t>Sobre la base de las consideraciones señaladas, este Consejo Estatal emite el siguiente:</w:t>
      </w:r>
    </w:p>
    <w:p w14:paraId="1AE87B66" w14:textId="77777777" w:rsidR="00740B50" w:rsidRPr="00305E84" w:rsidRDefault="00740B50" w:rsidP="00CF2001">
      <w:pPr>
        <w:pStyle w:val="Ttulo1"/>
        <w:rPr>
          <w:sz w:val="24"/>
          <w:szCs w:val="24"/>
        </w:rPr>
      </w:pPr>
      <w:r w:rsidRPr="00305E84">
        <w:rPr>
          <w:sz w:val="24"/>
          <w:szCs w:val="24"/>
        </w:rPr>
        <w:t>Acuerdo</w:t>
      </w:r>
    </w:p>
    <w:p w14:paraId="6BA90801" w14:textId="3BC60225" w:rsidR="00826711" w:rsidRPr="00826711" w:rsidRDefault="00306BF5" w:rsidP="0065088F">
      <w:pPr>
        <w:pStyle w:val="Puntos"/>
        <w:spacing w:line="300" w:lineRule="auto"/>
        <w:ind w:left="0"/>
        <w:rPr>
          <w:sz w:val="23"/>
          <w:szCs w:val="23"/>
        </w:rPr>
      </w:pPr>
      <w:r w:rsidRPr="00CF2001">
        <w:rPr>
          <w:b/>
          <w:sz w:val="23"/>
          <w:szCs w:val="23"/>
        </w:rPr>
        <w:t xml:space="preserve">Primero. </w:t>
      </w:r>
      <w:r w:rsidR="00826711" w:rsidRPr="00826711">
        <w:rPr>
          <w:sz w:val="23"/>
          <w:szCs w:val="23"/>
        </w:rPr>
        <w:t xml:space="preserve">En cumplimiento al acuerdo INE/CG232/2023 aprobado por el Consejo General del Instituto Nacional Electoral se instruye la retención del remanente a reintegrar de las ministraciones mensuales que por financiamiento público local </w:t>
      </w:r>
      <w:r w:rsidR="00826711">
        <w:rPr>
          <w:sz w:val="23"/>
          <w:szCs w:val="23"/>
        </w:rPr>
        <w:t xml:space="preserve">ordinario, </w:t>
      </w:r>
      <w:r w:rsidR="00826711" w:rsidRPr="00826711">
        <w:rPr>
          <w:sz w:val="23"/>
          <w:szCs w:val="23"/>
        </w:rPr>
        <w:t>corresponde al Partido Morena</w:t>
      </w:r>
      <w:r w:rsidR="00826711">
        <w:rPr>
          <w:sz w:val="23"/>
          <w:szCs w:val="23"/>
        </w:rPr>
        <w:t xml:space="preserve"> de acuerdo con los siguientes plazos</w:t>
      </w:r>
      <w:r w:rsidR="00D05CDC">
        <w:rPr>
          <w:sz w:val="23"/>
          <w:szCs w:val="23"/>
        </w:rPr>
        <w:t xml:space="preserve"> </w:t>
      </w:r>
      <w:r w:rsidR="00826711">
        <w:rPr>
          <w:sz w:val="23"/>
          <w:szCs w:val="23"/>
        </w:rPr>
        <w:t xml:space="preserve">y </w:t>
      </w:r>
      <w:r w:rsidR="00826711" w:rsidRPr="00826711">
        <w:rPr>
          <w:sz w:val="23"/>
          <w:szCs w:val="23"/>
        </w:rPr>
        <w:t>montos:</w:t>
      </w:r>
    </w:p>
    <w:tbl>
      <w:tblPr>
        <w:tblStyle w:val="Tablaconcuadrcula"/>
        <w:tblW w:w="2968"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689"/>
        <w:gridCol w:w="2551"/>
      </w:tblGrid>
      <w:tr w:rsidR="00826711" w14:paraId="49E72941" w14:textId="77777777" w:rsidTr="009D53EB">
        <w:trPr>
          <w:jc w:val="center"/>
        </w:trPr>
        <w:tc>
          <w:tcPr>
            <w:tcW w:w="2566" w:type="pct"/>
            <w:shd w:val="clear" w:color="auto" w:fill="993366"/>
            <w:vAlign w:val="center"/>
          </w:tcPr>
          <w:p w14:paraId="79891497" w14:textId="77777777" w:rsidR="00826711" w:rsidRPr="009777F8" w:rsidRDefault="00826711" w:rsidP="009D53EB">
            <w:pPr>
              <w:spacing w:before="60" w:after="60" w:line="264" w:lineRule="auto"/>
              <w:jc w:val="center"/>
              <w:rPr>
                <w:b/>
                <w:bCs/>
                <w:color w:val="FFFFFF" w:themeColor="background1"/>
                <w:sz w:val="16"/>
                <w:szCs w:val="16"/>
              </w:rPr>
            </w:pPr>
            <w:r>
              <w:rPr>
                <w:b/>
                <w:bCs/>
                <w:color w:val="FFFFFF" w:themeColor="background1"/>
                <w:sz w:val="16"/>
                <w:szCs w:val="16"/>
              </w:rPr>
              <w:t xml:space="preserve">Ministración correspondiente al mes de </w:t>
            </w:r>
          </w:p>
        </w:tc>
        <w:tc>
          <w:tcPr>
            <w:tcW w:w="2434" w:type="pct"/>
            <w:shd w:val="clear" w:color="auto" w:fill="993366"/>
            <w:vAlign w:val="center"/>
          </w:tcPr>
          <w:p w14:paraId="1AE7CE6F" w14:textId="77777777" w:rsidR="00826711" w:rsidRPr="009777F8" w:rsidRDefault="00826711" w:rsidP="009D53EB">
            <w:pPr>
              <w:spacing w:before="60" w:after="60" w:line="264" w:lineRule="auto"/>
              <w:jc w:val="center"/>
              <w:rPr>
                <w:b/>
                <w:bCs/>
                <w:color w:val="FFFFFF" w:themeColor="background1"/>
                <w:sz w:val="16"/>
                <w:szCs w:val="16"/>
              </w:rPr>
            </w:pPr>
            <w:r>
              <w:rPr>
                <w:b/>
                <w:bCs/>
                <w:color w:val="FFFFFF" w:themeColor="background1"/>
                <w:sz w:val="16"/>
                <w:szCs w:val="16"/>
              </w:rPr>
              <w:t xml:space="preserve">Monto para retener </w:t>
            </w:r>
            <w:r w:rsidRPr="009777F8">
              <w:rPr>
                <w:b/>
                <w:bCs/>
                <w:color w:val="FFFFFF" w:themeColor="background1"/>
                <w:sz w:val="16"/>
                <w:szCs w:val="16"/>
              </w:rPr>
              <w:t>de la ministración mensual</w:t>
            </w:r>
          </w:p>
        </w:tc>
      </w:tr>
      <w:tr w:rsidR="00826711" w14:paraId="27BD97B6" w14:textId="77777777" w:rsidTr="009D53EB">
        <w:trPr>
          <w:jc w:val="center"/>
        </w:trPr>
        <w:tc>
          <w:tcPr>
            <w:tcW w:w="2566" w:type="pct"/>
            <w:vAlign w:val="center"/>
          </w:tcPr>
          <w:p w14:paraId="44266D8B" w14:textId="77777777" w:rsidR="00826711" w:rsidRPr="00B308D0" w:rsidRDefault="00826711" w:rsidP="009D53EB">
            <w:pPr>
              <w:spacing w:before="60" w:after="60" w:line="264" w:lineRule="auto"/>
              <w:ind w:left="170"/>
              <w:rPr>
                <w:sz w:val="20"/>
                <w:szCs w:val="20"/>
              </w:rPr>
            </w:pPr>
            <w:r w:rsidRPr="00B308D0">
              <w:rPr>
                <w:b/>
                <w:bCs/>
                <w:sz w:val="20"/>
                <w:szCs w:val="20"/>
              </w:rPr>
              <w:t>Octubre de 2023</w:t>
            </w:r>
          </w:p>
        </w:tc>
        <w:tc>
          <w:tcPr>
            <w:tcW w:w="2434" w:type="pct"/>
            <w:vAlign w:val="center"/>
          </w:tcPr>
          <w:p w14:paraId="1145398D" w14:textId="77777777" w:rsidR="00826711" w:rsidRPr="00B308D0" w:rsidRDefault="00826711" w:rsidP="009D53EB">
            <w:pPr>
              <w:spacing w:before="60" w:after="60" w:line="264" w:lineRule="auto"/>
              <w:ind w:right="170"/>
              <w:jc w:val="right"/>
              <w:rPr>
                <w:sz w:val="20"/>
                <w:szCs w:val="20"/>
              </w:rPr>
            </w:pPr>
            <w:r w:rsidRPr="00B308D0">
              <w:rPr>
                <w:b/>
                <w:bCs/>
                <w:sz w:val="20"/>
                <w:szCs w:val="20"/>
              </w:rPr>
              <w:t>$1’089,379.62</w:t>
            </w:r>
          </w:p>
        </w:tc>
      </w:tr>
      <w:tr w:rsidR="00826711" w14:paraId="7BBC5A03" w14:textId="77777777" w:rsidTr="009D53EB">
        <w:trPr>
          <w:jc w:val="center"/>
        </w:trPr>
        <w:tc>
          <w:tcPr>
            <w:tcW w:w="2566" w:type="pct"/>
            <w:vAlign w:val="center"/>
          </w:tcPr>
          <w:p w14:paraId="2F71F184" w14:textId="77777777" w:rsidR="00826711" w:rsidRPr="00B308D0" w:rsidRDefault="00826711" w:rsidP="009D53EB">
            <w:pPr>
              <w:spacing w:before="60" w:after="60" w:line="264" w:lineRule="auto"/>
              <w:ind w:left="170"/>
              <w:rPr>
                <w:b/>
                <w:bCs/>
                <w:sz w:val="20"/>
                <w:szCs w:val="20"/>
              </w:rPr>
            </w:pPr>
            <w:r w:rsidRPr="00B308D0">
              <w:rPr>
                <w:b/>
                <w:bCs/>
                <w:sz w:val="20"/>
                <w:szCs w:val="20"/>
              </w:rPr>
              <w:t>Noviembre de 2023</w:t>
            </w:r>
          </w:p>
        </w:tc>
        <w:tc>
          <w:tcPr>
            <w:tcW w:w="2434" w:type="pct"/>
            <w:vAlign w:val="center"/>
          </w:tcPr>
          <w:p w14:paraId="414B2AF9" w14:textId="77777777" w:rsidR="00826711" w:rsidRPr="00B308D0" w:rsidRDefault="00826711" w:rsidP="009D53EB">
            <w:pPr>
              <w:spacing w:before="60" w:after="60" w:line="264" w:lineRule="auto"/>
              <w:ind w:right="170"/>
              <w:jc w:val="right"/>
              <w:rPr>
                <w:b/>
                <w:bCs/>
                <w:sz w:val="20"/>
                <w:szCs w:val="20"/>
              </w:rPr>
            </w:pPr>
            <w:r w:rsidRPr="00B308D0">
              <w:rPr>
                <w:b/>
                <w:bCs/>
                <w:sz w:val="20"/>
                <w:szCs w:val="20"/>
              </w:rPr>
              <w:t>$726,305.13</w:t>
            </w:r>
          </w:p>
        </w:tc>
      </w:tr>
      <w:tr w:rsidR="00826711" w14:paraId="2364075A" w14:textId="77777777" w:rsidTr="009D53EB">
        <w:trPr>
          <w:jc w:val="center"/>
        </w:trPr>
        <w:tc>
          <w:tcPr>
            <w:tcW w:w="2566" w:type="pct"/>
            <w:shd w:val="clear" w:color="auto" w:fill="BFBFBF" w:themeFill="background1" w:themeFillShade="BF"/>
            <w:vAlign w:val="center"/>
          </w:tcPr>
          <w:p w14:paraId="03D610D7" w14:textId="77777777" w:rsidR="00826711" w:rsidRPr="00B308D0" w:rsidRDefault="00826711" w:rsidP="009D53EB">
            <w:pPr>
              <w:spacing w:before="60" w:after="60" w:line="264" w:lineRule="auto"/>
              <w:ind w:left="170"/>
              <w:jc w:val="right"/>
              <w:rPr>
                <w:b/>
                <w:bCs/>
                <w:sz w:val="20"/>
                <w:szCs w:val="20"/>
              </w:rPr>
            </w:pPr>
            <w:r>
              <w:rPr>
                <w:b/>
                <w:bCs/>
                <w:sz w:val="20"/>
                <w:szCs w:val="20"/>
              </w:rPr>
              <w:t>Total</w:t>
            </w:r>
          </w:p>
        </w:tc>
        <w:tc>
          <w:tcPr>
            <w:tcW w:w="2434" w:type="pct"/>
            <w:shd w:val="clear" w:color="auto" w:fill="BFBFBF" w:themeFill="background1" w:themeFillShade="BF"/>
            <w:vAlign w:val="center"/>
          </w:tcPr>
          <w:p w14:paraId="4650C360" w14:textId="77777777" w:rsidR="00826711" w:rsidRPr="00B308D0" w:rsidRDefault="00826711" w:rsidP="009D53EB">
            <w:pPr>
              <w:spacing w:before="60" w:after="60" w:line="264" w:lineRule="auto"/>
              <w:ind w:right="170"/>
              <w:jc w:val="right"/>
              <w:rPr>
                <w:b/>
                <w:bCs/>
                <w:sz w:val="20"/>
                <w:szCs w:val="20"/>
              </w:rPr>
            </w:pPr>
            <w:r w:rsidRPr="00B308D0">
              <w:rPr>
                <w:b/>
                <w:bCs/>
                <w:sz w:val="20"/>
                <w:szCs w:val="20"/>
              </w:rPr>
              <w:t>$1’815,684.75</w:t>
            </w:r>
          </w:p>
        </w:tc>
      </w:tr>
    </w:tbl>
    <w:p w14:paraId="346DBF50" w14:textId="77777777" w:rsidR="00826711" w:rsidRDefault="00826711" w:rsidP="0065088F">
      <w:pPr>
        <w:pStyle w:val="Puntos"/>
        <w:spacing w:line="300" w:lineRule="auto"/>
        <w:ind w:left="0"/>
        <w:rPr>
          <w:bCs/>
          <w:sz w:val="23"/>
          <w:szCs w:val="23"/>
        </w:rPr>
      </w:pPr>
    </w:p>
    <w:p w14:paraId="648DD683" w14:textId="054D2F7A" w:rsidR="00DD100C" w:rsidRPr="00951F91" w:rsidRDefault="00DD100C" w:rsidP="00DD100C">
      <w:pPr>
        <w:pStyle w:val="Puntos"/>
        <w:spacing w:before="240"/>
        <w:ind w:left="0"/>
        <w:rPr>
          <w:sz w:val="23"/>
          <w:szCs w:val="23"/>
        </w:rPr>
      </w:pPr>
      <w:r w:rsidRPr="00951F91">
        <w:rPr>
          <w:sz w:val="23"/>
          <w:szCs w:val="23"/>
        </w:rPr>
        <w:t xml:space="preserve">Cantidades que serán deducidas del financiamiento público destinado para el sostenimiento de actividades ordinarias permanentes </w:t>
      </w:r>
      <w:r w:rsidR="00305E84">
        <w:rPr>
          <w:sz w:val="23"/>
          <w:szCs w:val="23"/>
        </w:rPr>
        <w:t>que corresponde al P</w:t>
      </w:r>
      <w:r>
        <w:rPr>
          <w:sz w:val="23"/>
          <w:szCs w:val="23"/>
        </w:rPr>
        <w:t>artido Morena</w:t>
      </w:r>
      <w:r w:rsidRPr="00951F91">
        <w:rPr>
          <w:sz w:val="23"/>
          <w:szCs w:val="23"/>
        </w:rPr>
        <w:t>.</w:t>
      </w:r>
    </w:p>
    <w:p w14:paraId="5687B038" w14:textId="77777777" w:rsidR="00DD100C" w:rsidRDefault="00894FFC" w:rsidP="00DD100C">
      <w:pPr>
        <w:pStyle w:val="Puntos"/>
        <w:spacing w:before="240" w:line="300" w:lineRule="auto"/>
        <w:ind w:left="0"/>
        <w:rPr>
          <w:sz w:val="23"/>
          <w:szCs w:val="23"/>
        </w:rPr>
      </w:pPr>
      <w:r>
        <w:rPr>
          <w:b/>
          <w:sz w:val="23"/>
          <w:szCs w:val="23"/>
        </w:rPr>
        <w:t xml:space="preserve">Segundo. </w:t>
      </w:r>
      <w:r w:rsidR="00DD100C" w:rsidRPr="00DD100C">
        <w:rPr>
          <w:sz w:val="23"/>
          <w:szCs w:val="23"/>
        </w:rPr>
        <w:t xml:space="preserve">Se instruye a la Dirección Ejecutiva de Administración de este Instituto Electoral, retenga los montos establecidos en el presente acuerdo de las ministraciones que por concepto de financiamiento público local para actividades ordinarias permanentes corresponde al Partido Morena </w:t>
      </w:r>
      <w:r w:rsidR="00DD100C">
        <w:rPr>
          <w:sz w:val="23"/>
          <w:szCs w:val="23"/>
        </w:rPr>
        <w:t xml:space="preserve">conforme a los plazos y cantidades señaladas </w:t>
      </w:r>
      <w:r w:rsidR="00DD100C">
        <w:t xml:space="preserve">hasta cubrir totalmente el remanente no erogado y </w:t>
      </w:r>
      <w:r w:rsidR="00DD100C" w:rsidRPr="00DD100C">
        <w:rPr>
          <w:sz w:val="23"/>
          <w:szCs w:val="23"/>
        </w:rPr>
        <w:t xml:space="preserve">de manera preferente por encima de cualquier sanción pendiente por aplicar al partido político </w:t>
      </w:r>
      <w:r w:rsidR="00DD100C">
        <w:rPr>
          <w:sz w:val="23"/>
          <w:szCs w:val="23"/>
        </w:rPr>
        <w:t>señalado.</w:t>
      </w:r>
    </w:p>
    <w:p w14:paraId="3374637F" w14:textId="617D22D4" w:rsidR="00DD100C" w:rsidRPr="00DD100C" w:rsidRDefault="00DD100C" w:rsidP="00DD100C">
      <w:pPr>
        <w:pStyle w:val="Puntos"/>
        <w:ind w:left="0"/>
        <w:rPr>
          <w:sz w:val="23"/>
          <w:szCs w:val="23"/>
        </w:rPr>
      </w:pPr>
      <w:r>
        <w:rPr>
          <w:sz w:val="23"/>
          <w:szCs w:val="23"/>
        </w:rPr>
        <w:lastRenderedPageBreak/>
        <w:t>Los montos señalados deberán reintegrarse a la Tesorería de la Federación o en su caso a la Secretaría de Finanzas</w:t>
      </w:r>
      <w:r w:rsidRPr="00DD100C">
        <w:rPr>
          <w:sz w:val="23"/>
          <w:szCs w:val="23"/>
        </w:rPr>
        <w:t xml:space="preserve">, </w:t>
      </w:r>
      <w:r>
        <w:rPr>
          <w:sz w:val="23"/>
          <w:szCs w:val="23"/>
        </w:rPr>
        <w:t xml:space="preserve">de acuerdo con </w:t>
      </w:r>
      <w:r w:rsidRPr="00DD100C">
        <w:rPr>
          <w:sz w:val="23"/>
          <w:szCs w:val="23"/>
        </w:rPr>
        <w:t>el</w:t>
      </w:r>
      <w:r>
        <w:rPr>
          <w:sz w:val="23"/>
          <w:szCs w:val="23"/>
        </w:rPr>
        <w:t xml:space="preserve"> </w:t>
      </w:r>
      <w:r w:rsidRPr="00DD100C">
        <w:rPr>
          <w:sz w:val="23"/>
          <w:szCs w:val="23"/>
        </w:rPr>
        <w:t>origen del financiamiento público para gastos de campaña</w:t>
      </w:r>
      <w:r>
        <w:rPr>
          <w:sz w:val="23"/>
          <w:szCs w:val="23"/>
        </w:rPr>
        <w:t>.</w:t>
      </w:r>
    </w:p>
    <w:p w14:paraId="3C51A77F" w14:textId="51D8FC44" w:rsidR="00740B50" w:rsidRPr="00CF2001" w:rsidRDefault="00894FFC" w:rsidP="00DD100C">
      <w:pPr>
        <w:pStyle w:val="Puntos"/>
        <w:spacing w:line="300" w:lineRule="auto"/>
        <w:ind w:left="0"/>
        <w:rPr>
          <w:sz w:val="23"/>
          <w:szCs w:val="23"/>
        </w:rPr>
      </w:pPr>
      <w:r>
        <w:rPr>
          <w:b/>
          <w:sz w:val="23"/>
          <w:szCs w:val="23"/>
        </w:rPr>
        <w:t>Tercero</w:t>
      </w:r>
      <w:r w:rsidRPr="00CF2001">
        <w:rPr>
          <w:b/>
          <w:sz w:val="23"/>
          <w:szCs w:val="23"/>
        </w:rPr>
        <w:t>.</w:t>
      </w:r>
      <w:r w:rsidR="00C84C9A">
        <w:rPr>
          <w:sz w:val="23"/>
          <w:szCs w:val="23"/>
        </w:rPr>
        <w:t xml:space="preserve"> S</w:t>
      </w:r>
      <w:r w:rsidR="00740B50" w:rsidRPr="00CF2001">
        <w:rPr>
          <w:sz w:val="23"/>
          <w:szCs w:val="23"/>
        </w:rPr>
        <w:t xml:space="preserve">e instruye a la Secretaría Ejecutiva de este Instituto para que, </w:t>
      </w:r>
      <w:r w:rsidR="0087742B">
        <w:rPr>
          <w:sz w:val="23"/>
          <w:szCs w:val="23"/>
        </w:rPr>
        <w:t xml:space="preserve">por conducto </w:t>
      </w:r>
      <w:r w:rsidR="00740B50" w:rsidRPr="00CF2001">
        <w:rPr>
          <w:sz w:val="23"/>
          <w:szCs w:val="23"/>
        </w:rPr>
        <w:t>de la Coordinación de Vinculación con el Instituto Nacional Electoral, notifique el presente acuerdo al citado organismo nacional, a través de su Unidad Técnica de Vinculación con los Organismos Públicos Locales, para los efectos correspondientes.</w:t>
      </w:r>
    </w:p>
    <w:p w14:paraId="2393966B" w14:textId="0BEA883F" w:rsidR="00740B50" w:rsidRPr="00CF2001" w:rsidRDefault="0071757E" w:rsidP="00164F4D">
      <w:pPr>
        <w:pStyle w:val="Puntos"/>
        <w:spacing w:line="300" w:lineRule="auto"/>
        <w:ind w:left="0"/>
        <w:rPr>
          <w:sz w:val="23"/>
          <w:szCs w:val="23"/>
        </w:rPr>
      </w:pPr>
      <w:r>
        <w:rPr>
          <w:b/>
          <w:bCs/>
          <w:sz w:val="23"/>
          <w:szCs w:val="23"/>
        </w:rPr>
        <w:t>Cuarto</w:t>
      </w:r>
      <w:r w:rsidR="00740B50" w:rsidRPr="00CF2001">
        <w:rPr>
          <w:b/>
          <w:bCs/>
          <w:sz w:val="23"/>
          <w:szCs w:val="23"/>
        </w:rPr>
        <w:t>.</w:t>
      </w:r>
      <w:r w:rsidR="00740B50" w:rsidRPr="00CF2001">
        <w:rPr>
          <w:sz w:val="23"/>
          <w:szCs w:val="23"/>
        </w:rPr>
        <w:t xml:space="preserve"> De conformidad con lo dispuesto en el artículo 114 de la Ley Electoral y de Partidos Políticos del Estado de Tabasco, publíquese el contenido del presente acuerdo en el Periódico Oficial del Estado y en la página de internet del Instituto.</w:t>
      </w:r>
    </w:p>
    <w:p w14:paraId="6FFE5432" w14:textId="2FB324C3" w:rsidR="00740B50" w:rsidRPr="00CF2001" w:rsidRDefault="00740B50" w:rsidP="00164F4D">
      <w:pPr>
        <w:pStyle w:val="Puntos"/>
        <w:spacing w:line="300" w:lineRule="auto"/>
        <w:ind w:left="0"/>
        <w:rPr>
          <w:sz w:val="23"/>
          <w:szCs w:val="23"/>
        </w:rPr>
      </w:pPr>
      <w:r w:rsidRPr="00CF2001">
        <w:rPr>
          <w:sz w:val="23"/>
          <w:szCs w:val="23"/>
        </w:rPr>
        <w:t>El presente acuerdo fue</w:t>
      </w:r>
      <w:r w:rsidR="00903E6C">
        <w:rPr>
          <w:sz w:val="23"/>
          <w:szCs w:val="23"/>
        </w:rPr>
        <w:t xml:space="preserve"> aprobado </w:t>
      </w:r>
      <w:r w:rsidRPr="00CF2001">
        <w:rPr>
          <w:sz w:val="23"/>
          <w:szCs w:val="23"/>
        </w:rPr>
        <w:t xml:space="preserve">en sesión </w:t>
      </w:r>
      <w:r w:rsidR="00903E6C">
        <w:rPr>
          <w:sz w:val="23"/>
          <w:szCs w:val="23"/>
        </w:rPr>
        <w:t xml:space="preserve">extraordinaria efectuada el cinco </w:t>
      </w:r>
      <w:r w:rsidRPr="00CF2001">
        <w:rPr>
          <w:sz w:val="23"/>
          <w:szCs w:val="23"/>
        </w:rPr>
        <w:t xml:space="preserve">de </w:t>
      </w:r>
      <w:r w:rsidR="008D757D">
        <w:rPr>
          <w:sz w:val="23"/>
          <w:szCs w:val="23"/>
        </w:rPr>
        <w:t xml:space="preserve">octubre </w:t>
      </w:r>
      <w:r w:rsidRPr="00CF2001">
        <w:rPr>
          <w:sz w:val="23"/>
          <w:szCs w:val="23"/>
        </w:rPr>
        <w:t xml:space="preserve">del año dos mil veintitrés, por votación </w:t>
      </w:r>
      <w:r w:rsidR="008D757D">
        <w:rPr>
          <w:sz w:val="23"/>
          <w:szCs w:val="23"/>
        </w:rPr>
        <w:t xml:space="preserve">unánime </w:t>
      </w:r>
      <w:r w:rsidRPr="00CF2001">
        <w:rPr>
          <w:sz w:val="23"/>
          <w:szCs w:val="23"/>
        </w:rPr>
        <w:t>de las y los Consejeros Electorales del Consejo Estatal del Instituto Electoral y de Participación Ciudadana de Tabasco: Mtra. Rosselvy del Carmen Domínguez Arévalo, Licda. María Elvia Magaña Sandoval, Mtro. Juan Correa López, M.D. Víctor Humberto Mejía Naranjo, Lic. Hernán González Sala, Lic. Vladimir Hernández Venegas y la Consejera Presidenta, Mtra. Elizabeth Nava Gutiérrez.</w:t>
      </w:r>
    </w:p>
    <w:p w14:paraId="7EB4324A" w14:textId="77777777" w:rsidR="00C92A82" w:rsidRDefault="00C92A82" w:rsidP="00740B50">
      <w:pPr>
        <w:pStyle w:val="Puntos"/>
        <w:spacing w:line="288" w:lineRule="auto"/>
        <w:ind w:left="0"/>
        <w:rPr>
          <w:sz w:val="23"/>
          <w:szCs w:val="23"/>
        </w:rPr>
      </w:pPr>
    </w:p>
    <w:p w14:paraId="5946733D" w14:textId="77777777" w:rsidR="00C92A82" w:rsidRDefault="00C92A82" w:rsidP="00740B50">
      <w:pPr>
        <w:pStyle w:val="Puntos"/>
        <w:spacing w:line="288" w:lineRule="auto"/>
        <w:ind w:left="0"/>
        <w:rPr>
          <w:sz w:val="23"/>
          <w:szCs w:val="23"/>
        </w:rPr>
      </w:pPr>
    </w:p>
    <w:tbl>
      <w:tblPr>
        <w:tblStyle w:val="Tablaconcuadrcula"/>
        <w:tblW w:w="907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278"/>
        <w:gridCol w:w="4400"/>
      </w:tblGrid>
      <w:tr w:rsidR="00740B50" w:rsidRPr="007127D1" w14:paraId="2300726E" w14:textId="77777777" w:rsidTr="007E2B43">
        <w:tc>
          <w:tcPr>
            <w:tcW w:w="4395" w:type="dxa"/>
          </w:tcPr>
          <w:p w14:paraId="52563203" w14:textId="77777777" w:rsidR="00740B50" w:rsidRPr="007127D1" w:rsidRDefault="00740B50" w:rsidP="00740B50">
            <w:pPr>
              <w:widowControl w:val="0"/>
              <w:spacing w:before="0" w:after="0" w:line="288" w:lineRule="auto"/>
              <w:jc w:val="center"/>
              <w:rPr>
                <w:b/>
                <w:spacing w:val="-10"/>
                <w:sz w:val="23"/>
                <w:szCs w:val="23"/>
              </w:rPr>
            </w:pPr>
            <w:r w:rsidRPr="007127D1">
              <w:rPr>
                <w:b/>
                <w:spacing w:val="-10"/>
                <w:sz w:val="23"/>
                <w:szCs w:val="23"/>
              </w:rPr>
              <w:t>MTRA. ELIZABETH NAVA GUTIÉRREZ</w:t>
            </w:r>
          </w:p>
          <w:p w14:paraId="4FC98756" w14:textId="77777777" w:rsidR="00740B50" w:rsidRPr="007127D1" w:rsidRDefault="00740B50" w:rsidP="00740B50">
            <w:pPr>
              <w:widowControl w:val="0"/>
              <w:spacing w:before="0" w:after="0" w:line="288" w:lineRule="auto"/>
              <w:jc w:val="center"/>
              <w:rPr>
                <w:b/>
                <w:sz w:val="23"/>
                <w:szCs w:val="23"/>
              </w:rPr>
            </w:pPr>
            <w:r w:rsidRPr="007127D1">
              <w:rPr>
                <w:b/>
                <w:spacing w:val="-10"/>
                <w:sz w:val="23"/>
                <w:szCs w:val="23"/>
              </w:rPr>
              <w:t>CONSEJERA PRESIDENTA</w:t>
            </w:r>
          </w:p>
        </w:tc>
        <w:tc>
          <w:tcPr>
            <w:tcW w:w="278" w:type="dxa"/>
          </w:tcPr>
          <w:p w14:paraId="0159DDD1" w14:textId="77777777" w:rsidR="00740B50" w:rsidRPr="007127D1" w:rsidRDefault="00740B50" w:rsidP="00740B50">
            <w:pPr>
              <w:widowControl w:val="0"/>
              <w:spacing w:before="0" w:after="0" w:line="288" w:lineRule="auto"/>
              <w:rPr>
                <w:b/>
                <w:sz w:val="23"/>
                <w:szCs w:val="23"/>
              </w:rPr>
            </w:pPr>
          </w:p>
        </w:tc>
        <w:tc>
          <w:tcPr>
            <w:tcW w:w="4400" w:type="dxa"/>
          </w:tcPr>
          <w:p w14:paraId="6F9F39CB" w14:textId="77777777" w:rsidR="00740B50" w:rsidRPr="007127D1" w:rsidRDefault="00740B50" w:rsidP="00740B50">
            <w:pPr>
              <w:widowControl w:val="0"/>
              <w:spacing w:before="0" w:after="0" w:line="288" w:lineRule="auto"/>
              <w:jc w:val="center"/>
              <w:rPr>
                <w:b/>
                <w:spacing w:val="-10"/>
                <w:sz w:val="23"/>
                <w:szCs w:val="23"/>
              </w:rPr>
            </w:pPr>
            <w:r w:rsidRPr="007127D1">
              <w:rPr>
                <w:b/>
                <w:spacing w:val="-10"/>
                <w:sz w:val="23"/>
                <w:szCs w:val="23"/>
              </w:rPr>
              <w:t>LIC. JORGE ALBERTO ZAVALA FRÍAS</w:t>
            </w:r>
          </w:p>
          <w:p w14:paraId="4A791AA8" w14:textId="77777777" w:rsidR="00740B50" w:rsidRPr="007127D1" w:rsidRDefault="00740B50" w:rsidP="00740B50">
            <w:pPr>
              <w:widowControl w:val="0"/>
              <w:spacing w:before="0" w:after="0" w:line="288" w:lineRule="auto"/>
              <w:jc w:val="center"/>
              <w:rPr>
                <w:b/>
                <w:sz w:val="23"/>
                <w:szCs w:val="23"/>
              </w:rPr>
            </w:pPr>
            <w:r w:rsidRPr="007127D1">
              <w:rPr>
                <w:b/>
                <w:spacing w:val="-10"/>
                <w:sz w:val="23"/>
                <w:szCs w:val="23"/>
              </w:rPr>
              <w:t>SECRETARIO DEL CONSEJO</w:t>
            </w:r>
          </w:p>
        </w:tc>
      </w:tr>
    </w:tbl>
    <w:p w14:paraId="15D39B25" w14:textId="77777777" w:rsidR="0004782D" w:rsidRPr="007127D1" w:rsidRDefault="0004782D" w:rsidP="0004782D">
      <w:bookmarkStart w:id="2" w:name="_GoBack"/>
      <w:bookmarkEnd w:id="2"/>
    </w:p>
    <w:sectPr w:rsidR="0004782D" w:rsidRPr="007127D1" w:rsidSect="00526246">
      <w:headerReference w:type="default" r:id="rId8"/>
      <w:footerReference w:type="default" r:id="rId9"/>
      <w:pgSz w:w="12240" w:h="15840" w:code="1"/>
      <w:pgMar w:top="2835" w:right="1701" w:bottom="1560" w:left="1701" w:header="397"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0A44C0" w14:textId="77777777" w:rsidR="00E360DC" w:rsidRDefault="00E360DC" w:rsidP="00681E3C">
      <w:pPr>
        <w:spacing w:before="0" w:after="0" w:line="240" w:lineRule="auto"/>
      </w:pPr>
      <w:r>
        <w:separator/>
      </w:r>
    </w:p>
  </w:endnote>
  <w:endnote w:type="continuationSeparator" w:id="0">
    <w:p w14:paraId="0A68A6DF" w14:textId="77777777" w:rsidR="00E360DC" w:rsidRDefault="00E360DC" w:rsidP="00681E3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993366"/>
        <w:sz w:val="20"/>
        <w:szCs w:val="20"/>
      </w:rPr>
      <w:id w:val="202769409"/>
      <w:docPartObj>
        <w:docPartGallery w:val="Page Numbers (Bottom of Page)"/>
        <w:docPartUnique/>
      </w:docPartObj>
    </w:sdtPr>
    <w:sdtEndPr/>
    <w:sdtContent>
      <w:sdt>
        <w:sdtPr>
          <w:rPr>
            <w:color w:val="993366"/>
            <w:sz w:val="20"/>
            <w:szCs w:val="20"/>
          </w:rPr>
          <w:id w:val="-1769616900"/>
          <w:docPartObj>
            <w:docPartGallery w:val="Page Numbers (Top of Page)"/>
            <w:docPartUnique/>
          </w:docPartObj>
        </w:sdtPr>
        <w:sdtEndPr/>
        <w:sdtContent>
          <w:p w14:paraId="6BC7EC49" w14:textId="2517876F" w:rsidR="00681E3C" w:rsidRPr="002F302C" w:rsidRDefault="002F302C" w:rsidP="002F302C">
            <w:pPr>
              <w:pStyle w:val="Piedepgina"/>
              <w:jc w:val="right"/>
              <w:rPr>
                <w:color w:val="993366"/>
                <w:sz w:val="20"/>
                <w:szCs w:val="20"/>
              </w:rPr>
            </w:pPr>
            <w:r w:rsidRPr="0084107C">
              <w:rPr>
                <w:b/>
                <w:bCs/>
                <w:color w:val="993366"/>
                <w:lang w:val="es-ES"/>
              </w:rPr>
              <w:t xml:space="preserve">Página </w:t>
            </w:r>
            <w:r w:rsidRPr="0084107C">
              <w:rPr>
                <w:b/>
                <w:bCs/>
                <w:color w:val="993366"/>
              </w:rPr>
              <w:fldChar w:fldCharType="begin"/>
            </w:r>
            <w:r w:rsidRPr="0084107C">
              <w:rPr>
                <w:b/>
                <w:bCs/>
                <w:color w:val="993366"/>
              </w:rPr>
              <w:instrText>PAGE</w:instrText>
            </w:r>
            <w:r w:rsidRPr="0084107C">
              <w:rPr>
                <w:b/>
                <w:bCs/>
                <w:color w:val="993366"/>
              </w:rPr>
              <w:fldChar w:fldCharType="separate"/>
            </w:r>
            <w:r w:rsidR="00305E84">
              <w:rPr>
                <w:b/>
                <w:bCs/>
                <w:noProof/>
                <w:color w:val="993366"/>
              </w:rPr>
              <w:t>12</w:t>
            </w:r>
            <w:r w:rsidRPr="0084107C">
              <w:rPr>
                <w:b/>
                <w:bCs/>
                <w:color w:val="993366"/>
              </w:rPr>
              <w:fldChar w:fldCharType="end"/>
            </w:r>
            <w:r w:rsidRPr="0084107C">
              <w:rPr>
                <w:b/>
                <w:bCs/>
                <w:color w:val="993366"/>
                <w:lang w:val="es-ES"/>
              </w:rPr>
              <w:t xml:space="preserve"> | </w:t>
            </w:r>
            <w:r w:rsidR="00922899">
              <w:rPr>
                <w:b/>
                <w:bCs/>
                <w:color w:val="993366"/>
                <w:lang w:val="es-ES"/>
              </w:rPr>
              <w:fldChar w:fldCharType="begin"/>
            </w:r>
            <w:r w:rsidR="00922899">
              <w:rPr>
                <w:b/>
                <w:bCs/>
                <w:color w:val="993366"/>
                <w:lang w:val="es-ES"/>
              </w:rPr>
              <w:instrText xml:space="preserve"> NUMPAGES   \* MERGEFORMAT </w:instrText>
            </w:r>
            <w:r w:rsidR="00922899">
              <w:rPr>
                <w:b/>
                <w:bCs/>
                <w:color w:val="993366"/>
                <w:lang w:val="es-ES"/>
              </w:rPr>
              <w:fldChar w:fldCharType="separate"/>
            </w:r>
            <w:r w:rsidR="00305E84">
              <w:rPr>
                <w:b/>
                <w:bCs/>
                <w:noProof/>
                <w:color w:val="993366"/>
                <w:lang w:val="es-ES"/>
              </w:rPr>
              <w:t>12</w:t>
            </w:r>
            <w:r w:rsidR="00922899">
              <w:rPr>
                <w:b/>
                <w:bCs/>
                <w:color w:val="993366"/>
                <w:lang w:val="es-ES"/>
              </w:rPr>
              <w:fldChar w:fldCharType="end"/>
            </w:r>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84087F" w14:textId="77777777" w:rsidR="00E360DC" w:rsidRDefault="00E360DC" w:rsidP="00681E3C">
      <w:pPr>
        <w:spacing w:before="0" w:after="0" w:line="240" w:lineRule="auto"/>
      </w:pPr>
      <w:r>
        <w:separator/>
      </w:r>
    </w:p>
  </w:footnote>
  <w:footnote w:type="continuationSeparator" w:id="0">
    <w:p w14:paraId="03609D46" w14:textId="77777777" w:rsidR="00E360DC" w:rsidRDefault="00E360DC" w:rsidP="00681E3C">
      <w:pPr>
        <w:spacing w:before="0" w:after="0" w:line="240" w:lineRule="auto"/>
      </w:pPr>
      <w:r>
        <w:continuationSeparator/>
      </w:r>
    </w:p>
  </w:footnote>
  <w:footnote w:id="1">
    <w:p w14:paraId="13B3423E" w14:textId="637BCB7C" w:rsidR="00FC6D19" w:rsidRPr="00B2412A" w:rsidRDefault="00FC6D19">
      <w:pPr>
        <w:pStyle w:val="Textonotapie"/>
        <w:rPr>
          <w:sz w:val="14"/>
          <w:szCs w:val="16"/>
        </w:rPr>
      </w:pPr>
      <w:r w:rsidRPr="00B2412A">
        <w:rPr>
          <w:rStyle w:val="Refdenotaalpie"/>
          <w:sz w:val="14"/>
          <w:szCs w:val="16"/>
        </w:rPr>
        <w:footnoteRef/>
      </w:r>
      <w:r w:rsidRPr="00B2412A">
        <w:rPr>
          <w:sz w:val="14"/>
          <w:szCs w:val="16"/>
        </w:rPr>
        <w:t xml:space="preserve"> SUP-RAP-647/2015</w:t>
      </w:r>
      <w:r w:rsidR="00C862EF" w:rsidRPr="00B2412A">
        <w:rPr>
          <w:sz w:val="14"/>
          <w:szCs w:val="16"/>
        </w:rPr>
        <w:t xml:space="preserve">, SUP-RAP-458/2016 y </w:t>
      </w:r>
      <w:r w:rsidR="0001681F" w:rsidRPr="00B2412A">
        <w:rPr>
          <w:sz w:val="14"/>
          <w:szCs w:val="16"/>
        </w:rPr>
        <w:t>SUP-RAP-515/2016.</w:t>
      </w:r>
    </w:p>
  </w:footnote>
  <w:footnote w:id="2">
    <w:p w14:paraId="0C3D5D94" w14:textId="4E9FABAA" w:rsidR="00117100" w:rsidRPr="00B2412A" w:rsidRDefault="00117100">
      <w:pPr>
        <w:pStyle w:val="Textonotapie"/>
        <w:rPr>
          <w:sz w:val="14"/>
          <w:szCs w:val="16"/>
        </w:rPr>
      </w:pPr>
      <w:r w:rsidRPr="00B2412A">
        <w:rPr>
          <w:rStyle w:val="Refdenotaalpie"/>
          <w:sz w:val="14"/>
          <w:szCs w:val="16"/>
        </w:rPr>
        <w:footnoteRef/>
      </w:r>
      <w:r w:rsidRPr="00B2412A">
        <w:rPr>
          <w:sz w:val="14"/>
          <w:szCs w:val="16"/>
        </w:rPr>
        <w:t xml:space="preserve"> En lo sucesivo, para los cálculos se emplearon cifras que incluyen la totalidad de decimales que considera la hoja de cálculo del programa Excel, y por motivos de presentación y redondeo se reflejan en sólo dos decimales. Las cifras de los montos económicos fijadas corresponden a operaciones matemáticas en las que se emplearon todos los decimales, sin redondeo.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361"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6242"/>
      <w:gridCol w:w="1701"/>
    </w:tblGrid>
    <w:tr w:rsidR="007D607B" w:rsidRPr="00063338" w14:paraId="4912D943" w14:textId="77777777" w:rsidTr="00352396">
      <w:tc>
        <w:tcPr>
          <w:tcW w:w="1418" w:type="dxa"/>
        </w:tcPr>
        <w:p w14:paraId="29DD8F6D" w14:textId="77777777" w:rsidR="007D607B" w:rsidRPr="00063338" w:rsidRDefault="007D607B" w:rsidP="007D607B">
          <w:pPr>
            <w:pStyle w:val="Encabezado"/>
            <w:ind w:left="-170"/>
            <w:jc w:val="left"/>
          </w:pPr>
          <w:r>
            <w:rPr>
              <w:b/>
              <w:noProof/>
              <w:sz w:val="32"/>
              <w:lang w:eastAsia="es-MX"/>
            </w:rPr>
            <w:drawing>
              <wp:inline distT="0" distB="0" distL="0" distR="0" wp14:anchorId="7325C970" wp14:editId="0BADC653">
                <wp:extent cx="1014331" cy="1199403"/>
                <wp:effectExtent l="0" t="0" r="0" b="1270"/>
                <wp:docPr id="2095366845" name="Imagen 2095366845" descr="Dibujo animado de un animal con la boca abiert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Dibujo animado de un animal con la boca abierta&#10;&#10;Descripción generada automáticamente con confianza baja"/>
                        <pic:cNvPicPr/>
                      </pic:nvPicPr>
                      <pic:blipFill>
                        <a:blip r:embed="rId1">
                          <a:extLst>
                            <a:ext uri="{28A0092B-C50C-407E-A947-70E740481C1C}">
                              <a14:useLocalDpi xmlns:a14="http://schemas.microsoft.com/office/drawing/2010/main" val="0"/>
                            </a:ext>
                          </a:extLst>
                        </a:blip>
                        <a:stretch>
                          <a:fillRect/>
                        </a:stretch>
                      </pic:blipFill>
                      <pic:spPr>
                        <a:xfrm>
                          <a:off x="0" y="0"/>
                          <a:ext cx="1025855" cy="1213030"/>
                        </a:xfrm>
                        <a:prstGeom prst="rect">
                          <a:avLst/>
                        </a:prstGeom>
                      </pic:spPr>
                    </pic:pic>
                  </a:graphicData>
                </a:graphic>
              </wp:inline>
            </w:drawing>
          </w:r>
        </w:p>
      </w:tc>
      <w:tc>
        <w:tcPr>
          <w:tcW w:w="6242" w:type="dxa"/>
        </w:tcPr>
        <w:p w14:paraId="33D41D0B" w14:textId="77777777" w:rsidR="007D607B" w:rsidRPr="00063338" w:rsidRDefault="007D607B" w:rsidP="007D607B">
          <w:pPr>
            <w:pStyle w:val="Encabezado"/>
            <w:spacing w:before="720"/>
            <w:jc w:val="center"/>
            <w:rPr>
              <w:b/>
              <w:bCs/>
              <w:sz w:val="25"/>
              <w:szCs w:val="25"/>
            </w:rPr>
          </w:pPr>
          <w:r w:rsidRPr="00063338">
            <w:rPr>
              <w:b/>
              <w:bCs/>
              <w:sz w:val="25"/>
              <w:szCs w:val="25"/>
            </w:rPr>
            <w:t>INSTITUTO ELECTORAL Y DE PARTICIPACIÓN CIUDADANA DE TABASCO</w:t>
          </w:r>
        </w:p>
        <w:p w14:paraId="6B6AFDAB" w14:textId="77777777" w:rsidR="007D607B" w:rsidRPr="00063338" w:rsidRDefault="007D607B" w:rsidP="007D607B">
          <w:pPr>
            <w:pStyle w:val="Encabezado"/>
            <w:jc w:val="center"/>
          </w:pPr>
          <w:r w:rsidRPr="00063338">
            <w:rPr>
              <w:sz w:val="26"/>
              <w:szCs w:val="26"/>
            </w:rPr>
            <w:t>CONSEJO ESTATAL</w:t>
          </w:r>
        </w:p>
      </w:tc>
      <w:tc>
        <w:tcPr>
          <w:tcW w:w="1701" w:type="dxa"/>
        </w:tcPr>
        <w:p w14:paraId="02927EB0" w14:textId="77777777" w:rsidR="007D607B" w:rsidRPr="00063338" w:rsidRDefault="007D607B" w:rsidP="007D607B">
          <w:pPr>
            <w:pStyle w:val="Encabezado"/>
            <w:spacing w:before="480"/>
          </w:pPr>
          <w:r w:rsidRPr="00063338">
            <w:rPr>
              <w:noProof/>
              <w:lang w:eastAsia="es-MX"/>
            </w:rPr>
            <w:drawing>
              <wp:inline distT="0" distB="0" distL="0" distR="0" wp14:anchorId="249E22B7" wp14:editId="61A681AC">
                <wp:extent cx="921600" cy="756000"/>
                <wp:effectExtent l="0" t="0" r="0" b="6350"/>
                <wp:docPr id="1769824473" name="Imagen 1769824473"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Logotipo&#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921600" cy="756000"/>
                        </a:xfrm>
                        <a:prstGeom prst="rect">
                          <a:avLst/>
                        </a:prstGeom>
                      </pic:spPr>
                    </pic:pic>
                  </a:graphicData>
                </a:graphic>
              </wp:inline>
            </w:drawing>
          </w:r>
        </w:p>
      </w:tc>
    </w:tr>
  </w:tbl>
  <w:p w14:paraId="0A4A617F" w14:textId="270DFEE1" w:rsidR="00113796" w:rsidRPr="00497BE9" w:rsidRDefault="00113796" w:rsidP="00113796">
    <w:pPr>
      <w:pStyle w:val="Encabezado"/>
      <w:jc w:val="right"/>
      <w:rPr>
        <w:b/>
      </w:rPr>
    </w:pPr>
    <w:r w:rsidRPr="00497BE9">
      <w:rPr>
        <w:b/>
      </w:rPr>
      <w:t>CE</w:t>
    </w:r>
    <w:r>
      <w:rPr>
        <w:b/>
      </w:rPr>
      <w:t>/2023/033</w:t>
    </w:r>
  </w:p>
  <w:p w14:paraId="2352EEEF" w14:textId="77777777" w:rsidR="007D607B" w:rsidRDefault="007D607B">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B6EB5"/>
    <w:multiLevelType w:val="multilevel"/>
    <w:tmpl w:val="2FEA7496"/>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82D"/>
    <w:rsid w:val="000125A5"/>
    <w:rsid w:val="0001681F"/>
    <w:rsid w:val="0001730E"/>
    <w:rsid w:val="0002208B"/>
    <w:rsid w:val="00025CE1"/>
    <w:rsid w:val="00027ADB"/>
    <w:rsid w:val="00033325"/>
    <w:rsid w:val="0004252C"/>
    <w:rsid w:val="00044E35"/>
    <w:rsid w:val="0004782D"/>
    <w:rsid w:val="0005177B"/>
    <w:rsid w:val="00053217"/>
    <w:rsid w:val="00054C37"/>
    <w:rsid w:val="00072DB8"/>
    <w:rsid w:val="000762FB"/>
    <w:rsid w:val="00076718"/>
    <w:rsid w:val="00080D30"/>
    <w:rsid w:val="00085523"/>
    <w:rsid w:val="000A0507"/>
    <w:rsid w:val="000A0EBB"/>
    <w:rsid w:val="000A18F6"/>
    <w:rsid w:val="000C163B"/>
    <w:rsid w:val="000C7EC0"/>
    <w:rsid w:val="000E241F"/>
    <w:rsid w:val="000E399F"/>
    <w:rsid w:val="000E400E"/>
    <w:rsid w:val="000F32E0"/>
    <w:rsid w:val="000F547D"/>
    <w:rsid w:val="000F7C76"/>
    <w:rsid w:val="00103203"/>
    <w:rsid w:val="00113796"/>
    <w:rsid w:val="00117100"/>
    <w:rsid w:val="00120B24"/>
    <w:rsid w:val="00131E02"/>
    <w:rsid w:val="00143085"/>
    <w:rsid w:val="00164F4D"/>
    <w:rsid w:val="00166F37"/>
    <w:rsid w:val="00167801"/>
    <w:rsid w:val="001709BC"/>
    <w:rsid w:val="001714CF"/>
    <w:rsid w:val="00175B4A"/>
    <w:rsid w:val="00182427"/>
    <w:rsid w:val="00183F25"/>
    <w:rsid w:val="00191474"/>
    <w:rsid w:val="00193EAA"/>
    <w:rsid w:val="00195283"/>
    <w:rsid w:val="001A40DF"/>
    <w:rsid w:val="001A7FAD"/>
    <w:rsid w:val="001B2468"/>
    <w:rsid w:val="001C2AAB"/>
    <w:rsid w:val="001D0533"/>
    <w:rsid w:val="001D1F6E"/>
    <w:rsid w:val="001D6D22"/>
    <w:rsid w:val="001D7A74"/>
    <w:rsid w:val="001F028D"/>
    <w:rsid w:val="002013C1"/>
    <w:rsid w:val="00210302"/>
    <w:rsid w:val="00211D0D"/>
    <w:rsid w:val="00212817"/>
    <w:rsid w:val="00213D0B"/>
    <w:rsid w:val="00214AEF"/>
    <w:rsid w:val="00216A4E"/>
    <w:rsid w:val="00220C77"/>
    <w:rsid w:val="002243F1"/>
    <w:rsid w:val="00234D1E"/>
    <w:rsid w:val="00246856"/>
    <w:rsid w:val="002471A4"/>
    <w:rsid w:val="00270BC2"/>
    <w:rsid w:val="002738BA"/>
    <w:rsid w:val="00274A02"/>
    <w:rsid w:val="0028351C"/>
    <w:rsid w:val="002915C1"/>
    <w:rsid w:val="002919A2"/>
    <w:rsid w:val="00292D61"/>
    <w:rsid w:val="00293CAB"/>
    <w:rsid w:val="00293FB8"/>
    <w:rsid w:val="002A1223"/>
    <w:rsid w:val="002A535D"/>
    <w:rsid w:val="002B6D82"/>
    <w:rsid w:val="002E41B1"/>
    <w:rsid w:val="002E7982"/>
    <w:rsid w:val="002E7AAE"/>
    <w:rsid w:val="002F302C"/>
    <w:rsid w:val="002F7420"/>
    <w:rsid w:val="003034DF"/>
    <w:rsid w:val="00305E84"/>
    <w:rsid w:val="00306BF5"/>
    <w:rsid w:val="0031142D"/>
    <w:rsid w:val="0031371F"/>
    <w:rsid w:val="0032118E"/>
    <w:rsid w:val="0032144C"/>
    <w:rsid w:val="003265AE"/>
    <w:rsid w:val="00327334"/>
    <w:rsid w:val="00334A8A"/>
    <w:rsid w:val="00334CC1"/>
    <w:rsid w:val="00337703"/>
    <w:rsid w:val="0033792E"/>
    <w:rsid w:val="00347345"/>
    <w:rsid w:val="00352396"/>
    <w:rsid w:val="003563B5"/>
    <w:rsid w:val="0035687F"/>
    <w:rsid w:val="003568B6"/>
    <w:rsid w:val="003569A1"/>
    <w:rsid w:val="00367A2E"/>
    <w:rsid w:val="003758CF"/>
    <w:rsid w:val="003816F2"/>
    <w:rsid w:val="00383598"/>
    <w:rsid w:val="00385C98"/>
    <w:rsid w:val="00390D86"/>
    <w:rsid w:val="00392B0E"/>
    <w:rsid w:val="003B3E4B"/>
    <w:rsid w:val="003B43C0"/>
    <w:rsid w:val="003B4764"/>
    <w:rsid w:val="003B49C0"/>
    <w:rsid w:val="003C0D89"/>
    <w:rsid w:val="003C1AFC"/>
    <w:rsid w:val="003C4FBD"/>
    <w:rsid w:val="003D1E94"/>
    <w:rsid w:val="003E73B9"/>
    <w:rsid w:val="003F0318"/>
    <w:rsid w:val="003F04C3"/>
    <w:rsid w:val="003F0F26"/>
    <w:rsid w:val="003F5B4B"/>
    <w:rsid w:val="00404409"/>
    <w:rsid w:val="00411F54"/>
    <w:rsid w:val="00424169"/>
    <w:rsid w:val="00432737"/>
    <w:rsid w:val="00440366"/>
    <w:rsid w:val="00446053"/>
    <w:rsid w:val="00451226"/>
    <w:rsid w:val="0048059C"/>
    <w:rsid w:val="00480FEA"/>
    <w:rsid w:val="00492F47"/>
    <w:rsid w:val="00495D64"/>
    <w:rsid w:val="00496FC1"/>
    <w:rsid w:val="004A0B95"/>
    <w:rsid w:val="004A260F"/>
    <w:rsid w:val="004A4FF0"/>
    <w:rsid w:val="004A5CDB"/>
    <w:rsid w:val="004B7C22"/>
    <w:rsid w:val="004C2041"/>
    <w:rsid w:val="004C4501"/>
    <w:rsid w:val="004C5128"/>
    <w:rsid w:val="004D32F0"/>
    <w:rsid w:val="004E338C"/>
    <w:rsid w:val="004E3BD9"/>
    <w:rsid w:val="004E77A9"/>
    <w:rsid w:val="004F3882"/>
    <w:rsid w:val="005039E8"/>
    <w:rsid w:val="00505CFD"/>
    <w:rsid w:val="00514022"/>
    <w:rsid w:val="00526246"/>
    <w:rsid w:val="005341BC"/>
    <w:rsid w:val="005371C1"/>
    <w:rsid w:val="00541332"/>
    <w:rsid w:val="00543614"/>
    <w:rsid w:val="005442AE"/>
    <w:rsid w:val="005473BF"/>
    <w:rsid w:val="005526F5"/>
    <w:rsid w:val="00555E47"/>
    <w:rsid w:val="00557C41"/>
    <w:rsid w:val="00562234"/>
    <w:rsid w:val="00584AA9"/>
    <w:rsid w:val="0059116D"/>
    <w:rsid w:val="00596930"/>
    <w:rsid w:val="005B5704"/>
    <w:rsid w:val="005C4086"/>
    <w:rsid w:val="005D008D"/>
    <w:rsid w:val="005D55F6"/>
    <w:rsid w:val="005E0502"/>
    <w:rsid w:val="005E1EA2"/>
    <w:rsid w:val="005E4109"/>
    <w:rsid w:val="005E429D"/>
    <w:rsid w:val="005E537E"/>
    <w:rsid w:val="005E7DCC"/>
    <w:rsid w:val="005F3112"/>
    <w:rsid w:val="006012B0"/>
    <w:rsid w:val="0060430C"/>
    <w:rsid w:val="00605CA8"/>
    <w:rsid w:val="00606006"/>
    <w:rsid w:val="00621812"/>
    <w:rsid w:val="00633253"/>
    <w:rsid w:val="006337F8"/>
    <w:rsid w:val="0065014E"/>
    <w:rsid w:val="0065088F"/>
    <w:rsid w:val="006659B7"/>
    <w:rsid w:val="00665F61"/>
    <w:rsid w:val="006715B5"/>
    <w:rsid w:val="00675723"/>
    <w:rsid w:val="0067617F"/>
    <w:rsid w:val="00681E3C"/>
    <w:rsid w:val="00690639"/>
    <w:rsid w:val="006B141E"/>
    <w:rsid w:val="006B2521"/>
    <w:rsid w:val="006B3595"/>
    <w:rsid w:val="006B44F5"/>
    <w:rsid w:val="006C3104"/>
    <w:rsid w:val="006E167C"/>
    <w:rsid w:val="006E43F7"/>
    <w:rsid w:val="006E6803"/>
    <w:rsid w:val="006E7BD2"/>
    <w:rsid w:val="006F044C"/>
    <w:rsid w:val="006F3B0B"/>
    <w:rsid w:val="006F44FE"/>
    <w:rsid w:val="007002C5"/>
    <w:rsid w:val="007015F4"/>
    <w:rsid w:val="00703383"/>
    <w:rsid w:val="00704588"/>
    <w:rsid w:val="007113D2"/>
    <w:rsid w:val="007127D1"/>
    <w:rsid w:val="00716343"/>
    <w:rsid w:val="0071757E"/>
    <w:rsid w:val="0073465C"/>
    <w:rsid w:val="00735C64"/>
    <w:rsid w:val="00740B50"/>
    <w:rsid w:val="007515D8"/>
    <w:rsid w:val="00751B62"/>
    <w:rsid w:val="00761920"/>
    <w:rsid w:val="00776E3E"/>
    <w:rsid w:val="0078470B"/>
    <w:rsid w:val="0079158E"/>
    <w:rsid w:val="007930C7"/>
    <w:rsid w:val="00793AC3"/>
    <w:rsid w:val="0079634D"/>
    <w:rsid w:val="007B125F"/>
    <w:rsid w:val="007B60AA"/>
    <w:rsid w:val="007B68AD"/>
    <w:rsid w:val="007C26B9"/>
    <w:rsid w:val="007C473F"/>
    <w:rsid w:val="007D033F"/>
    <w:rsid w:val="007D607B"/>
    <w:rsid w:val="007E481D"/>
    <w:rsid w:val="007E7B89"/>
    <w:rsid w:val="007F7EB1"/>
    <w:rsid w:val="00804548"/>
    <w:rsid w:val="00813DA8"/>
    <w:rsid w:val="0082309C"/>
    <w:rsid w:val="00823B19"/>
    <w:rsid w:val="00826711"/>
    <w:rsid w:val="00826C7D"/>
    <w:rsid w:val="00840D57"/>
    <w:rsid w:val="0084107C"/>
    <w:rsid w:val="00844695"/>
    <w:rsid w:val="00850DA9"/>
    <w:rsid w:val="00852350"/>
    <w:rsid w:val="0087433C"/>
    <w:rsid w:val="0087742B"/>
    <w:rsid w:val="008836C7"/>
    <w:rsid w:val="00886313"/>
    <w:rsid w:val="00894FFC"/>
    <w:rsid w:val="008A286B"/>
    <w:rsid w:val="008A6380"/>
    <w:rsid w:val="008B7A59"/>
    <w:rsid w:val="008C04D2"/>
    <w:rsid w:val="008C468B"/>
    <w:rsid w:val="008D757D"/>
    <w:rsid w:val="008E34C5"/>
    <w:rsid w:val="008F0665"/>
    <w:rsid w:val="008F286A"/>
    <w:rsid w:val="008F41A0"/>
    <w:rsid w:val="008F4DB7"/>
    <w:rsid w:val="009002AB"/>
    <w:rsid w:val="00901941"/>
    <w:rsid w:val="009038DB"/>
    <w:rsid w:val="00903E6C"/>
    <w:rsid w:val="009108BA"/>
    <w:rsid w:val="00915D22"/>
    <w:rsid w:val="009220C5"/>
    <w:rsid w:val="00922899"/>
    <w:rsid w:val="00923EA2"/>
    <w:rsid w:val="00925537"/>
    <w:rsid w:val="00925A66"/>
    <w:rsid w:val="00936DDF"/>
    <w:rsid w:val="009400E9"/>
    <w:rsid w:val="00951AB9"/>
    <w:rsid w:val="00953E23"/>
    <w:rsid w:val="009562B3"/>
    <w:rsid w:val="009603E2"/>
    <w:rsid w:val="009667D1"/>
    <w:rsid w:val="00970E18"/>
    <w:rsid w:val="00975795"/>
    <w:rsid w:val="00977672"/>
    <w:rsid w:val="009777F8"/>
    <w:rsid w:val="009800E5"/>
    <w:rsid w:val="009950CA"/>
    <w:rsid w:val="009965EA"/>
    <w:rsid w:val="009B4EB2"/>
    <w:rsid w:val="009B503D"/>
    <w:rsid w:val="009C4ED7"/>
    <w:rsid w:val="009C7AEB"/>
    <w:rsid w:val="009E2B62"/>
    <w:rsid w:val="009E5DDB"/>
    <w:rsid w:val="00A03FB9"/>
    <w:rsid w:val="00A03FD9"/>
    <w:rsid w:val="00A06A1F"/>
    <w:rsid w:val="00A10EAE"/>
    <w:rsid w:val="00A11887"/>
    <w:rsid w:val="00A12812"/>
    <w:rsid w:val="00A145F8"/>
    <w:rsid w:val="00A2508C"/>
    <w:rsid w:val="00A25D5A"/>
    <w:rsid w:val="00A27EF5"/>
    <w:rsid w:val="00A3159B"/>
    <w:rsid w:val="00A318E3"/>
    <w:rsid w:val="00A50D2B"/>
    <w:rsid w:val="00A51C99"/>
    <w:rsid w:val="00A525C0"/>
    <w:rsid w:val="00A545FA"/>
    <w:rsid w:val="00A66376"/>
    <w:rsid w:val="00A86A14"/>
    <w:rsid w:val="00A93092"/>
    <w:rsid w:val="00A94C28"/>
    <w:rsid w:val="00AA3739"/>
    <w:rsid w:val="00AB2E30"/>
    <w:rsid w:val="00AB2F50"/>
    <w:rsid w:val="00AB6F14"/>
    <w:rsid w:val="00AB7C96"/>
    <w:rsid w:val="00AC58A2"/>
    <w:rsid w:val="00AD698A"/>
    <w:rsid w:val="00AE1822"/>
    <w:rsid w:val="00AE2D54"/>
    <w:rsid w:val="00AE4286"/>
    <w:rsid w:val="00AE733B"/>
    <w:rsid w:val="00AF0D10"/>
    <w:rsid w:val="00AF1A51"/>
    <w:rsid w:val="00AF1CAD"/>
    <w:rsid w:val="00AF366E"/>
    <w:rsid w:val="00AF3F7B"/>
    <w:rsid w:val="00AF51ED"/>
    <w:rsid w:val="00B005BB"/>
    <w:rsid w:val="00B0331D"/>
    <w:rsid w:val="00B066E3"/>
    <w:rsid w:val="00B106A6"/>
    <w:rsid w:val="00B2412A"/>
    <w:rsid w:val="00B308D0"/>
    <w:rsid w:val="00B4102C"/>
    <w:rsid w:val="00B43918"/>
    <w:rsid w:val="00B51FD9"/>
    <w:rsid w:val="00B55A1C"/>
    <w:rsid w:val="00B61801"/>
    <w:rsid w:val="00B64148"/>
    <w:rsid w:val="00B65DE5"/>
    <w:rsid w:val="00B71D04"/>
    <w:rsid w:val="00B7643C"/>
    <w:rsid w:val="00B80364"/>
    <w:rsid w:val="00B84E32"/>
    <w:rsid w:val="00B87349"/>
    <w:rsid w:val="00B91562"/>
    <w:rsid w:val="00BA0D3F"/>
    <w:rsid w:val="00BB11A9"/>
    <w:rsid w:val="00BB1763"/>
    <w:rsid w:val="00BB2764"/>
    <w:rsid w:val="00BB300E"/>
    <w:rsid w:val="00BB78B2"/>
    <w:rsid w:val="00BB7A30"/>
    <w:rsid w:val="00BB7BBA"/>
    <w:rsid w:val="00BC167B"/>
    <w:rsid w:val="00BC1866"/>
    <w:rsid w:val="00BD525E"/>
    <w:rsid w:val="00BD6368"/>
    <w:rsid w:val="00BD6DB7"/>
    <w:rsid w:val="00BE212A"/>
    <w:rsid w:val="00BF2420"/>
    <w:rsid w:val="00BF7FB0"/>
    <w:rsid w:val="00C00229"/>
    <w:rsid w:val="00C01498"/>
    <w:rsid w:val="00C019D5"/>
    <w:rsid w:val="00C03411"/>
    <w:rsid w:val="00C067C2"/>
    <w:rsid w:val="00C138AF"/>
    <w:rsid w:val="00C17B76"/>
    <w:rsid w:val="00C209F5"/>
    <w:rsid w:val="00C22903"/>
    <w:rsid w:val="00C25A82"/>
    <w:rsid w:val="00C31D97"/>
    <w:rsid w:val="00C42710"/>
    <w:rsid w:val="00C43635"/>
    <w:rsid w:val="00C4775F"/>
    <w:rsid w:val="00C84C9A"/>
    <w:rsid w:val="00C862EF"/>
    <w:rsid w:val="00C87DA3"/>
    <w:rsid w:val="00C90F2D"/>
    <w:rsid w:val="00C92A82"/>
    <w:rsid w:val="00CA77FE"/>
    <w:rsid w:val="00CA7ABC"/>
    <w:rsid w:val="00CB3FFC"/>
    <w:rsid w:val="00CC4D91"/>
    <w:rsid w:val="00CC57CD"/>
    <w:rsid w:val="00CD50E3"/>
    <w:rsid w:val="00CE2207"/>
    <w:rsid w:val="00CF2001"/>
    <w:rsid w:val="00D026DE"/>
    <w:rsid w:val="00D05CDC"/>
    <w:rsid w:val="00D23464"/>
    <w:rsid w:val="00D42A3B"/>
    <w:rsid w:val="00D440B7"/>
    <w:rsid w:val="00D459D8"/>
    <w:rsid w:val="00D471E1"/>
    <w:rsid w:val="00D52081"/>
    <w:rsid w:val="00D55DB1"/>
    <w:rsid w:val="00D65B48"/>
    <w:rsid w:val="00D74DEA"/>
    <w:rsid w:val="00D7628E"/>
    <w:rsid w:val="00D77A84"/>
    <w:rsid w:val="00D80AFF"/>
    <w:rsid w:val="00D819B9"/>
    <w:rsid w:val="00D902FA"/>
    <w:rsid w:val="00DA4451"/>
    <w:rsid w:val="00DC1726"/>
    <w:rsid w:val="00DD100C"/>
    <w:rsid w:val="00DD67A3"/>
    <w:rsid w:val="00DE1016"/>
    <w:rsid w:val="00DE548B"/>
    <w:rsid w:val="00DE5AAB"/>
    <w:rsid w:val="00DF45B6"/>
    <w:rsid w:val="00E024B4"/>
    <w:rsid w:val="00E074A9"/>
    <w:rsid w:val="00E1616B"/>
    <w:rsid w:val="00E17AEF"/>
    <w:rsid w:val="00E2168D"/>
    <w:rsid w:val="00E32442"/>
    <w:rsid w:val="00E360DC"/>
    <w:rsid w:val="00E50D61"/>
    <w:rsid w:val="00E5305E"/>
    <w:rsid w:val="00E61CD3"/>
    <w:rsid w:val="00E6313F"/>
    <w:rsid w:val="00E66C43"/>
    <w:rsid w:val="00E67BE9"/>
    <w:rsid w:val="00E73E5A"/>
    <w:rsid w:val="00E82869"/>
    <w:rsid w:val="00EA52F1"/>
    <w:rsid w:val="00EA7EB5"/>
    <w:rsid w:val="00EB56B0"/>
    <w:rsid w:val="00EC3A62"/>
    <w:rsid w:val="00ED6D18"/>
    <w:rsid w:val="00EF7175"/>
    <w:rsid w:val="00EF7BFB"/>
    <w:rsid w:val="00F016AD"/>
    <w:rsid w:val="00F36F5B"/>
    <w:rsid w:val="00F47792"/>
    <w:rsid w:val="00F521AF"/>
    <w:rsid w:val="00F66FDD"/>
    <w:rsid w:val="00F923AA"/>
    <w:rsid w:val="00F95F41"/>
    <w:rsid w:val="00FA0FCA"/>
    <w:rsid w:val="00FA726A"/>
    <w:rsid w:val="00FB2129"/>
    <w:rsid w:val="00FB39DC"/>
    <w:rsid w:val="00FB53C6"/>
    <w:rsid w:val="00FB7DA4"/>
    <w:rsid w:val="00FC6D19"/>
    <w:rsid w:val="00FD2965"/>
    <w:rsid w:val="00FD434B"/>
    <w:rsid w:val="00FE1025"/>
    <w:rsid w:val="00FE51C4"/>
    <w:rsid w:val="00FE5BD6"/>
    <w:rsid w:val="00FE6524"/>
    <w:rsid w:val="00FE796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9449404"/>
  <w15:chartTrackingRefBased/>
  <w15:docId w15:val="{F754D9DC-D9F0-4CC3-AD5F-5D239B04B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782D"/>
    <w:pPr>
      <w:spacing w:before="240" w:after="240" w:line="300" w:lineRule="auto"/>
      <w:jc w:val="both"/>
    </w:pPr>
    <w:rPr>
      <w:rFonts w:ascii="Arial" w:hAnsi="Arial" w:cs="Arial"/>
    </w:rPr>
  </w:style>
  <w:style w:type="paragraph" w:styleId="Ttulo1">
    <w:name w:val="heading 1"/>
    <w:basedOn w:val="Normal"/>
    <w:next w:val="Normal"/>
    <w:link w:val="Ttulo1Car"/>
    <w:uiPriority w:val="9"/>
    <w:qFormat/>
    <w:rsid w:val="00CF2001"/>
    <w:pPr>
      <w:numPr>
        <w:numId w:val="1"/>
      </w:numPr>
      <w:spacing w:before="480" w:after="360" w:line="295" w:lineRule="auto"/>
      <w:jc w:val="center"/>
      <w:outlineLvl w:val="0"/>
    </w:pPr>
    <w:rPr>
      <w:b/>
      <w:bCs/>
      <w:kern w:val="0"/>
      <w:sz w:val="28"/>
      <w:szCs w:val="23"/>
      <w14:ligatures w14:val="none"/>
    </w:rPr>
  </w:style>
  <w:style w:type="paragraph" w:styleId="Ttulo2">
    <w:name w:val="heading 2"/>
    <w:basedOn w:val="Normal"/>
    <w:next w:val="Normal"/>
    <w:link w:val="Ttulo2Car"/>
    <w:uiPriority w:val="9"/>
    <w:unhideWhenUsed/>
    <w:qFormat/>
    <w:rsid w:val="00AE733B"/>
    <w:pPr>
      <w:keepNext/>
      <w:keepLines/>
      <w:numPr>
        <w:ilvl w:val="1"/>
        <w:numId w:val="1"/>
      </w:numPr>
      <w:spacing w:before="360" w:after="0"/>
      <w:ind w:left="0" w:firstLine="0"/>
      <w:outlineLvl w:val="1"/>
    </w:pPr>
    <w:rPr>
      <w:rFonts w:eastAsiaTheme="majorEastAsia"/>
      <w:b/>
      <w:bCs/>
      <w:kern w:val="0"/>
      <w:sz w:val="24"/>
      <w:szCs w:val="24"/>
      <w14:ligatures w14:val="none"/>
    </w:rPr>
  </w:style>
  <w:style w:type="paragraph" w:styleId="Ttulo3">
    <w:name w:val="heading 3"/>
    <w:basedOn w:val="Normal"/>
    <w:next w:val="Normal"/>
    <w:link w:val="Ttulo3Car"/>
    <w:uiPriority w:val="9"/>
    <w:unhideWhenUsed/>
    <w:qFormat/>
    <w:rsid w:val="00740B50"/>
    <w:pPr>
      <w:keepNext/>
      <w:keepLines/>
      <w:numPr>
        <w:ilvl w:val="2"/>
        <w:numId w:val="1"/>
      </w:numPr>
      <w:spacing w:before="40" w:after="0" w:line="283" w:lineRule="auto"/>
      <w:outlineLvl w:val="2"/>
    </w:pPr>
    <w:rPr>
      <w:rFonts w:asciiTheme="majorHAnsi" w:eastAsiaTheme="majorEastAsia" w:hAnsiTheme="majorHAnsi" w:cstheme="majorBidi"/>
      <w:color w:val="1F3763" w:themeColor="accent1" w:themeShade="7F"/>
      <w:kern w:val="0"/>
      <w:sz w:val="24"/>
      <w:szCs w:val="24"/>
      <w14:ligatures w14:val="none"/>
    </w:rPr>
  </w:style>
  <w:style w:type="paragraph" w:styleId="Ttulo4">
    <w:name w:val="heading 4"/>
    <w:basedOn w:val="Normal"/>
    <w:next w:val="Normal"/>
    <w:link w:val="Ttulo4Car"/>
    <w:uiPriority w:val="9"/>
    <w:unhideWhenUsed/>
    <w:qFormat/>
    <w:rsid w:val="00740B50"/>
    <w:pPr>
      <w:keepNext/>
      <w:keepLines/>
      <w:numPr>
        <w:ilvl w:val="3"/>
        <w:numId w:val="1"/>
      </w:numPr>
      <w:spacing w:before="40" w:after="0" w:line="283" w:lineRule="auto"/>
      <w:outlineLvl w:val="3"/>
    </w:pPr>
    <w:rPr>
      <w:rFonts w:asciiTheme="majorHAnsi" w:eastAsiaTheme="majorEastAsia" w:hAnsiTheme="majorHAnsi" w:cstheme="majorBidi"/>
      <w:i/>
      <w:iCs/>
      <w:color w:val="2F5496" w:themeColor="accent1" w:themeShade="BF"/>
      <w:kern w:val="0"/>
      <w:sz w:val="24"/>
      <w:szCs w:val="24"/>
      <w14:ligatures w14:val="none"/>
    </w:rPr>
  </w:style>
  <w:style w:type="paragraph" w:styleId="Ttulo5">
    <w:name w:val="heading 5"/>
    <w:basedOn w:val="Normal"/>
    <w:next w:val="Normal"/>
    <w:link w:val="Ttulo5Car"/>
    <w:uiPriority w:val="9"/>
    <w:semiHidden/>
    <w:unhideWhenUsed/>
    <w:qFormat/>
    <w:rsid w:val="00740B50"/>
    <w:pPr>
      <w:keepNext/>
      <w:keepLines/>
      <w:numPr>
        <w:ilvl w:val="4"/>
        <w:numId w:val="1"/>
      </w:numPr>
      <w:spacing w:before="40" w:after="0" w:line="283" w:lineRule="auto"/>
      <w:outlineLvl w:val="4"/>
    </w:pPr>
    <w:rPr>
      <w:rFonts w:asciiTheme="majorHAnsi" w:eastAsiaTheme="majorEastAsia" w:hAnsiTheme="majorHAnsi" w:cstheme="majorBidi"/>
      <w:color w:val="2F5496" w:themeColor="accent1" w:themeShade="BF"/>
      <w:kern w:val="0"/>
      <w:sz w:val="24"/>
      <w:szCs w:val="24"/>
      <w14:ligatures w14:val="none"/>
    </w:rPr>
  </w:style>
  <w:style w:type="paragraph" w:styleId="Ttulo6">
    <w:name w:val="heading 6"/>
    <w:basedOn w:val="Normal"/>
    <w:next w:val="Normal"/>
    <w:link w:val="Ttulo6Car"/>
    <w:uiPriority w:val="9"/>
    <w:semiHidden/>
    <w:unhideWhenUsed/>
    <w:qFormat/>
    <w:rsid w:val="00740B50"/>
    <w:pPr>
      <w:keepNext/>
      <w:keepLines/>
      <w:numPr>
        <w:ilvl w:val="5"/>
        <w:numId w:val="1"/>
      </w:numPr>
      <w:spacing w:before="40" w:after="0" w:line="283" w:lineRule="auto"/>
      <w:outlineLvl w:val="5"/>
    </w:pPr>
    <w:rPr>
      <w:rFonts w:asciiTheme="majorHAnsi" w:eastAsiaTheme="majorEastAsia" w:hAnsiTheme="majorHAnsi" w:cstheme="majorBidi"/>
      <w:color w:val="1F3763" w:themeColor="accent1" w:themeShade="7F"/>
      <w:kern w:val="0"/>
      <w:sz w:val="24"/>
      <w:szCs w:val="24"/>
      <w14:ligatures w14:val="none"/>
    </w:rPr>
  </w:style>
  <w:style w:type="paragraph" w:styleId="Ttulo7">
    <w:name w:val="heading 7"/>
    <w:basedOn w:val="Normal"/>
    <w:next w:val="Normal"/>
    <w:link w:val="Ttulo7Car"/>
    <w:uiPriority w:val="9"/>
    <w:semiHidden/>
    <w:unhideWhenUsed/>
    <w:qFormat/>
    <w:rsid w:val="00740B50"/>
    <w:pPr>
      <w:keepNext/>
      <w:keepLines/>
      <w:numPr>
        <w:ilvl w:val="6"/>
        <w:numId w:val="1"/>
      </w:numPr>
      <w:spacing w:before="40" w:after="0" w:line="283" w:lineRule="auto"/>
      <w:outlineLvl w:val="6"/>
    </w:pPr>
    <w:rPr>
      <w:rFonts w:asciiTheme="majorHAnsi" w:eastAsiaTheme="majorEastAsia" w:hAnsiTheme="majorHAnsi" w:cstheme="majorBidi"/>
      <w:i/>
      <w:iCs/>
      <w:color w:val="1F3763" w:themeColor="accent1" w:themeShade="7F"/>
      <w:kern w:val="0"/>
      <w:sz w:val="24"/>
      <w:szCs w:val="24"/>
      <w14:ligatures w14:val="none"/>
    </w:rPr>
  </w:style>
  <w:style w:type="paragraph" w:styleId="Ttulo8">
    <w:name w:val="heading 8"/>
    <w:basedOn w:val="Normal"/>
    <w:next w:val="Normal"/>
    <w:link w:val="Ttulo8Car"/>
    <w:uiPriority w:val="9"/>
    <w:semiHidden/>
    <w:unhideWhenUsed/>
    <w:qFormat/>
    <w:rsid w:val="00740B50"/>
    <w:pPr>
      <w:keepNext/>
      <w:keepLines/>
      <w:numPr>
        <w:ilvl w:val="7"/>
        <w:numId w:val="1"/>
      </w:numPr>
      <w:spacing w:before="40" w:after="0" w:line="283" w:lineRule="auto"/>
      <w:outlineLvl w:val="7"/>
    </w:pPr>
    <w:rPr>
      <w:rFonts w:asciiTheme="majorHAnsi" w:eastAsiaTheme="majorEastAsia" w:hAnsiTheme="majorHAnsi" w:cstheme="majorBidi"/>
      <w:color w:val="272727" w:themeColor="text1" w:themeTint="D8"/>
      <w:kern w:val="0"/>
      <w:sz w:val="21"/>
      <w:szCs w:val="21"/>
      <w14:ligatures w14:val="none"/>
    </w:rPr>
  </w:style>
  <w:style w:type="paragraph" w:styleId="Ttulo9">
    <w:name w:val="heading 9"/>
    <w:basedOn w:val="Normal"/>
    <w:next w:val="Normal"/>
    <w:link w:val="Ttulo9Car"/>
    <w:uiPriority w:val="9"/>
    <w:semiHidden/>
    <w:unhideWhenUsed/>
    <w:qFormat/>
    <w:rsid w:val="00740B50"/>
    <w:pPr>
      <w:keepNext/>
      <w:keepLines/>
      <w:numPr>
        <w:ilvl w:val="8"/>
        <w:numId w:val="1"/>
      </w:numPr>
      <w:spacing w:before="40" w:after="0" w:line="283" w:lineRule="auto"/>
      <w:outlineLvl w:val="8"/>
    </w:pPr>
    <w:rPr>
      <w:rFonts w:asciiTheme="majorHAnsi" w:eastAsiaTheme="majorEastAsia" w:hAnsiTheme="majorHAnsi" w:cstheme="majorBidi"/>
      <w:i/>
      <w:iCs/>
      <w:color w:val="272727" w:themeColor="text1" w:themeTint="D8"/>
      <w:kern w:val="0"/>
      <w:sz w:val="21"/>
      <w:szCs w:val="21"/>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F2001"/>
    <w:rPr>
      <w:rFonts w:ascii="Arial" w:hAnsi="Arial" w:cs="Arial"/>
      <w:b/>
      <w:bCs/>
      <w:kern w:val="0"/>
      <w:sz w:val="28"/>
      <w:szCs w:val="23"/>
      <w14:ligatures w14:val="none"/>
    </w:rPr>
  </w:style>
  <w:style w:type="character" w:customStyle="1" w:styleId="Ttulo2Car">
    <w:name w:val="Título 2 Car"/>
    <w:basedOn w:val="Fuentedeprrafopredeter"/>
    <w:link w:val="Ttulo2"/>
    <w:uiPriority w:val="9"/>
    <w:rsid w:val="00AE733B"/>
    <w:rPr>
      <w:rFonts w:ascii="Arial" w:eastAsiaTheme="majorEastAsia" w:hAnsi="Arial" w:cs="Arial"/>
      <w:b/>
      <w:bCs/>
      <w:kern w:val="0"/>
      <w:sz w:val="24"/>
      <w:szCs w:val="24"/>
      <w14:ligatures w14:val="none"/>
    </w:rPr>
  </w:style>
  <w:style w:type="character" w:customStyle="1" w:styleId="Ttulo3Car">
    <w:name w:val="Título 3 Car"/>
    <w:basedOn w:val="Fuentedeprrafopredeter"/>
    <w:link w:val="Ttulo3"/>
    <w:uiPriority w:val="9"/>
    <w:rsid w:val="00740B50"/>
    <w:rPr>
      <w:rFonts w:asciiTheme="majorHAnsi" w:eastAsiaTheme="majorEastAsia" w:hAnsiTheme="majorHAnsi" w:cstheme="majorBidi"/>
      <w:color w:val="1F3763" w:themeColor="accent1" w:themeShade="7F"/>
      <w:kern w:val="0"/>
      <w:sz w:val="24"/>
      <w:szCs w:val="24"/>
      <w14:ligatures w14:val="none"/>
    </w:rPr>
  </w:style>
  <w:style w:type="character" w:customStyle="1" w:styleId="Ttulo4Car">
    <w:name w:val="Título 4 Car"/>
    <w:basedOn w:val="Fuentedeprrafopredeter"/>
    <w:link w:val="Ttulo4"/>
    <w:uiPriority w:val="9"/>
    <w:semiHidden/>
    <w:rsid w:val="00740B50"/>
    <w:rPr>
      <w:rFonts w:asciiTheme="majorHAnsi" w:eastAsiaTheme="majorEastAsia" w:hAnsiTheme="majorHAnsi" w:cstheme="majorBidi"/>
      <w:i/>
      <w:iCs/>
      <w:color w:val="2F5496" w:themeColor="accent1" w:themeShade="BF"/>
      <w:kern w:val="0"/>
      <w:sz w:val="24"/>
      <w:szCs w:val="24"/>
      <w14:ligatures w14:val="none"/>
    </w:rPr>
  </w:style>
  <w:style w:type="character" w:customStyle="1" w:styleId="Ttulo5Car">
    <w:name w:val="Título 5 Car"/>
    <w:basedOn w:val="Fuentedeprrafopredeter"/>
    <w:link w:val="Ttulo5"/>
    <w:uiPriority w:val="9"/>
    <w:semiHidden/>
    <w:rsid w:val="00740B50"/>
    <w:rPr>
      <w:rFonts w:asciiTheme="majorHAnsi" w:eastAsiaTheme="majorEastAsia" w:hAnsiTheme="majorHAnsi" w:cstheme="majorBidi"/>
      <w:color w:val="2F5496" w:themeColor="accent1" w:themeShade="BF"/>
      <w:kern w:val="0"/>
      <w:sz w:val="24"/>
      <w:szCs w:val="24"/>
      <w14:ligatures w14:val="none"/>
    </w:rPr>
  </w:style>
  <w:style w:type="character" w:customStyle="1" w:styleId="Ttulo6Car">
    <w:name w:val="Título 6 Car"/>
    <w:basedOn w:val="Fuentedeprrafopredeter"/>
    <w:link w:val="Ttulo6"/>
    <w:uiPriority w:val="9"/>
    <w:semiHidden/>
    <w:rsid w:val="00740B50"/>
    <w:rPr>
      <w:rFonts w:asciiTheme="majorHAnsi" w:eastAsiaTheme="majorEastAsia" w:hAnsiTheme="majorHAnsi" w:cstheme="majorBidi"/>
      <w:color w:val="1F3763" w:themeColor="accent1" w:themeShade="7F"/>
      <w:kern w:val="0"/>
      <w:sz w:val="24"/>
      <w:szCs w:val="24"/>
      <w14:ligatures w14:val="none"/>
    </w:rPr>
  </w:style>
  <w:style w:type="character" w:customStyle="1" w:styleId="Ttulo7Car">
    <w:name w:val="Título 7 Car"/>
    <w:basedOn w:val="Fuentedeprrafopredeter"/>
    <w:link w:val="Ttulo7"/>
    <w:uiPriority w:val="9"/>
    <w:semiHidden/>
    <w:rsid w:val="00740B50"/>
    <w:rPr>
      <w:rFonts w:asciiTheme="majorHAnsi" w:eastAsiaTheme="majorEastAsia" w:hAnsiTheme="majorHAnsi" w:cstheme="majorBidi"/>
      <w:i/>
      <w:iCs/>
      <w:color w:val="1F3763" w:themeColor="accent1" w:themeShade="7F"/>
      <w:kern w:val="0"/>
      <w:sz w:val="24"/>
      <w:szCs w:val="24"/>
      <w14:ligatures w14:val="none"/>
    </w:rPr>
  </w:style>
  <w:style w:type="character" w:customStyle="1" w:styleId="Ttulo8Car">
    <w:name w:val="Título 8 Car"/>
    <w:basedOn w:val="Fuentedeprrafopredeter"/>
    <w:link w:val="Ttulo8"/>
    <w:uiPriority w:val="9"/>
    <w:semiHidden/>
    <w:rsid w:val="00740B50"/>
    <w:rPr>
      <w:rFonts w:asciiTheme="majorHAnsi" w:eastAsiaTheme="majorEastAsia" w:hAnsiTheme="majorHAnsi" w:cstheme="majorBidi"/>
      <w:color w:val="272727" w:themeColor="text1" w:themeTint="D8"/>
      <w:kern w:val="0"/>
      <w:sz w:val="21"/>
      <w:szCs w:val="21"/>
      <w14:ligatures w14:val="none"/>
    </w:rPr>
  </w:style>
  <w:style w:type="character" w:customStyle="1" w:styleId="Ttulo9Car">
    <w:name w:val="Título 9 Car"/>
    <w:basedOn w:val="Fuentedeprrafopredeter"/>
    <w:link w:val="Ttulo9"/>
    <w:uiPriority w:val="9"/>
    <w:semiHidden/>
    <w:rsid w:val="00740B50"/>
    <w:rPr>
      <w:rFonts w:asciiTheme="majorHAnsi" w:eastAsiaTheme="majorEastAsia" w:hAnsiTheme="majorHAnsi" w:cstheme="majorBidi"/>
      <w:i/>
      <w:iCs/>
      <w:color w:val="272727" w:themeColor="text1" w:themeTint="D8"/>
      <w:kern w:val="0"/>
      <w:sz w:val="21"/>
      <w:szCs w:val="21"/>
      <w14:ligatures w14:val="none"/>
    </w:rPr>
  </w:style>
  <w:style w:type="paragraph" w:customStyle="1" w:styleId="Puntos">
    <w:name w:val="Puntos"/>
    <w:basedOn w:val="Normal"/>
    <w:link w:val="PuntosCar"/>
    <w:qFormat/>
    <w:rsid w:val="00740B50"/>
    <w:pPr>
      <w:spacing w:before="0" w:line="283" w:lineRule="auto"/>
      <w:ind w:left="624"/>
    </w:pPr>
    <w:rPr>
      <w:kern w:val="0"/>
      <w:sz w:val="24"/>
      <w:szCs w:val="24"/>
      <w14:ligatures w14:val="none"/>
    </w:rPr>
  </w:style>
  <w:style w:type="character" w:customStyle="1" w:styleId="PuntosCar">
    <w:name w:val="Puntos Car"/>
    <w:basedOn w:val="Fuentedeprrafopredeter"/>
    <w:link w:val="Puntos"/>
    <w:rsid w:val="00740B50"/>
    <w:rPr>
      <w:rFonts w:ascii="Arial" w:hAnsi="Arial" w:cs="Arial"/>
      <w:kern w:val="0"/>
      <w:sz w:val="24"/>
      <w:szCs w:val="24"/>
      <w14:ligatures w14:val="none"/>
    </w:rPr>
  </w:style>
  <w:style w:type="table" w:styleId="Tablaconcuadrcula">
    <w:name w:val="Table Grid"/>
    <w:basedOn w:val="Tablanormal"/>
    <w:uiPriority w:val="39"/>
    <w:rsid w:val="00740B5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next w:val="Normal"/>
    <w:link w:val="TtuloCar"/>
    <w:uiPriority w:val="10"/>
    <w:qFormat/>
    <w:rsid w:val="00C4775F"/>
    <w:rPr>
      <w:b/>
      <w:bCs/>
    </w:rPr>
  </w:style>
  <w:style w:type="character" w:customStyle="1" w:styleId="TtuloCar">
    <w:name w:val="Título Car"/>
    <w:basedOn w:val="Fuentedeprrafopredeter"/>
    <w:link w:val="Ttulo"/>
    <w:uiPriority w:val="10"/>
    <w:rsid w:val="00C4775F"/>
    <w:rPr>
      <w:rFonts w:ascii="Arial" w:hAnsi="Arial" w:cs="Arial"/>
      <w:b/>
      <w:bCs/>
    </w:rPr>
  </w:style>
  <w:style w:type="paragraph" w:styleId="Encabezado">
    <w:name w:val="header"/>
    <w:basedOn w:val="Normal"/>
    <w:link w:val="EncabezadoCar"/>
    <w:uiPriority w:val="99"/>
    <w:unhideWhenUsed/>
    <w:rsid w:val="00681E3C"/>
    <w:pPr>
      <w:tabs>
        <w:tab w:val="center" w:pos="4419"/>
        <w:tab w:val="right" w:pos="8838"/>
      </w:tabs>
      <w:spacing w:before="0" w:after="0" w:line="240" w:lineRule="auto"/>
    </w:pPr>
  </w:style>
  <w:style w:type="character" w:customStyle="1" w:styleId="EncabezadoCar">
    <w:name w:val="Encabezado Car"/>
    <w:basedOn w:val="Fuentedeprrafopredeter"/>
    <w:link w:val="Encabezado"/>
    <w:uiPriority w:val="99"/>
    <w:rsid w:val="00681E3C"/>
    <w:rPr>
      <w:rFonts w:ascii="Arial" w:hAnsi="Arial" w:cs="Arial"/>
    </w:rPr>
  </w:style>
  <w:style w:type="paragraph" w:styleId="Piedepgina">
    <w:name w:val="footer"/>
    <w:basedOn w:val="Normal"/>
    <w:link w:val="PiedepginaCar"/>
    <w:uiPriority w:val="99"/>
    <w:unhideWhenUsed/>
    <w:rsid w:val="00681E3C"/>
    <w:pPr>
      <w:tabs>
        <w:tab w:val="center" w:pos="4419"/>
        <w:tab w:val="right" w:pos="8838"/>
      </w:tabs>
      <w:spacing w:before="0" w:after="0" w:line="240" w:lineRule="auto"/>
    </w:pPr>
  </w:style>
  <w:style w:type="character" w:customStyle="1" w:styleId="PiedepginaCar">
    <w:name w:val="Pie de página Car"/>
    <w:basedOn w:val="Fuentedeprrafopredeter"/>
    <w:link w:val="Piedepgina"/>
    <w:uiPriority w:val="99"/>
    <w:rsid w:val="00681E3C"/>
    <w:rPr>
      <w:rFonts w:ascii="Arial" w:hAnsi="Arial" w:cs="Arial"/>
    </w:rPr>
  </w:style>
  <w:style w:type="character" w:styleId="Refdecomentario">
    <w:name w:val="annotation reference"/>
    <w:basedOn w:val="Fuentedeprrafopredeter"/>
    <w:uiPriority w:val="99"/>
    <w:semiHidden/>
    <w:unhideWhenUsed/>
    <w:rsid w:val="00182427"/>
    <w:rPr>
      <w:sz w:val="16"/>
      <w:szCs w:val="16"/>
    </w:rPr>
  </w:style>
  <w:style w:type="paragraph" w:styleId="Textocomentario">
    <w:name w:val="annotation text"/>
    <w:basedOn w:val="Normal"/>
    <w:link w:val="TextocomentarioCar"/>
    <w:uiPriority w:val="99"/>
    <w:semiHidden/>
    <w:unhideWhenUsed/>
    <w:rsid w:val="0018242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82427"/>
    <w:rPr>
      <w:rFonts w:ascii="Arial" w:hAnsi="Arial" w:cs="Arial"/>
      <w:sz w:val="20"/>
      <w:szCs w:val="20"/>
    </w:rPr>
  </w:style>
  <w:style w:type="paragraph" w:styleId="Asuntodelcomentario">
    <w:name w:val="annotation subject"/>
    <w:basedOn w:val="Textocomentario"/>
    <w:next w:val="Textocomentario"/>
    <w:link w:val="AsuntodelcomentarioCar"/>
    <w:uiPriority w:val="99"/>
    <w:semiHidden/>
    <w:unhideWhenUsed/>
    <w:rsid w:val="00182427"/>
    <w:rPr>
      <w:b/>
      <w:bCs/>
    </w:rPr>
  </w:style>
  <w:style w:type="character" w:customStyle="1" w:styleId="AsuntodelcomentarioCar">
    <w:name w:val="Asunto del comentario Car"/>
    <w:basedOn w:val="TextocomentarioCar"/>
    <w:link w:val="Asuntodelcomentario"/>
    <w:uiPriority w:val="99"/>
    <w:semiHidden/>
    <w:rsid w:val="00182427"/>
    <w:rPr>
      <w:rFonts w:ascii="Arial" w:hAnsi="Arial" w:cs="Arial"/>
      <w:b/>
      <w:bCs/>
      <w:sz w:val="20"/>
      <w:szCs w:val="20"/>
    </w:rPr>
  </w:style>
  <w:style w:type="paragraph" w:styleId="Textodeglobo">
    <w:name w:val="Balloon Text"/>
    <w:basedOn w:val="Normal"/>
    <w:link w:val="TextodegloboCar"/>
    <w:uiPriority w:val="99"/>
    <w:semiHidden/>
    <w:unhideWhenUsed/>
    <w:rsid w:val="00182427"/>
    <w:pPr>
      <w:spacing w:before="0"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82427"/>
    <w:rPr>
      <w:rFonts w:ascii="Segoe UI" w:hAnsi="Segoe UI" w:cs="Segoe UI"/>
      <w:sz w:val="18"/>
      <w:szCs w:val="18"/>
    </w:rPr>
  </w:style>
  <w:style w:type="paragraph" w:styleId="Prrafodelista">
    <w:name w:val="List Paragraph"/>
    <w:aliases w:val="AB List 1,Bullet Points,Bullet List,FooterText,numbered,Paragraphe de liste1,List Paragraph1,Bulletr List Paragraph,CNBV Parrafo1,Párrafo de lista1,Parrafo 1,Lista multicolor - Énfasis 11,Lista vistosa - Énfasis 11,Cita texto,Listas"/>
    <w:basedOn w:val="Normal"/>
    <w:link w:val="PrrafodelistaCar"/>
    <w:uiPriority w:val="34"/>
    <w:qFormat/>
    <w:rsid w:val="004C4501"/>
    <w:pPr>
      <w:ind w:left="720"/>
      <w:contextualSpacing/>
    </w:pPr>
    <w:rPr>
      <w:rFonts w:ascii="Century Gothic" w:hAnsi="Century Gothic" w:cstheme="minorBidi"/>
      <w:kern w:val="0"/>
      <w14:ligatures w14:val="none"/>
    </w:rPr>
  </w:style>
  <w:style w:type="character" w:customStyle="1" w:styleId="PrrafodelistaCar">
    <w:name w:val="Párrafo de lista Car"/>
    <w:aliases w:val="AB List 1 Car,Bullet Points Car,Bullet List Car,FooterText Car,numbered Car,Paragraphe de liste1 Car,List Paragraph1 Car,Bulletr List Paragraph Car,CNBV Parrafo1 Car,Párrafo de lista1 Car,Parrafo 1 Car,Lista vistosa - Énfasis 11 Car"/>
    <w:link w:val="Prrafodelista"/>
    <w:uiPriority w:val="34"/>
    <w:qFormat/>
    <w:rsid w:val="004C4501"/>
    <w:rPr>
      <w:rFonts w:ascii="Century Gothic" w:hAnsi="Century Gothic"/>
      <w:kern w:val="0"/>
      <w14:ligatures w14:val="none"/>
    </w:rPr>
  </w:style>
  <w:style w:type="paragraph" w:styleId="Textonotapie">
    <w:name w:val="footnote text"/>
    <w:basedOn w:val="Normal"/>
    <w:link w:val="TextonotapieCar"/>
    <w:uiPriority w:val="99"/>
    <w:semiHidden/>
    <w:unhideWhenUsed/>
    <w:rsid w:val="00AF366E"/>
    <w:pPr>
      <w:spacing w:before="0" w:after="0" w:line="240" w:lineRule="auto"/>
    </w:pPr>
    <w:rPr>
      <w:sz w:val="20"/>
      <w:szCs w:val="20"/>
    </w:rPr>
  </w:style>
  <w:style w:type="character" w:customStyle="1" w:styleId="TextonotapieCar">
    <w:name w:val="Texto nota pie Car"/>
    <w:basedOn w:val="Fuentedeprrafopredeter"/>
    <w:link w:val="Textonotapie"/>
    <w:uiPriority w:val="99"/>
    <w:semiHidden/>
    <w:rsid w:val="00AF366E"/>
    <w:rPr>
      <w:rFonts w:ascii="Arial" w:hAnsi="Arial" w:cs="Arial"/>
      <w:sz w:val="20"/>
      <w:szCs w:val="20"/>
    </w:rPr>
  </w:style>
  <w:style w:type="character" w:styleId="Refdenotaalpie">
    <w:name w:val="footnote reference"/>
    <w:basedOn w:val="Fuentedeprrafopredeter"/>
    <w:uiPriority w:val="99"/>
    <w:semiHidden/>
    <w:unhideWhenUsed/>
    <w:rsid w:val="00AF366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0198A9-6BCF-45B5-A4F6-7CA4EAC87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691</TotalTime>
  <Pages>12</Pages>
  <Words>3246</Words>
  <Characters>17857</Characters>
  <Application>Microsoft Office Word</Application>
  <DocSecurity>0</DocSecurity>
  <Lines>148</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E. Leon</dc:creator>
  <cp:keywords/>
  <dc:description/>
  <cp:lastModifiedBy>Jaqueline del Carmen Carrillo Llergo</cp:lastModifiedBy>
  <cp:revision>487</cp:revision>
  <dcterms:created xsi:type="dcterms:W3CDTF">2023-04-30T05:10:00Z</dcterms:created>
  <dcterms:modified xsi:type="dcterms:W3CDTF">2023-10-06T21:22:00Z</dcterms:modified>
</cp:coreProperties>
</file>